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5.6.0 -->
  <w:body>
    <w:p w:rsidR="00A77B3E">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36"/>
        </w:rPr>
      </w:pPr>
      <w:bookmarkStart w:id="0" w:name="Section1"/>
      <w:bookmarkEnd w:id="0"/>
      <w:r>
        <w:rPr>
          <w:rFonts w:ascii="Times New Roman" w:eastAsia="Times New Roman" w:hAnsi="Times New Roman" w:cs="Times New Roman"/>
          <w:b/>
          <w:i w:val="0"/>
          <w:sz w:val="36"/>
        </w:rPr>
        <w:t>UNITED STATES</w:t>
      </w:r>
    </w:p>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36"/>
        </w:rPr>
      </w:pPr>
      <w:r>
        <w:rPr>
          <w:rFonts w:ascii="Times New Roman" w:eastAsia="Times New Roman" w:hAnsi="Times New Roman" w:cs="Times New Roman"/>
          <w:b/>
          <w:i w:val="0"/>
          <w:sz w:val="36"/>
        </w:rPr>
        <w:t>SECURITIES AND EXCHANGE COMMISSION</w:t>
      </w:r>
    </w:p>
    <w:p w:rsidR="00A77B3E">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4"/>
        </w:rPr>
      </w:pPr>
      <w:r>
        <w:rPr>
          <w:rFonts w:ascii="Times New Roman" w:eastAsia="Times New Roman" w:hAnsi="Times New Roman" w:cs="Times New Roman"/>
          <w:b/>
          <w:i w:val="0"/>
          <w:sz w:val="24"/>
        </w:rPr>
        <w:t>Washington, D.C. 20549</w:t>
      </w:r>
    </w:p>
    <w:p w:rsidR="00A77B3E">
      <w:pPr>
        <w:keepNext w:val="0"/>
        <w:keepLines w:val="0"/>
        <w:pageBreakBefore w:val="0"/>
        <w:widowControl/>
        <w:numPr>
          <w:ilvl w:val="0"/>
          <w:numId w:val="0"/>
        </w:numPr>
        <w:spacing w:before="40" w:after="0" w:line="144" w:lineRule="exact"/>
        <w:ind w:left="0" w:right="0" w:firstLine="0"/>
        <w:jc w:val="center"/>
        <w:outlineLvl w:val="9"/>
        <w:rPr>
          <w:rFonts w:ascii="Times New Roman" w:eastAsia="Times New Roman" w:hAnsi="Times New Roman" w:cs="Times New Roman"/>
          <w:b w:val="0"/>
          <w:i w:val="0"/>
          <w:sz w:val="12"/>
        </w:rPr>
      </w:pPr>
      <w:r>
        <w:rPr>
          <w:rFonts w:ascii="Times New Roman" w:eastAsia="Times New Roman" w:hAnsi="Times New Roman" w:cs="Times New Roman"/>
          <w:b w:val="0"/>
          <w:i w:val="0"/>
          <w:sz w:val="12"/>
        </w:rPr>
        <w:t> ____________________________________________________________</w:t>
      </w:r>
    </w:p>
    <w:p w:rsidR="00A77B3E">
      <w:pPr>
        <w:keepNext w:val="0"/>
        <w:keepLines w:val="0"/>
        <w:pageBreakBefore w:val="0"/>
        <w:widowControl/>
        <w:numPr>
          <w:ilvl w:val="0"/>
          <w:numId w:val="0"/>
        </w:numPr>
        <w:spacing w:before="240" w:after="0" w:line="288" w:lineRule="auto"/>
        <w:ind w:left="0" w:right="0" w:firstLine="0"/>
        <w:jc w:val="center"/>
        <w:outlineLvl w:val="9"/>
        <w:rPr>
          <w:rFonts w:ascii="Times New Roman" w:eastAsia="Times New Roman" w:hAnsi="Times New Roman" w:cs="Times New Roman"/>
          <w:b/>
          <w:i w:val="0"/>
          <w:sz w:val="36"/>
        </w:rPr>
      </w:pPr>
      <w:r>
        <w:rPr>
          <w:rFonts w:ascii="Times New Roman" w:eastAsia="Times New Roman" w:hAnsi="Times New Roman" w:cs="Times New Roman"/>
          <w:b/>
          <w:i w:val="0"/>
          <w:sz w:val="36"/>
        </w:rPr>
        <w:t xml:space="preserve">FORM </w:t>
      </w:r>
      <w:r>
        <w:rPr>
          <w:rFonts w:ascii="Times New Roman" w:eastAsia="Times New Roman" w:hAnsi="Times New Roman" w:cs="Times New Roman"/>
          <w:b/>
          <w:i w:val="0"/>
          <w:color w:val="000000"/>
          <w:sz w:val="36"/>
          <w:u w:val="none"/>
        </w:rPr>
        <w:t>10-Q</w:t>
      </w:r>
      <w:r>
        <w:rPr>
          <w:rFonts w:ascii="Times New Roman" w:eastAsia="Times New Roman" w:hAnsi="Times New Roman" w:cs="Times New Roman"/>
          <w:b/>
          <w:i w:val="0"/>
          <w:sz w:val="36"/>
        </w:rPr>
        <w:t xml:space="preserve"> </w:t>
      </w:r>
    </w:p>
    <w:p w:rsidR="00A77B3E">
      <w:pPr>
        <w:keepNext w:val="0"/>
        <w:keepLines w:val="0"/>
        <w:pageBreakBefore w:val="0"/>
        <w:widowControl/>
        <w:numPr>
          <w:ilvl w:val="0"/>
          <w:numId w:val="0"/>
        </w:numPr>
        <w:spacing w:before="40" w:after="0" w:line="144" w:lineRule="exact"/>
        <w:ind w:left="0" w:right="0" w:firstLine="0"/>
        <w:jc w:val="center"/>
        <w:outlineLvl w:val="9"/>
        <w:rPr>
          <w:rFonts w:ascii="Times New Roman" w:eastAsia="Times New Roman" w:hAnsi="Times New Roman" w:cs="Times New Roman"/>
          <w:b w:val="0"/>
          <w:i w:val="0"/>
          <w:sz w:val="12"/>
        </w:rPr>
      </w:pPr>
      <w:r>
        <w:rPr>
          <w:rFonts w:ascii="Times New Roman" w:eastAsia="Times New Roman" w:hAnsi="Times New Roman" w:cs="Times New Roman"/>
          <w:b w:val="0"/>
          <w:i w:val="0"/>
          <w:sz w:val="12"/>
        </w:rPr>
        <w:t> ____________________________________________________________</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785"/>
      </w:tblGrid>
      <w:tr>
        <w:tblPrEx>
          <w:tblW w:w="10785" w:type="dxa"/>
          <w:tblLayout w:type="fixed"/>
        </w:tblPrEx>
        <w:trPr>
          <w:cantSplit/>
          <w:trHeight w:hRule="exact" w:val="585"/>
        </w:trPr>
        <w:tc>
          <w:tcPr>
            <w:tcW w:w="1078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20" w:line="240" w:lineRule="auto"/>
              <w:ind w:left="0" w:right="0" w:firstLine="0"/>
              <w:jc w:val="center"/>
              <w:outlineLvl w:val="9"/>
              <w:rPr>
                <w:rFonts w:ascii="Arial Unicode MS" w:eastAsia="Arial Unicode MS" w:hAnsi="Arial Unicode MS" w:cs="Arial Unicode MS"/>
                <w:b w:val="0"/>
                <w:i w:val="0"/>
                <w:sz w:val="24"/>
              </w:rPr>
            </w:pPr>
            <w:r>
              <w:rPr>
                <w:rFonts w:ascii="Arial Unicode MS" w:eastAsia="Arial Unicode MS" w:hAnsi="Arial Unicode MS" w:cs="Arial Unicode MS"/>
                <w:b w:val="0"/>
                <w:i w:val="0"/>
                <w:sz w:val="24"/>
              </w:rPr>
              <w:t xml:space="preserve">☒ </w:t>
            </w:r>
            <w:r>
              <w:rPr>
                <w:rFonts w:ascii="Times New Roman" w:eastAsia="Times New Roman" w:hAnsi="Times New Roman" w:cs="Times New Roman"/>
                <w:b/>
                <w:i w:val="0"/>
                <w:sz w:val="24"/>
              </w:rPr>
              <w:t xml:space="preserve">QUARTERLY REPORT PURSUANT TO SECTION 13 or 15(d) OF THE SECURITIES </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24"/>
              </w:rPr>
            </w:pPr>
            <w:r>
              <w:rPr>
                <w:rFonts w:ascii="Times New Roman" w:eastAsia="Times New Roman" w:hAnsi="Times New Roman" w:cs="Times New Roman"/>
                <w:b/>
                <w:i w:val="0"/>
                <w:sz w:val="24"/>
              </w:rPr>
              <w:t>EXCHANGE ACT OF 1934</w:t>
            </w:r>
          </w:p>
        </w:tc>
      </w:tr>
    </w:tbl>
    <w:p>
      <w:pPr>
        <w:keepNext w:val="0"/>
        <w:keepLines w:val="0"/>
        <w:pageBreakBefore w:val="0"/>
        <w:widowControl/>
        <w:numPr>
          <w:ilvl w:val="0"/>
          <w:numId w:val="0"/>
        </w:numPr>
        <w:spacing w:before="0" w:after="0" w:line="240" w:lineRule="exact"/>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For the quarterly period ended </w:t>
      </w:r>
      <w:r>
        <w:rPr>
          <w:rFonts w:ascii="Times New Roman" w:eastAsia="Times New Roman" w:hAnsi="Times New Roman" w:cs="Times New Roman"/>
          <w:b/>
          <w:i w:val="0"/>
          <w:color w:val="000000"/>
          <w:sz w:val="20"/>
          <w:u w:val="none"/>
        </w:rPr>
        <w:t>July 4, 2025</w:t>
      </w:r>
      <w:r>
        <w:rPr>
          <w:rFonts w:ascii="Times New Roman" w:eastAsia="Times New Roman" w:hAnsi="Times New Roman" w:cs="Times New Roman"/>
          <w:b/>
          <w:i w:val="0"/>
          <w:sz w:val="20"/>
        </w:rPr>
        <w:t xml:space="preserve">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or</w:t>
      </w:r>
    </w:p>
    <w:tbl>
      <w:tblPr>
        <w:tblW w:w="11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670"/>
      </w:tblGrid>
      <w:tr>
        <w:tblPrEx>
          <w:tblW w:w="11670" w:type="dxa"/>
          <w:tblLayout w:type="fixed"/>
        </w:tblPrEx>
        <w:trPr>
          <w:cantSplit/>
          <w:trHeight w:hRule="exact" w:val="540"/>
        </w:trPr>
        <w:tc>
          <w:tcPr>
            <w:tcW w:w="11670"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20" w:line="240" w:lineRule="auto"/>
              <w:ind w:left="0" w:right="0" w:firstLine="0"/>
              <w:jc w:val="center"/>
              <w:outlineLvl w:val="9"/>
              <w:rPr>
                <w:rFonts w:ascii="Arial Unicode MS" w:eastAsia="Arial Unicode MS" w:hAnsi="Arial Unicode MS" w:cs="Arial Unicode MS"/>
                <w:b w:val="0"/>
                <w:i w:val="0"/>
                <w:sz w:val="24"/>
              </w:rPr>
            </w:pPr>
            <w:r>
              <w:rPr>
                <w:rFonts w:ascii="Arial Unicode MS" w:eastAsia="Arial Unicode MS" w:hAnsi="Arial Unicode MS" w:cs="Arial Unicode MS"/>
                <w:b w:val="0"/>
                <w:i w:val="0"/>
                <w:sz w:val="24"/>
              </w:rPr>
              <w:t xml:space="preserve">☐ </w:t>
            </w:r>
            <w:r>
              <w:rPr>
                <w:rFonts w:ascii="Times New Roman" w:eastAsia="Times New Roman" w:hAnsi="Times New Roman" w:cs="Times New Roman"/>
                <w:b/>
                <w:i w:val="0"/>
                <w:sz w:val="24"/>
              </w:rPr>
              <w:t xml:space="preserve">TRANSITION REPORT PURSUANT TO SECTION 13 or 15(d) OF THE SECURITIES </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24"/>
              </w:rPr>
            </w:pPr>
            <w:r>
              <w:rPr>
                <w:rFonts w:ascii="Times New Roman" w:eastAsia="Times New Roman" w:hAnsi="Times New Roman" w:cs="Times New Roman"/>
                <w:b/>
                <w:i w:val="0"/>
                <w:sz w:val="24"/>
              </w:rPr>
              <w:t>EXCHANGE ACT OF 1934</w:t>
            </w:r>
          </w:p>
        </w:tc>
      </w:tr>
    </w:tbl>
    <w:p>
      <w:pPr>
        <w:keepNext w:val="0"/>
        <w:keepLines w:val="0"/>
        <w:pageBreakBefore w:val="0"/>
        <w:widowControl/>
        <w:numPr>
          <w:ilvl w:val="0"/>
          <w:numId w:val="0"/>
        </w:numPr>
        <w:spacing w:before="80" w:after="0" w:line="240" w:lineRule="exact"/>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For the transition period from                  to    </w:t>
      </w:r>
    </w:p>
    <w:p>
      <w:pPr>
        <w:keepNext w:val="0"/>
        <w:keepLines w:val="0"/>
        <w:pageBreakBefore w:val="0"/>
        <w:widowControl/>
        <w:numPr>
          <w:ilvl w:val="0"/>
          <w:numId w:val="0"/>
        </w:numPr>
        <w:spacing w:before="8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Commission File Number </w:t>
      </w:r>
      <w:r>
        <w:rPr>
          <w:rFonts w:ascii="Times New Roman" w:eastAsia="Times New Roman" w:hAnsi="Times New Roman" w:cs="Times New Roman"/>
          <w:b/>
          <w:i w:val="0"/>
          <w:color w:val="000000"/>
          <w:sz w:val="20"/>
          <w:u w:val="none"/>
        </w:rPr>
        <w:t>001-37860</w:t>
      </w:r>
      <w:r>
        <w:rPr>
          <w:rFonts w:ascii="Times New Roman" w:eastAsia="Times New Roman" w:hAnsi="Times New Roman" w:cs="Times New Roman"/>
          <w:b/>
          <w:i w:val="0"/>
          <w:sz w:val="20"/>
        </w:rPr>
        <w:t xml:space="preserve"> </w:t>
      </w:r>
    </w:p>
    <w:p>
      <w:pPr>
        <w:keepNext w:val="0"/>
        <w:keepLines w:val="0"/>
        <w:pageBreakBefore w:val="0"/>
        <w:widowControl/>
        <w:numPr>
          <w:ilvl w:val="0"/>
          <w:numId w:val="0"/>
        </w:numPr>
        <w:spacing w:before="40" w:after="0" w:line="144" w:lineRule="exact"/>
        <w:ind w:left="0" w:right="0" w:firstLine="0"/>
        <w:jc w:val="center"/>
        <w:outlineLvl w:val="9"/>
        <w:rPr>
          <w:rFonts w:ascii="Times New Roman" w:eastAsia="Times New Roman" w:hAnsi="Times New Roman" w:cs="Times New Roman"/>
          <w:b w:val="0"/>
          <w:i w:val="0"/>
          <w:sz w:val="12"/>
        </w:rPr>
      </w:pPr>
      <w:r>
        <w:rPr>
          <w:rFonts w:ascii="Times New Roman" w:eastAsia="Times New Roman" w:hAnsi="Times New Roman" w:cs="Times New Roman"/>
          <w:b w:val="0"/>
          <w:i w:val="0"/>
          <w:sz w:val="12"/>
        </w:rPr>
        <w:t> ____________________________________________________________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55pt">
            <v:imagedata r:id="rId4" o:title=""/>
            <o:lock v:ext="edit" aspectratio="t"/>
          </v:shape>
        </w:pic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48"/>
        </w:rPr>
      </w:pPr>
      <w:r>
        <w:rPr>
          <w:rFonts w:ascii="Times New Roman" w:eastAsia="Times New Roman" w:hAnsi="Times New Roman" w:cs="Times New Roman"/>
          <w:b/>
          <w:i w:val="0"/>
          <w:color w:val="000000"/>
          <w:sz w:val="48"/>
          <w:u w:val="none"/>
        </w:rPr>
        <w:t>VAREX IMAGING CORPORATION</w:t>
      </w:r>
      <w:r>
        <w:rPr>
          <w:rFonts w:ascii="Times New Roman" w:eastAsia="Times New Roman" w:hAnsi="Times New Roman" w:cs="Times New Roman"/>
          <w:b/>
          <w:i w:val="0"/>
          <w:sz w:val="48"/>
        </w:rPr>
        <w:t xml:space="preserve">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(Exact name of registrant as specified in its charter)</w:t>
      </w:r>
    </w:p>
    <w:p>
      <w:pPr>
        <w:keepNext w:val="0"/>
        <w:keepLines w:val="0"/>
        <w:pageBreakBefore w:val="0"/>
        <w:widowControl/>
        <w:numPr>
          <w:ilvl w:val="0"/>
          <w:numId w:val="0"/>
        </w:numPr>
        <w:spacing w:before="40" w:after="0" w:line="144" w:lineRule="exact"/>
        <w:ind w:left="0" w:right="0" w:firstLine="0"/>
        <w:jc w:val="center"/>
        <w:outlineLvl w:val="9"/>
        <w:rPr>
          <w:rFonts w:ascii="Times New Roman" w:eastAsia="Times New Roman" w:hAnsi="Times New Roman" w:cs="Times New Roman"/>
          <w:b w:val="0"/>
          <w:i w:val="0"/>
          <w:sz w:val="12"/>
        </w:rPr>
      </w:pPr>
      <w:r>
        <w:rPr>
          <w:rFonts w:ascii="Times New Roman" w:eastAsia="Times New Roman" w:hAnsi="Times New Roman" w:cs="Times New Roman"/>
          <w:b w:val="0"/>
          <w:i w:val="0"/>
          <w:sz w:val="12"/>
        </w:rPr>
        <w:t> ____________________________________________________________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35"/>
        <w:gridCol w:w="1425"/>
        <w:gridCol w:w="705"/>
        <w:gridCol w:w="4335"/>
      </w:tblGrid>
      <w:tr>
        <w:tblPrEx>
          <w:tblW w:w="10800" w:type="dxa"/>
          <w:tblLayout w:type="fixed"/>
        </w:tblPrEx>
        <w:trPr>
          <w:cantSplit/>
          <w:trHeight w:hRule="exact" w:val="255"/>
        </w:trPr>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Delaware</w:t>
            </w:r>
          </w:p>
        </w:tc>
        <w:tc>
          <w:tcPr>
            <w:tcW w:w="1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81-3434516</w:t>
            </w:r>
          </w:p>
        </w:tc>
      </w:tr>
      <w:tr>
        <w:tblPrEx>
          <w:tblW w:w="10800" w:type="dxa"/>
          <w:tblLayout w:type="fixed"/>
        </w:tblPrEx>
        <w:trPr>
          <w:cantSplit/>
          <w:trHeight w:hRule="exact" w:val="465"/>
        </w:trPr>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2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(State or other jurisdiction of</w:t>
            </w:r>
          </w:p>
          <w:p>
            <w:pPr>
              <w:pageBreakBefore w:val="0"/>
              <w:numPr>
                <w:ilvl w:val="0"/>
                <w:numId w:val="0"/>
              </w:numPr>
              <w:spacing w:before="20" w:after="3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incorporation or organization)</w:t>
            </w:r>
          </w:p>
        </w:tc>
        <w:tc>
          <w:tcPr>
            <w:tcW w:w="1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2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(I.R.S. Employer</w:t>
            </w:r>
          </w:p>
          <w:p>
            <w:pPr>
              <w:pageBreakBefore w:val="0"/>
              <w:numPr>
                <w:ilvl w:val="0"/>
                <w:numId w:val="0"/>
              </w:numPr>
              <w:spacing w:before="20" w:after="3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Identification Number)</w:t>
            </w:r>
          </w:p>
        </w:tc>
      </w:tr>
      <w:tr>
        <w:tblPrEx>
          <w:tblW w:w="10800" w:type="dxa"/>
          <w:tblLayout w:type="fixed"/>
        </w:tblPrEx>
        <w:trPr>
          <w:cantSplit/>
          <w:trHeight w:hRule="exact" w:val="255"/>
        </w:trPr>
        <w:tc>
          <w:tcPr>
            <w:tcW w:w="43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3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Layout w:type="fixed"/>
        </w:tblPrEx>
        <w:trPr>
          <w:cantSplit/>
          <w:trHeight w:hRule="exact" w:val="255"/>
        </w:trPr>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color w:val="000000"/>
                <w:sz w:val="20"/>
                <w:u w:val="none"/>
              </w:rPr>
              <w:t>1678 S. Pioneer Road</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Salt Lake City</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Utah</w:t>
            </w:r>
          </w:p>
        </w:tc>
        <w:tc>
          <w:tcPr>
            <w:tcW w:w="1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33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color w:val="000000"/>
                <w:sz w:val="20"/>
                <w:u w:val="none"/>
              </w:rPr>
              <w:t>84104</w:t>
            </w:r>
          </w:p>
        </w:tc>
      </w:tr>
      <w:tr>
        <w:tblPrEx>
          <w:tblW w:w="10800" w:type="dxa"/>
          <w:tblLayout w:type="fixed"/>
        </w:tblPrEx>
        <w:trPr>
          <w:cantSplit/>
          <w:trHeight w:hRule="exact" w:val="240"/>
        </w:trPr>
        <w:tc>
          <w:tcPr>
            <w:tcW w:w="433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(Address of principal executive offices)</w:t>
            </w:r>
          </w:p>
        </w:tc>
        <w:tc>
          <w:tcPr>
            <w:tcW w:w="142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4335"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(Zip Code)</w:t>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w:t>
      </w:r>
      <w:r>
        <w:rPr>
          <w:rFonts w:ascii="Times New Roman" w:eastAsia="Times New Roman" w:hAnsi="Times New Roman" w:cs="Times New Roman"/>
          <w:b/>
          <w:i w:val="0"/>
          <w:color w:val="000000"/>
          <w:sz w:val="20"/>
          <w:u w:val="none"/>
        </w:rPr>
        <w:t>801</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972-5000</w:t>
      </w:r>
      <w:r>
        <w:rPr>
          <w:rFonts w:ascii="Times New Roman" w:eastAsia="Times New Roman" w:hAnsi="Times New Roman" w:cs="Times New Roman"/>
          <w:b/>
          <w:i w:val="0"/>
          <w:sz w:val="20"/>
        </w:rPr>
        <w:t xml:space="preserve"> </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(Registrant’s telephone number, including area code)</w:t>
      </w:r>
    </w:p>
    <w:p>
      <w:pPr>
        <w:keepNext w:val="0"/>
        <w:keepLines w:val="0"/>
        <w:pageBreakBefore w:val="0"/>
        <w:widowControl/>
        <w:numPr>
          <w:ilvl w:val="0"/>
          <w:numId w:val="0"/>
        </w:numPr>
        <w:spacing w:before="40" w:after="0" w:line="144" w:lineRule="exact"/>
        <w:ind w:left="0" w:right="0" w:firstLine="0"/>
        <w:jc w:val="center"/>
        <w:outlineLvl w:val="9"/>
        <w:rPr>
          <w:rFonts w:ascii="Times New Roman" w:eastAsia="Times New Roman" w:hAnsi="Times New Roman" w:cs="Times New Roman"/>
          <w:b w:val="0"/>
          <w:i w:val="0"/>
          <w:sz w:val="12"/>
        </w:rPr>
      </w:pPr>
      <w:r>
        <w:rPr>
          <w:rFonts w:ascii="Times New Roman" w:eastAsia="Times New Roman" w:hAnsi="Times New Roman" w:cs="Times New Roman"/>
          <w:b w:val="0"/>
          <w:i w:val="0"/>
          <w:sz w:val="12"/>
        </w:rPr>
        <w:t> ____________________________________________________________ </w:t>
      </w:r>
    </w:p>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Securities registered pursuant to Section 12(b) of the Act: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65"/>
        <w:gridCol w:w="2655"/>
        <w:gridCol w:w="4080"/>
      </w:tblGrid>
      <w:tr>
        <w:tblPrEx>
          <w:tblW w:w="10800" w:type="dxa"/>
          <w:tblLayout w:type="fixed"/>
        </w:tblPrEx>
        <w:trPr>
          <w:cantSplit/>
          <w:trHeight w:hRule="exact" w:val="285"/>
        </w:trPr>
        <w:tc>
          <w:tcPr>
            <w:tcW w:w="406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Title of each class</w:t>
            </w:r>
          </w:p>
        </w:tc>
        <w:tc>
          <w:tcPr>
            <w:tcW w:w="265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Trading Symbol(s)</w:t>
            </w:r>
          </w:p>
        </w:tc>
        <w:tc>
          <w:tcPr>
            <w:tcW w:w="408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Name of each exchange on which registered</w:t>
            </w:r>
          </w:p>
        </w:tc>
      </w:tr>
      <w:tr>
        <w:tblPrEx>
          <w:tblW w:w="10800" w:type="dxa"/>
          <w:tblLayout w:type="fixed"/>
        </w:tblPrEx>
        <w:trPr>
          <w:cantSplit/>
          <w:trHeight w:hRule="exact" w:val="285"/>
        </w:trPr>
        <w:tc>
          <w:tcPr>
            <w:tcW w:w="406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Common Stock</w:t>
            </w:r>
          </w:p>
        </w:tc>
        <w:tc>
          <w:tcPr>
            <w:tcW w:w="265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VREX</w:t>
            </w:r>
          </w:p>
        </w:tc>
        <w:tc>
          <w:tcPr>
            <w:tcW w:w="4080"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center"/>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The Nasdaq Global Select Market</w:t>
            </w:r>
          </w:p>
        </w:tc>
      </w:tr>
    </w:tbl>
    <w:p>
      <w:pPr>
        <w:keepNext/>
        <w:keepLines/>
        <w:pageBreakBefore w:val="0"/>
        <w:widowControl w:val="0"/>
        <w:numPr>
          <w:ilvl w:val="0"/>
          <w:numId w:val="0"/>
        </w:numPr>
        <w:spacing w:before="120" w:after="0" w:line="216"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Pr>
          <w:rFonts w:ascii="Times New Roman" w:eastAsia="Times New Roman" w:hAnsi="Times New Roman" w:cs="Times New Roman"/>
          <w:b w:val="0"/>
          <w:i w:val="0"/>
          <w:color w:val="000000"/>
          <w:sz w:val="18"/>
          <w:u w:val="none"/>
        </w:rPr>
        <w:t>Yes</w:t>
      </w:r>
      <w:r>
        <w:rPr>
          <w:rFonts w:ascii="Times New Roman" w:eastAsia="Times New Roman" w:hAnsi="Times New Roman" w:cs="Times New Roman"/>
          <w:b w:val="0"/>
          <w:i w:val="0"/>
          <w:sz w:val="18"/>
        </w:rPr>
        <w:t>  </w:t>
      </w:r>
      <w:r>
        <w:rPr>
          <w:rFonts w:ascii="Wingdings" w:eastAsia="Wingdings" w:hAnsi="Wingdings" w:cs="Wingdings"/>
          <w:b w:val="0"/>
          <w:i w:val="0"/>
          <w:sz w:val="18"/>
        </w:rPr>
        <w:t xml:space="preserve"> </w:t>
      </w:r>
      <w:r>
        <w:rPr>
          <w:rFonts w:ascii="Arial Unicode MS" w:eastAsia="Arial Unicode MS" w:hAnsi="Arial Unicode MS" w:cs="Arial Unicode MS"/>
          <w:b w:val="0"/>
          <w:i w:val="0"/>
          <w:sz w:val="18"/>
        </w:rPr>
        <w:t>☒</w:t>
      </w:r>
      <w:r>
        <w:rPr>
          <w:rFonts w:ascii="Wingdings" w:eastAsia="Wingdings" w:hAnsi="Wingdings" w:cs="Wingdings"/>
          <w:b w:val="0"/>
          <w:i w:val="0"/>
          <w:sz w:val="18"/>
        </w:rPr>
        <w:t xml:space="preserve"> </w:t>
      </w:r>
      <w:r>
        <w:rPr>
          <w:rFonts w:ascii="Times New Roman" w:eastAsia="Times New Roman" w:hAnsi="Times New Roman" w:cs="Times New Roman"/>
          <w:b w:val="0"/>
          <w:i w:val="0"/>
          <w:sz w:val="18"/>
        </w:rPr>
        <w:t>No  </w:t>
      </w:r>
      <w:r>
        <w:rPr>
          <w:rFonts w:ascii="Wingdings" w:eastAsia="Wingdings" w:hAnsi="Wingdings" w:cs="Wingdings"/>
          <w:b w:val="0"/>
          <w:i w:val="0"/>
          <w:sz w:val="18"/>
        </w:rPr>
        <w:t xml:space="preserve"> </w:t>
      </w:r>
      <w:r>
        <w:rPr>
          <w:rFonts w:ascii="Arial Unicode MS" w:eastAsia="Arial Unicode MS" w:hAnsi="Arial Unicode MS" w:cs="Arial Unicode MS"/>
          <w:b w:val="0"/>
          <w:i w:val="0"/>
          <w:sz w:val="18"/>
        </w:rPr>
        <w:t>☐</w:t>
      </w:r>
    </w:p>
    <w:p>
      <w:pPr>
        <w:keepNext/>
        <w:keepLines/>
        <w:pageBreakBefore w:val="0"/>
        <w:widowControl w:val="0"/>
        <w:numPr>
          <w:ilvl w:val="0"/>
          <w:numId w:val="0"/>
        </w:numPr>
        <w:spacing w:before="120" w:after="0" w:line="216"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r>
        <w:rPr>
          <w:rFonts w:ascii="Times New Roman" w:eastAsia="Times New Roman" w:hAnsi="Times New Roman" w:cs="Times New Roman"/>
          <w:b w:val="0"/>
          <w:i w:val="0"/>
          <w:color w:val="000000"/>
          <w:sz w:val="18"/>
          <w:u w:val="none"/>
        </w:rPr>
        <w:t>Yes</w:t>
      </w:r>
      <w:r>
        <w:rPr>
          <w:rFonts w:ascii="Times New Roman" w:eastAsia="Times New Roman" w:hAnsi="Times New Roman" w:cs="Times New Roman"/>
          <w:b w:val="0"/>
          <w:i w:val="0"/>
          <w:sz w:val="18"/>
        </w:rPr>
        <w:t>  </w:t>
      </w:r>
      <w:r>
        <w:rPr>
          <w:rFonts w:ascii="Wingdings" w:eastAsia="Wingdings" w:hAnsi="Wingdings" w:cs="Wingdings"/>
          <w:b w:val="0"/>
          <w:i w:val="0"/>
          <w:sz w:val="18"/>
        </w:rPr>
        <w:t xml:space="preserve"> </w:t>
      </w:r>
      <w:r>
        <w:rPr>
          <w:rFonts w:ascii="Arial Unicode MS" w:eastAsia="Arial Unicode MS" w:hAnsi="Arial Unicode MS" w:cs="Arial Unicode MS"/>
          <w:b w:val="0"/>
          <w:i w:val="0"/>
          <w:sz w:val="18"/>
        </w:rPr>
        <w:t>☒</w:t>
      </w:r>
      <w:r>
        <w:rPr>
          <w:rFonts w:ascii="Times New Roman" w:eastAsia="Times New Roman" w:hAnsi="Times New Roman" w:cs="Times New Roman"/>
          <w:b w:val="0"/>
          <w:i w:val="0"/>
          <w:sz w:val="18"/>
        </w:rPr>
        <w:t xml:space="preserve">     No  </w:t>
      </w:r>
      <w:r>
        <w:rPr>
          <w:rFonts w:ascii="Wingdings" w:eastAsia="Wingdings" w:hAnsi="Wingdings" w:cs="Wingdings"/>
          <w:b w:val="0"/>
          <w:i w:val="0"/>
          <w:sz w:val="18"/>
        </w:rPr>
        <w:t xml:space="preserve"> </w:t>
      </w:r>
      <w:r>
        <w:rPr>
          <w:rFonts w:ascii="Arial Unicode MS" w:eastAsia="Arial Unicode MS" w:hAnsi="Arial Unicode MS" w:cs="Arial Unicode MS"/>
          <w:b w:val="0"/>
          <w:i w:val="0"/>
          <w:sz w:val="18"/>
        </w:rPr>
        <w: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18"/>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tbl>
      <w:tblPr>
        <w:tblW w:w="107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555"/>
        <w:gridCol w:w="255"/>
        <w:gridCol w:w="1815"/>
        <w:gridCol w:w="540"/>
        <w:gridCol w:w="3585"/>
        <w:gridCol w:w="255"/>
        <w:gridCol w:w="780"/>
      </w:tblGrid>
      <w:tr>
        <w:tblPrEx>
          <w:tblW w:w="10785" w:type="dxa"/>
          <w:tblInd w:w="0" w:type="dxa"/>
          <w:tblLayout w:type="fixed"/>
        </w:tblPrEx>
        <w:trPr>
          <w:cantSplit/>
          <w:trHeight w:hRule="exact" w:val="300"/>
        </w:trPr>
        <w:tc>
          <w:tcPr>
            <w:tcW w:w="355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b/>
            </w:r>
            <w:r>
              <w:rPr>
                <w:rFonts w:ascii="Times New Roman" w:eastAsia="Times New Roman" w:hAnsi="Times New Roman" w:cs="Times New Roman"/>
                <w:b w:val="0"/>
                <w:i w:val="0"/>
                <w:sz w:val="18"/>
              </w:rPr>
              <w:t>Large Accelerated filer</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180"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Accelerated filer</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r>
      <w:tr>
        <w:tblPrEx>
          <w:tblW w:w="10785" w:type="dxa"/>
          <w:tblInd w:w="0" w:type="dxa"/>
          <w:tblLayout w:type="fixed"/>
        </w:tblPrEx>
        <w:trPr>
          <w:cantSplit/>
          <w:trHeight w:hRule="exact" w:val="75"/>
        </w:trPr>
        <w:tc>
          <w:tcPr>
            <w:tcW w:w="35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785" w:type="dxa"/>
          <w:tblInd w:w="0" w:type="dxa"/>
          <w:tblLayout w:type="fixed"/>
        </w:tblPrEx>
        <w:trPr>
          <w:cantSplit/>
          <w:trHeight w:hRule="exact" w:val="300"/>
        </w:trPr>
        <w:tc>
          <w:tcPr>
            <w:tcW w:w="355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b/>
            </w:r>
            <w:r>
              <w:rPr>
                <w:rFonts w:ascii="Times New Roman" w:eastAsia="Times New Roman" w:hAnsi="Times New Roman" w:cs="Times New Roman"/>
                <w:b w:val="0"/>
                <w:i w:val="0"/>
                <w:sz w:val="18"/>
              </w:rPr>
              <w:t>Non-Accelerated filer</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180"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Smaller reporting company</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r>
      <w:tr>
        <w:tblPrEx>
          <w:tblW w:w="10785" w:type="dxa"/>
          <w:tblInd w:w="0" w:type="dxa"/>
          <w:tblLayout w:type="fixed"/>
        </w:tblPrEx>
        <w:trPr>
          <w:cantSplit/>
          <w:trHeight w:hRule="exact" w:val="75"/>
        </w:trPr>
        <w:tc>
          <w:tcPr>
            <w:tcW w:w="35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785" w:type="dxa"/>
          <w:tblInd w:w="0" w:type="dxa"/>
          <w:tblLayout w:type="fixed"/>
        </w:tblPrEx>
        <w:trPr>
          <w:cantSplit/>
          <w:trHeight w:hRule="exact" w:val="300"/>
        </w:trPr>
        <w:tc>
          <w:tcPr>
            <w:tcW w:w="35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Emerging growth company</w:t>
            </w: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r>
      <w:tr>
        <w:tblPrEx>
          <w:tblW w:w="10785" w:type="dxa"/>
          <w:tblInd w:w="0" w:type="dxa"/>
          <w:tblLayout w:type="fixed"/>
        </w:tblPrEx>
        <w:trPr>
          <w:cantSplit/>
          <w:trHeight w:hRule="exact" w:val="105"/>
        </w:trPr>
        <w:tc>
          <w:tcPr>
            <w:tcW w:w="35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1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5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785" w:type="dxa"/>
          <w:tblInd w:w="0" w:type="dxa"/>
          <w:tblLayout w:type="fixed"/>
        </w:tblPrEx>
        <w:trPr>
          <w:cantSplit/>
          <w:trHeight w:hRule="exact" w:val="465"/>
        </w:trPr>
        <w:tc>
          <w:tcPr>
            <w:tcW w:w="9750" w:type="dxa"/>
            <w:gridSpan w:val="5"/>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b/>
            </w:r>
            <w:r>
              <w:rPr>
                <w:rFonts w:ascii="Times New Roman" w:eastAsia="Times New Roman" w:hAnsi="Times New Roman" w:cs="Times New Roman"/>
                <w:b w:val="0"/>
                <w:i w:val="0"/>
                <w:sz w:val="18"/>
              </w:rPr>
              <w:t>If an emerging growth company, indicate by check mark if the registrant has elected not to use the extended transition period for complying with any new or revised financial accounting standards provided pursuant to Section 13(a) of the Exchange Act.</w:t>
            </w:r>
          </w:p>
        </w:tc>
        <w:tc>
          <w:tcPr>
            <w:tcW w:w="2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80"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Arial Unicode MS" w:eastAsia="Arial Unicode MS" w:hAnsi="Arial Unicode MS" w:cs="Arial Unicode MS"/>
                <w:b w:val="0"/>
                <w:i w:val="0"/>
                <w:sz w:val="20"/>
              </w:rPr>
            </w:pPr>
            <w:r>
              <w:rPr>
                <w:rFonts w:ascii="Arial Unicode MS" w:eastAsia="Arial Unicode MS" w:hAnsi="Arial Unicode MS" w:cs="Arial Unicode MS"/>
                <w:b w:val="0"/>
                <w:i w:val="0"/>
                <w:sz w:val="20"/>
              </w:rPr>
              <w:t>☐</w:t>
            </w:r>
          </w:p>
        </w:tc>
      </w:tr>
    </w:tbl>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18"/>
        </w:rPr>
        <w:t>Indicate by check mark whether the registrant is a shell company (as defined in Rule 12b-2 of the Exchange Act).  Yes  </w:t>
      </w:r>
      <w:r>
        <w:rPr>
          <w:rFonts w:ascii="Arial Unicode MS" w:eastAsia="Arial Unicode MS" w:hAnsi="Arial Unicode MS" w:cs="Arial Unicode MS"/>
          <w:b w:val="0"/>
          <w:i w:val="0"/>
          <w:sz w:val="20"/>
        </w:rPr>
        <w:t>☐</w:t>
      </w:r>
      <w:r>
        <w:rPr>
          <w:rFonts w:ascii="Times New Roman" w:eastAsia="Times New Roman" w:hAnsi="Times New Roman" w:cs="Times New Roman"/>
          <w:b w:val="0"/>
          <w:i w:val="0"/>
          <w:sz w:val="18"/>
        </w:rPr>
        <w:t xml:space="preserve">  No  </w:t>
      </w:r>
      <w:r>
        <w:rPr>
          <w:rFonts w:ascii="Arial Unicode MS" w:eastAsia="Arial Unicode MS" w:hAnsi="Arial Unicode MS" w:cs="Arial Unicode MS"/>
          <w:b w:val="0"/>
          <w:i w:val="0"/>
          <w:color w:val="000000"/>
          <w:sz w:val="20"/>
          <w:u w:val="none"/>
        </w:rPr>
        <w:t>☒</w:t>
      </w:r>
    </w:p>
    <w:p>
      <w:pPr>
        <w:keepNext/>
        <w:keepLines/>
        <w:pageBreakBefore w:val="0"/>
        <w:widowControl w:val="0"/>
        <w:numPr>
          <w:ilvl w:val="0"/>
          <w:numId w:val="0"/>
        </w:numPr>
        <w:spacing w:before="120" w:after="0" w:line="216" w:lineRule="exact"/>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18"/>
        </w:rPr>
        <w:t xml:space="preserve">As of </w:t>
      </w:r>
      <w:r>
        <w:rPr>
          <w:rFonts w:ascii="Times New Roman" w:eastAsia="Times New Roman" w:hAnsi="Times New Roman" w:cs="Times New Roman"/>
          <w:b w:val="0"/>
          <w:i w:val="0"/>
          <w:color w:val="000000"/>
          <w:sz w:val="18"/>
          <w:u w:val="none"/>
        </w:rPr>
        <w:t>August 1, 2025</w:t>
      </w:r>
      <w:r>
        <w:rPr>
          <w:rFonts w:ascii="Times New Roman" w:eastAsia="Times New Roman" w:hAnsi="Times New Roman" w:cs="Times New Roman"/>
          <w:b w:val="0"/>
          <w:i w:val="0"/>
          <w:sz w:val="18"/>
        </w:rPr>
        <w:t xml:space="preserve">, there were </w:t>
      </w:r>
      <w:r>
        <w:rPr>
          <w:rFonts w:ascii="Times New Roman" w:eastAsia="Times New Roman" w:hAnsi="Times New Roman" w:cs="Times New Roman"/>
          <w:b w:val="0"/>
          <w:i w:val="0"/>
          <w:color w:val="000000"/>
          <w:sz w:val="18"/>
          <w:u w:val="none"/>
        </w:rPr>
        <w:t>41.5 million</w:t>
      </w:r>
      <w:r>
        <w:rPr>
          <w:rFonts w:ascii="Times New Roman" w:eastAsia="Times New Roman" w:hAnsi="Times New Roman" w:cs="Times New Roman"/>
          <w:b w:val="0"/>
          <w:i w:val="0"/>
          <w:sz w:val="18"/>
        </w:rPr>
        <w:t xml:space="preserve"> shares of the registrant’s common stock outstanding.</w:t>
      </w:r>
    </w:p>
    <w:p>
      <w:pPr>
        <w:keepNext/>
        <w:keepLines/>
        <w:pageBreakBefore w:val="0"/>
        <w:widowControl w:val="0"/>
        <w:numPr>
          <w:ilvl w:val="0"/>
          <w:numId w:val="0"/>
        </w:numPr>
        <w:spacing w:before="120" w:after="0" w:line="216" w:lineRule="exact"/>
        <w:ind w:left="0" w:right="0" w:firstLine="0"/>
        <w:jc w:val="left"/>
        <w:outlineLvl w:val="9"/>
        <w:rPr>
          <w:rFonts w:ascii="Times New Roman" w:eastAsia="Times New Roman" w:hAnsi="Times New Roman" w:cs="Times New Roman"/>
          <w:b w:val="0"/>
          <w:i w:val="0"/>
          <w:sz w:val="18"/>
        </w:rPr>
        <w:sectPr>
          <w:headerReference w:type="default" r:id="rId5"/>
          <w:footerReference w:type="default" r:id="rId6"/>
          <w:type w:val="continuous"/>
          <w:pgSz w:w="12240" w:h="15840"/>
          <w:pgMar w:top="360" w:right="720" w:bottom="360" w:left="720" w:header="0" w:footer="0" w:gutter="0"/>
          <w:cols w:space="708"/>
          <w:docGrid w:linePitch="360"/>
        </w:sectPr>
      </w:pPr>
    </w:p>
    <w:p>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0"/>
        </w:rPr>
      </w:pPr>
      <w:bookmarkStart w:id="1" w:name="Section2"/>
      <w:bookmarkEnd w:id="1"/>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18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FORM 10-Q</w:t>
      </w:r>
    </w:p>
    <w:p>
      <w:pPr>
        <w:keepNext w:val="0"/>
        <w:keepLines w:val="0"/>
        <w:pageBreakBefore w:val="0"/>
        <w:widowControl/>
        <w:numPr>
          <w:ilvl w:val="0"/>
          <w:numId w:val="0"/>
        </w:numPr>
        <w:spacing w:before="180" w:after="0" w:line="240" w:lineRule="exact"/>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For the Quarter Ended </w:t>
      </w:r>
      <w:r>
        <w:rPr>
          <w:rFonts w:ascii="Times New Roman" w:eastAsia="Times New Roman" w:hAnsi="Times New Roman" w:cs="Times New Roman"/>
          <w:b/>
          <w:i w:val="0"/>
          <w:color w:val="000000"/>
          <w:sz w:val="20"/>
          <w:u w:val="none"/>
        </w:rPr>
        <w:t>July 4, 2025</w:t>
      </w:r>
      <w:r>
        <w:rPr>
          <w:rFonts w:ascii="Times New Roman" w:eastAsia="Times New Roman" w:hAnsi="Times New Roman" w:cs="Times New Roman"/>
          <w:b/>
          <w:i w:val="0"/>
          <w:sz w:val="20"/>
        </w:rPr>
        <w:t xml:space="preserve"> </w:t>
      </w:r>
    </w:p>
    <w:p>
      <w:pPr>
        <w:keepNext w:val="0"/>
        <w:keepLines w:val="0"/>
        <w:pageBreakBefore w:val="0"/>
        <w:widowControl/>
        <w:numPr>
          <w:ilvl w:val="0"/>
          <w:numId w:val="0"/>
        </w:numPr>
        <w:spacing w:before="18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INDEX</w:t>
      </w:r>
    </w:p>
    <w:p>
      <w:pPr>
        <w:keepNext w:val="0"/>
        <w:keepLines w:val="0"/>
        <w:pageBreakBefore w:val="0"/>
        <w:widowControl/>
        <w:numPr>
          <w:ilvl w:val="0"/>
          <w:numId w:val="0"/>
        </w:numPr>
        <w:spacing w:before="0" w:after="0" w:line="288" w:lineRule="exact"/>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4"/>
        </w:rPr>
        <w:t> </w:t>
      </w:r>
    </w:p>
    <w:tbl>
      <w:tblPr>
        <w:tblW w:w="1081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80"/>
        <w:gridCol w:w="105"/>
        <w:gridCol w:w="8325"/>
        <w:gridCol w:w="1305"/>
      </w:tblGrid>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0" w:right="0" w:firstLine="0"/>
              <w:jc w:val="left"/>
              <w:outlineLvl w:val="9"/>
              <w:rPr>
                <w:rFonts w:ascii="Times New Roman" w:eastAsia="Times New Roman" w:hAnsi="Times New Roman" w:cs="Times New Roman"/>
                <w:b/>
                <w:i w:val="0"/>
                <w:sz w:val="20"/>
                <w:shd w:val="clear" w:color="auto" w:fill="auto"/>
              </w:rPr>
            </w:pPr>
            <w:hyperlink w:anchor="Section3" w:history="1">
              <w:r>
                <w:rPr>
                  <w:rFonts w:ascii="Times New Roman" w:eastAsia="Times New Roman" w:hAnsi="Times New Roman" w:cs="Times New Roman"/>
                  <w:b/>
                  <w:i w:val="0"/>
                  <w:color w:val="0000FF"/>
                  <w:sz w:val="20"/>
                  <w:u w:val="single"/>
                  <w:shd w:val="clear" w:color="auto" w:fill="auto"/>
                </w:rPr>
                <w:t>Part I.</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3" w:history="1">
              <w:r>
                <w:rPr>
                  <w:rFonts w:ascii="Times New Roman" w:eastAsia="Times New Roman" w:hAnsi="Times New Roman" w:cs="Times New Roman"/>
                  <w:b w:val="0"/>
                  <w:i w:val="0"/>
                  <w:color w:val="0000FF"/>
                  <w:sz w:val="20"/>
                  <w:u w:val="single"/>
                  <w:shd w:val="clear" w:color="auto" w:fill="auto"/>
                </w:rPr>
                <w:t>Financial Information</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Section3</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2</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 w:history="1">
              <w:r>
                <w:rPr>
                  <w:rFonts w:ascii="Times New Roman" w:eastAsia="Times New Roman" w:hAnsi="Times New Roman" w:cs="Times New Roman"/>
                  <w:b w:val="0"/>
                  <w:i w:val="0"/>
                  <w:color w:val="0000FF"/>
                  <w:sz w:val="20"/>
                  <w:u w:val="single"/>
                  <w:shd w:val="clear" w:color="auto" w:fill="auto"/>
                </w:rPr>
                <w:t>Item 1.</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 w:history="1">
              <w:r>
                <w:rPr>
                  <w:rFonts w:ascii="Times New Roman" w:eastAsia="Times New Roman" w:hAnsi="Times New Roman" w:cs="Times New Roman"/>
                  <w:b w:val="0"/>
                  <w:i w:val="0"/>
                  <w:color w:val="0000FF"/>
                  <w:sz w:val="20"/>
                  <w:u w:val="single"/>
                  <w:shd w:val="clear" w:color="auto" w:fill="auto"/>
                </w:rPr>
                <w:t>Unaudited Financial Statements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2</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5" w:history="1">
              <w:r>
                <w:rPr>
                  <w:rFonts w:ascii="Times New Roman" w:eastAsia="Times New Roman" w:hAnsi="Times New Roman" w:cs="Times New Roman"/>
                  <w:b w:val="0"/>
                  <w:i w:val="0"/>
                  <w:color w:val="0000FF"/>
                  <w:sz w:val="20"/>
                  <w:u w:val="single"/>
                  <w:shd w:val="clear" w:color="auto" w:fill="auto"/>
                </w:rPr>
                <w:t>Condensed Consolidated Statements of Operations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Section5</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2</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6" w:history="1">
              <w:r>
                <w:rPr>
                  <w:rFonts w:ascii="Times New Roman" w:eastAsia="Times New Roman" w:hAnsi="Times New Roman" w:cs="Times New Roman"/>
                  <w:b w:val="0"/>
                  <w:i w:val="0"/>
                  <w:color w:val="0000FF"/>
                  <w:sz w:val="20"/>
                  <w:u w:val="single"/>
                  <w:shd w:val="clear" w:color="auto" w:fill="auto"/>
                </w:rPr>
                <w:t xml:space="preserve">Condensed Consolidated Statements of Comprehensive </w:t>
              </w:r>
            </w:hyperlink>
            <w:hyperlink w:anchor="Section6" w:history="1">
              <w:r>
                <w:rPr>
                  <w:rFonts w:ascii="Times New Roman" w:eastAsia="Times New Roman" w:hAnsi="Times New Roman" w:cs="Times New Roman"/>
                  <w:b w:val="0"/>
                  <w:i w:val="0"/>
                  <w:color w:val="0000FF"/>
                  <w:sz w:val="20"/>
                  <w:u w:val="single"/>
                  <w:shd w:val="clear" w:color="auto" w:fill="auto"/>
                </w:rPr>
                <w:t>(</w:t>
              </w:r>
            </w:hyperlink>
            <w:hyperlink w:anchor="Section6" w:history="1">
              <w:r>
                <w:rPr>
                  <w:rFonts w:ascii="Times New Roman" w:eastAsia="Times New Roman" w:hAnsi="Times New Roman" w:cs="Times New Roman"/>
                  <w:b w:val="0"/>
                  <w:i w:val="0"/>
                  <w:color w:val="0000FF"/>
                  <w:sz w:val="20"/>
                  <w:u w:val="single"/>
                  <w:shd w:val="clear" w:color="auto" w:fill="auto"/>
                </w:rPr>
                <w:t xml:space="preserve">Loss) </w:t>
              </w:r>
            </w:hyperlink>
            <w:hyperlink w:anchor="Section6" w:history="1">
              <w:r>
                <w:rPr>
                  <w:rFonts w:ascii="Times New Roman" w:eastAsia="Times New Roman" w:hAnsi="Times New Roman" w:cs="Times New Roman"/>
                  <w:b w:val="0"/>
                  <w:i w:val="0"/>
                  <w:color w:val="0000FF"/>
                  <w:sz w:val="20"/>
                  <w:u w:val="single"/>
                  <w:shd w:val="clear" w:color="auto" w:fill="auto"/>
                </w:rPr>
                <w:t>Income</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Section6</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3</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shd w:val="clear" w:color="auto" w:fill="auto"/>
              </w:rPr>
            </w:pPr>
            <w:hyperlink w:anchor="Section7" w:history="1">
              <w:r>
                <w:rPr>
                  <w:rFonts w:ascii="Times New Roman" w:eastAsia="Times New Roman" w:hAnsi="Times New Roman" w:cs="Times New Roman"/>
                  <w:b w:val="0"/>
                  <w:i w:val="0"/>
                  <w:color w:val="0000FF"/>
                  <w:sz w:val="20"/>
                  <w:u w:val="single"/>
                  <w:shd w:val="clear" w:color="auto" w:fill="auto"/>
                </w:rPr>
                <w:t>Condensed Consolidated Balance Sheets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Section7</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8" w:history="1">
              <w:r>
                <w:rPr>
                  <w:rFonts w:ascii="Times New Roman" w:eastAsia="Times New Roman" w:hAnsi="Times New Roman" w:cs="Times New Roman"/>
                  <w:b w:val="0"/>
                  <w:i w:val="0"/>
                  <w:color w:val="0000FF"/>
                  <w:sz w:val="20"/>
                  <w:u w:val="single"/>
                  <w:shd w:val="clear" w:color="auto" w:fill="auto"/>
                </w:rPr>
                <w:t>Condensed Consolidated Statements of Stockholders' Equity</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Section8</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5</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shd w:val="clear" w:color="auto" w:fill="auto"/>
              </w:rPr>
            </w:pPr>
            <w:hyperlink w:anchor="Section10" w:history="1">
              <w:r>
                <w:rPr>
                  <w:rFonts w:ascii="Times New Roman" w:eastAsia="Times New Roman" w:hAnsi="Times New Roman" w:cs="Times New Roman"/>
                  <w:b w:val="0"/>
                  <w:i w:val="0"/>
                  <w:color w:val="0000FF"/>
                  <w:sz w:val="20"/>
                  <w:u w:val="single"/>
                  <w:shd w:val="clear" w:color="auto" w:fill="auto"/>
                </w:rPr>
                <w:t>Condensed Consolidated Statements of Cash Flows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Section10</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7</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11" w:history="1">
              <w:r>
                <w:rPr>
                  <w:rFonts w:ascii="Times New Roman" w:eastAsia="Times New Roman" w:hAnsi="Times New Roman" w:cs="Times New Roman"/>
                  <w:b w:val="0"/>
                  <w:i w:val="0"/>
                  <w:color w:val="0000FF"/>
                  <w:sz w:val="20"/>
                  <w:u w:val="single"/>
                  <w:shd w:val="clear" w:color="auto" w:fill="auto"/>
                </w:rPr>
                <w:t>Notes to the Condensed Consolidated Financial Statements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Section11</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8</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31" w:history="1">
              <w:r>
                <w:rPr>
                  <w:rFonts w:ascii="Times New Roman" w:eastAsia="Times New Roman" w:hAnsi="Times New Roman" w:cs="Times New Roman"/>
                  <w:b w:val="0"/>
                  <w:i w:val="0"/>
                  <w:color w:val="0000FF"/>
                  <w:sz w:val="20"/>
                  <w:u w:val="single"/>
                  <w:shd w:val="clear" w:color="auto" w:fill="auto"/>
                </w:rPr>
                <w:t>Item 2.</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31" w:history="1">
              <w:r>
                <w:rPr>
                  <w:rFonts w:ascii="Times New Roman" w:eastAsia="Times New Roman" w:hAnsi="Times New Roman" w:cs="Times New Roman"/>
                  <w:b w:val="0"/>
                  <w:i w:val="0"/>
                  <w:color w:val="0000FF"/>
                  <w:sz w:val="20"/>
                  <w:u w:val="single"/>
                  <w:shd w:val="clear" w:color="auto" w:fill="auto"/>
                </w:rPr>
                <w:t>Management’s Discussion and Analysis of Financial Condition and Results of Operations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Section31</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33</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39" w:history="1">
              <w:r>
                <w:rPr>
                  <w:rFonts w:ascii="Times New Roman" w:eastAsia="Times New Roman" w:hAnsi="Times New Roman" w:cs="Times New Roman"/>
                  <w:b w:val="0"/>
                  <w:i w:val="0"/>
                  <w:color w:val="0000FF"/>
                  <w:sz w:val="20"/>
                  <w:u w:val="single"/>
                  <w:shd w:val="clear" w:color="auto" w:fill="auto"/>
                </w:rPr>
                <w:t>Item 3.</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39" w:history="1">
              <w:r>
                <w:rPr>
                  <w:rFonts w:ascii="Times New Roman" w:eastAsia="Times New Roman" w:hAnsi="Times New Roman" w:cs="Times New Roman"/>
                  <w:b w:val="0"/>
                  <w:i w:val="0"/>
                  <w:color w:val="0000FF"/>
                  <w:sz w:val="20"/>
                  <w:u w:val="single"/>
                  <w:shd w:val="clear" w:color="auto" w:fill="auto"/>
                </w:rPr>
                <w:t>Quantitative and Qualitative Disclosures About Market Risk</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Section39</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43</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0" w:history="1">
              <w:r>
                <w:rPr>
                  <w:rFonts w:ascii="Times New Roman" w:eastAsia="Times New Roman" w:hAnsi="Times New Roman" w:cs="Times New Roman"/>
                  <w:b w:val="0"/>
                  <w:i w:val="0"/>
                  <w:color w:val="0000FF"/>
                  <w:sz w:val="20"/>
                  <w:u w:val="single"/>
                  <w:shd w:val="clear" w:color="auto" w:fill="auto"/>
                </w:rPr>
                <w:t>Item 4.</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0" w:history="1">
              <w:r>
                <w:rPr>
                  <w:rFonts w:ascii="Times New Roman" w:eastAsia="Times New Roman" w:hAnsi="Times New Roman" w:cs="Times New Roman"/>
                  <w:b w:val="0"/>
                  <w:i w:val="0"/>
                  <w:color w:val="0000FF"/>
                  <w:sz w:val="20"/>
                  <w:u w:val="single"/>
                  <w:shd w:val="clear" w:color="auto" w:fill="auto"/>
                </w:rPr>
                <w:t>Controls and Procedures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Section40</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45</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0" w:right="0" w:firstLine="0"/>
              <w:jc w:val="left"/>
              <w:outlineLvl w:val="9"/>
              <w:rPr>
                <w:rFonts w:ascii="Times New Roman" w:eastAsia="Times New Roman" w:hAnsi="Times New Roman" w:cs="Times New Roman"/>
                <w:b/>
                <w:i w:val="0"/>
                <w:sz w:val="20"/>
                <w:shd w:val="clear" w:color="auto" w:fill="auto"/>
              </w:rPr>
            </w:pPr>
            <w:hyperlink w:anchor="Section41" w:history="1">
              <w:r>
                <w:rPr>
                  <w:rFonts w:ascii="Times New Roman" w:eastAsia="Times New Roman" w:hAnsi="Times New Roman" w:cs="Times New Roman"/>
                  <w:b/>
                  <w:i w:val="0"/>
                  <w:color w:val="0000FF"/>
                  <w:sz w:val="20"/>
                  <w:u w:val="single"/>
                  <w:shd w:val="clear" w:color="auto" w:fill="auto"/>
                </w:rPr>
                <w:t>Part II.</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1" w:history="1">
              <w:r>
                <w:rPr>
                  <w:rFonts w:ascii="Times New Roman" w:eastAsia="Times New Roman" w:hAnsi="Times New Roman" w:cs="Times New Roman"/>
                  <w:b w:val="0"/>
                  <w:i w:val="0"/>
                  <w:color w:val="0000FF"/>
                  <w:sz w:val="20"/>
                  <w:u w:val="single"/>
                  <w:shd w:val="clear" w:color="auto" w:fill="auto"/>
                </w:rPr>
                <w:t>Other Information</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Section41</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46</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2" w:history="1">
              <w:r>
                <w:rPr>
                  <w:rFonts w:ascii="Times New Roman" w:eastAsia="Times New Roman" w:hAnsi="Times New Roman" w:cs="Times New Roman"/>
                  <w:b w:val="0"/>
                  <w:i w:val="0"/>
                  <w:color w:val="0000FF"/>
                  <w:sz w:val="20"/>
                  <w:u w:val="single"/>
                  <w:shd w:val="clear" w:color="auto" w:fill="auto"/>
                </w:rPr>
                <w:t>Item 1.</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2" w:history="1">
              <w:r>
                <w:rPr>
                  <w:rFonts w:ascii="Times New Roman" w:eastAsia="Times New Roman" w:hAnsi="Times New Roman" w:cs="Times New Roman"/>
                  <w:b w:val="0"/>
                  <w:i w:val="0"/>
                  <w:color w:val="0000FF"/>
                  <w:sz w:val="20"/>
                  <w:u w:val="single"/>
                  <w:shd w:val="clear" w:color="auto" w:fill="auto"/>
                </w:rPr>
                <w:t>Legal Proceedings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Section42</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46</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3" w:history="1">
              <w:r>
                <w:rPr>
                  <w:rFonts w:ascii="Times New Roman" w:eastAsia="Times New Roman" w:hAnsi="Times New Roman" w:cs="Times New Roman"/>
                  <w:b w:val="0"/>
                  <w:i w:val="0"/>
                  <w:color w:val="0000FF"/>
                  <w:sz w:val="20"/>
                  <w:u w:val="single"/>
                  <w:shd w:val="clear" w:color="auto" w:fill="auto"/>
                </w:rPr>
                <w:t>Item 1A.</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3" w:history="1">
              <w:r>
                <w:rPr>
                  <w:rFonts w:ascii="Times New Roman" w:eastAsia="Times New Roman" w:hAnsi="Times New Roman" w:cs="Times New Roman"/>
                  <w:b w:val="0"/>
                  <w:i w:val="0"/>
                  <w:color w:val="0000FF"/>
                  <w:sz w:val="20"/>
                  <w:u w:val="single"/>
                  <w:shd w:val="clear" w:color="auto" w:fill="auto"/>
                </w:rPr>
                <w:t>Risk Factors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Section43</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46</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4" w:history="1">
              <w:r>
                <w:rPr>
                  <w:rFonts w:ascii="Times New Roman" w:eastAsia="Times New Roman" w:hAnsi="Times New Roman" w:cs="Times New Roman"/>
                  <w:b w:val="0"/>
                  <w:i w:val="0"/>
                  <w:color w:val="0000FF"/>
                  <w:sz w:val="20"/>
                  <w:u w:val="single"/>
                  <w:shd w:val="clear" w:color="auto" w:fill="auto"/>
                </w:rPr>
                <w:t>Item 2.</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4" w:history="1">
              <w:r>
                <w:rPr>
                  <w:rFonts w:ascii="Times New Roman" w:eastAsia="Times New Roman" w:hAnsi="Times New Roman" w:cs="Times New Roman"/>
                  <w:b w:val="0"/>
                  <w:i w:val="0"/>
                  <w:color w:val="0000FF"/>
                  <w:sz w:val="20"/>
                  <w:u w:val="single"/>
                  <w:shd w:val="clear" w:color="auto" w:fill="auto"/>
                </w:rPr>
                <w:t>Unregistered Sales of Equity Securities and Use of Proceeds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Section44</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61</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5" w:history="1">
              <w:r>
                <w:rPr>
                  <w:rFonts w:ascii="Times New Roman" w:eastAsia="Times New Roman" w:hAnsi="Times New Roman" w:cs="Times New Roman"/>
                  <w:b w:val="0"/>
                  <w:i w:val="0"/>
                  <w:color w:val="0000FF"/>
                  <w:sz w:val="20"/>
                  <w:u w:val="single"/>
                  <w:shd w:val="clear" w:color="auto" w:fill="auto"/>
                </w:rPr>
                <w:t>Item 3.</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5" w:history="1">
              <w:r>
                <w:rPr>
                  <w:rFonts w:ascii="Times New Roman" w:eastAsia="Times New Roman" w:hAnsi="Times New Roman" w:cs="Times New Roman"/>
                  <w:b w:val="0"/>
                  <w:i w:val="0"/>
                  <w:color w:val="0000FF"/>
                  <w:sz w:val="20"/>
                  <w:u w:val="single"/>
                  <w:shd w:val="clear" w:color="auto" w:fill="auto"/>
                </w:rPr>
                <w:t>Defaults Upon Senior Securities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Section45</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61</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6" w:history="1">
              <w:r>
                <w:rPr>
                  <w:rFonts w:ascii="Times New Roman" w:eastAsia="Times New Roman" w:hAnsi="Times New Roman" w:cs="Times New Roman"/>
                  <w:b w:val="0"/>
                  <w:i w:val="0"/>
                  <w:color w:val="0000FF"/>
                  <w:sz w:val="20"/>
                  <w:u w:val="single"/>
                  <w:shd w:val="clear" w:color="auto" w:fill="auto"/>
                </w:rPr>
                <w:t>Item 4.</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6" w:history="1">
              <w:r>
                <w:rPr>
                  <w:rFonts w:ascii="Times New Roman" w:eastAsia="Times New Roman" w:hAnsi="Times New Roman" w:cs="Times New Roman"/>
                  <w:b w:val="0"/>
                  <w:i w:val="0"/>
                  <w:color w:val="0000FF"/>
                  <w:sz w:val="20"/>
                  <w:u w:val="single"/>
                  <w:shd w:val="clear" w:color="auto" w:fill="auto"/>
                </w:rPr>
                <w:t>Mine Safety Disclosures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Section46</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61</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7" w:history="1">
              <w:r>
                <w:rPr>
                  <w:rFonts w:ascii="Times New Roman" w:eastAsia="Times New Roman" w:hAnsi="Times New Roman" w:cs="Times New Roman"/>
                  <w:b w:val="0"/>
                  <w:i w:val="0"/>
                  <w:color w:val="0000FF"/>
                  <w:sz w:val="20"/>
                  <w:u w:val="single"/>
                  <w:shd w:val="clear" w:color="auto" w:fill="auto"/>
                </w:rPr>
                <w:t>Item 5.</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7" w:history="1">
              <w:r>
                <w:rPr>
                  <w:rFonts w:ascii="Times New Roman" w:eastAsia="Times New Roman" w:hAnsi="Times New Roman" w:cs="Times New Roman"/>
                  <w:b w:val="0"/>
                  <w:i w:val="0"/>
                  <w:color w:val="0000FF"/>
                  <w:sz w:val="20"/>
                  <w:u w:val="single"/>
                  <w:shd w:val="clear" w:color="auto" w:fill="auto"/>
                </w:rPr>
                <w:t>Other Information</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Section47</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61</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00" w:lineRule="exact"/>
              <w:ind w:left="135" w:right="0" w:firstLine="0"/>
              <w:jc w:val="left"/>
              <w:outlineLvl w:val="9"/>
              <w:rPr>
                <w:rFonts w:ascii="Times New Roman" w:eastAsia="Times New Roman" w:hAnsi="Times New Roman" w:cs="Times New Roman"/>
                <w:b w:val="0"/>
                <w:i w:val="0"/>
                <w:sz w:val="20"/>
                <w:shd w:val="clear" w:color="auto" w:fill="auto"/>
              </w:rPr>
            </w:pPr>
            <w:hyperlink w:anchor="Section48" w:history="1">
              <w:r>
                <w:rPr>
                  <w:rFonts w:ascii="Times New Roman" w:eastAsia="Times New Roman" w:hAnsi="Times New Roman" w:cs="Times New Roman"/>
                  <w:b w:val="0"/>
                  <w:i w:val="0"/>
                  <w:color w:val="0000FF"/>
                  <w:sz w:val="20"/>
                  <w:u w:val="single"/>
                  <w:shd w:val="clear" w:color="auto" w:fill="auto"/>
                </w:rPr>
                <w:t>Item 6.</w:t>
              </w:r>
            </w:hyperlink>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8" w:history="1">
              <w:r>
                <w:rPr>
                  <w:rFonts w:ascii="Times New Roman" w:eastAsia="Times New Roman" w:hAnsi="Times New Roman" w:cs="Times New Roman"/>
                  <w:b w:val="0"/>
                  <w:i w:val="0"/>
                  <w:color w:val="0000FF"/>
                  <w:sz w:val="20"/>
                  <w:u w:val="single"/>
                  <w:shd w:val="clear" w:color="auto" w:fill="auto"/>
                </w:rPr>
                <w:t>Exhibits</w:t>
              </w:r>
            </w:hyperlink>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Section48</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62</w:t>
            </w:r>
            <w:r>
              <w:rPr>
                <w:rFonts w:ascii="Times New Roman" w:eastAsia="Times New Roman" w:hAnsi="Times New Roman" w:cs="Times New Roman"/>
                <w:b w:val="0"/>
                <w:i w:val="0"/>
                <w:color w:val="0000FF"/>
                <w:sz w:val="20"/>
                <w:u w:val="single"/>
              </w:rPr>
              <w:fldChar w:fldCharType="end"/>
            </w:r>
          </w:p>
        </w:tc>
      </w:tr>
      <w:tr>
        <w:tblPrEx>
          <w:tblW w:w="10815" w:type="dxa"/>
          <w:tblInd w:w="0" w:type="dxa"/>
          <w:tblLayout w:type="fixed"/>
        </w:tblPrEx>
        <w:trPr>
          <w:cantSplit/>
          <w:trHeight w:hRule="exact" w:val="285"/>
        </w:trPr>
        <w:tc>
          <w:tcPr>
            <w:tcW w:w="10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15" w:type="dxa"/>
          <w:tblInd w:w="0" w:type="dxa"/>
          <w:tblLayout w:type="fixed"/>
        </w:tblPrEx>
        <w:trPr>
          <w:cantSplit/>
          <w:trHeight w:hRule="exact" w:val="285"/>
        </w:trPr>
        <w:tc>
          <w:tcPr>
            <w:tcW w:w="9510" w:type="dxa"/>
            <w:gridSpan w:val="3"/>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w:anchor="Section49" w:history="1">
              <w:r>
                <w:rPr>
                  <w:rFonts w:ascii="Times New Roman" w:eastAsia="Times New Roman" w:hAnsi="Times New Roman" w:cs="Times New Roman"/>
                  <w:b w:val="0"/>
                  <w:i w:val="0"/>
                  <w:color w:val="0000FF"/>
                  <w:sz w:val="20"/>
                  <w:u w:val="single"/>
                  <w:shd w:val="clear" w:color="auto" w:fill="auto"/>
                </w:rPr>
                <w:t>Signatures</w:t>
              </w:r>
            </w:hyperlink>
          </w:p>
        </w:tc>
        <w:tc>
          <w:tcPr>
            <w:tcW w:w="130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FF"/>
                <w:sz w:val="20"/>
                <w:u w:val="single"/>
              </w:rPr>
              <w:fldChar w:fldCharType="begin"/>
            </w:r>
            <w:r>
              <w:rPr>
                <w:rFonts w:ascii="Times New Roman" w:eastAsia="Times New Roman" w:hAnsi="Times New Roman" w:cs="Times New Roman"/>
                <w:b w:val="0"/>
                <w:i w:val="0"/>
                <w:color w:val="0000FF"/>
                <w:sz w:val="20"/>
                <w:u w:val="single"/>
              </w:rPr>
              <w:instrText xml:space="preserve"> PAGEREF </w:instrText>
            </w:r>
            <w:r>
              <w:rPr>
                <w:rFonts w:ascii="Times New Roman" w:eastAsia="Times New Roman" w:hAnsi="Times New Roman" w:cs="Times New Roman"/>
                <w:b w:val="0"/>
                <w:i w:val="0"/>
                <w:color w:val="0000FF"/>
                <w:sz w:val="20"/>
                <w:u w:val="single"/>
              </w:rPr>
              <w:instrText xml:space="preserve"> </w:instrText>
            </w:r>
            <w:r>
              <w:rPr>
                <w:rFonts w:ascii="Times New Roman" w:eastAsia="Times New Roman" w:hAnsi="Times New Roman" w:cs="Times New Roman"/>
                <w:b w:val="0"/>
                <w:i w:val="0"/>
                <w:color w:val="0000FF"/>
                <w:sz w:val="20"/>
                <w:u w:val="single"/>
              </w:rPr>
              <w:instrText>Section49</w:instrText>
            </w:r>
            <w:r>
              <w:rPr>
                <w:rFonts w:ascii="Times New Roman" w:eastAsia="Times New Roman" w:hAnsi="Times New Roman" w:cs="Times New Roman"/>
                <w:b w:val="0"/>
                <w:i w:val="0"/>
                <w:color w:val="0000FF"/>
                <w:sz w:val="20"/>
                <w:u w:val="single"/>
              </w:rPr>
              <w:instrText xml:space="preserve"> \h</w:instrText>
            </w:r>
            <w:r>
              <w:rPr>
                <w:rFonts w:ascii="Times New Roman" w:eastAsia="Times New Roman" w:hAnsi="Times New Roman" w:cs="Times New Roman"/>
                <w:b w:val="0"/>
                <w:i w:val="0"/>
                <w:color w:val="0000FF"/>
                <w:sz w:val="20"/>
                <w:u w:val="single"/>
              </w:rPr>
              <w:fldChar w:fldCharType="separate"/>
            </w:r>
            <w:r>
              <w:rPr>
                <w:rFonts w:ascii="Times New Roman" w:eastAsia="Times New Roman" w:hAnsi="Times New Roman" w:cs="Times New Roman"/>
                <w:b w:val="0"/>
                <w:i w:val="0"/>
                <w:color w:val="0000FF"/>
                <w:sz w:val="20"/>
                <w:u w:val="single"/>
              </w:rPr>
              <w:t>63</w:t>
            </w:r>
            <w:r>
              <w:rPr>
                <w:rFonts w:ascii="Times New Roman" w:eastAsia="Times New Roman" w:hAnsi="Times New Roman" w:cs="Times New Roman"/>
                <w:b w:val="0"/>
                <w:i w:val="0"/>
                <w:color w:val="0000FF"/>
                <w:sz w:val="20"/>
                <w:u w:val="single"/>
              </w:rPr>
              <w:fldChar w:fldCharType="end"/>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sectPr>
          <w:headerReference w:type="default" r:id="rId7"/>
          <w:footerReference w:type="default" r:id="rId8"/>
          <w:pgSz w:w="12240" w:h="15840"/>
          <w:pgMar w:top="1080" w:right="720" w:bottom="1080" w:left="720" w:header="0" w:footer="270"/>
          <w:pgNumType w:start="1"/>
          <w:cols w:space="708"/>
        </w:sectPr>
      </w:pPr>
    </w:p>
    <w:p>
      <w:pPr>
        <w:keepNext w:val="0"/>
        <w:keepLines w:val="0"/>
        <w:pageBreakBefore w:val="0"/>
        <w:widowControl/>
        <w:numPr>
          <w:ilvl w:val="0"/>
          <w:numId w:val="0"/>
        </w:numPr>
        <w:spacing w:before="0" w:after="0" w:line="288" w:lineRule="auto"/>
        <w:ind w:left="0" w:right="0" w:firstLine="0"/>
        <w:jc w:val="left"/>
        <w:outlineLvl w:val="0"/>
        <w:rPr>
          <w:rFonts w:ascii="Times New Roman" w:eastAsia="Times New Roman" w:hAnsi="Times New Roman" w:cs="Times New Roman"/>
          <w:b/>
          <w:i w:val="0"/>
          <w:sz w:val="20"/>
        </w:rPr>
      </w:pPr>
      <w:bookmarkStart w:id="2" w:name="Section3"/>
      <w:bookmarkEnd w:id="2"/>
      <w:r>
        <w:rPr>
          <w:rFonts w:ascii="Times New Roman" w:eastAsia="Times New Roman" w:hAnsi="Times New Roman" w:cs="Times New Roman"/>
          <w:b/>
          <w:i w:val="0"/>
          <w:sz w:val="20"/>
        </w:rPr>
        <w:t>PART I</w:t>
      </w:r>
    </w:p>
    <w:p>
      <w:pPr>
        <w:keepNext w:val="0"/>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FINANCIAL INFORMATION</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sectPr>
          <w:headerReference w:type="default" r:id="rId9"/>
          <w:pgSz w:w="12240" w:h="15840"/>
          <w:pgMar w:top="1080" w:right="720" w:bottom="1080" w:left="720" w:header="270" w:footer="270"/>
          <w:cols w:space="708"/>
        </w:sectPr>
      </w:pPr>
    </w:p>
    <w:p>
      <w:pPr>
        <w:keepNext w:val="0"/>
        <w:keepLines w:val="0"/>
        <w:pageBreakBefore w:val="0"/>
        <w:widowControl/>
        <w:numPr>
          <w:ilvl w:val="0"/>
          <w:numId w:val="0"/>
        </w:numPr>
        <w:spacing w:before="240" w:after="0" w:line="240" w:lineRule="exact"/>
        <w:ind w:left="0" w:right="0" w:firstLine="0"/>
        <w:jc w:val="left"/>
        <w:outlineLvl w:val="1"/>
        <w:rPr>
          <w:rFonts w:ascii="Times New Roman" w:eastAsia="Times New Roman" w:hAnsi="Times New Roman" w:cs="Times New Roman"/>
          <w:b/>
          <w:i w:val="0"/>
          <w:sz w:val="20"/>
        </w:rPr>
      </w:pPr>
      <w:bookmarkStart w:id="3" w:name="Section4"/>
      <w:bookmarkEnd w:id="3"/>
      <w:r>
        <w:rPr>
          <w:rFonts w:ascii="Times New Roman" w:eastAsia="Times New Roman" w:hAnsi="Times New Roman" w:cs="Times New Roman"/>
          <w:b/>
          <w:i w:val="0"/>
          <w:sz w:val="20"/>
        </w:rPr>
        <w:t>Item 1. Unaudited Financial Statements</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sectPr>
          <w:headerReference w:type="default" r:id="rId10"/>
          <w:footerReference w:type="default" r:id="rId11"/>
          <w:type w:val="continuous"/>
          <w:pgSz w:w="12240" w:h="15840"/>
          <w:pgMar w:top="1080" w:right="720" w:bottom="1080" w:left="720" w:header="270" w:footer="0"/>
          <w:cols w:space="708"/>
        </w:sect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bookmarkStart w:id="4" w:name="Section5"/>
      <w:bookmarkEnd w:id="4"/>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CONDENSED CONSOLIDATED STATEMENTS OF OPERATIONS</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650"/>
        <w:gridCol w:w="75"/>
        <w:gridCol w:w="1560"/>
        <w:gridCol w:w="75"/>
        <w:gridCol w:w="1560"/>
        <w:gridCol w:w="75"/>
        <w:gridCol w:w="1365"/>
        <w:gridCol w:w="75"/>
        <w:gridCol w:w="1365"/>
      </w:tblGrid>
      <w:tr>
        <w:tblPrEx>
          <w:tblW w:w="10800" w:type="dxa"/>
          <w:tblInd w:w="0" w:type="dxa"/>
          <w:tblLayout w:type="fixed"/>
        </w:tblPrEx>
        <w:trPr>
          <w:cantSplit/>
          <w:trHeight w:hRule="exact" w:val="300"/>
        </w:trPr>
        <w:tc>
          <w:tcPr>
            <w:tcW w:w="46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465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 except per share amounts)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Revenues,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209.1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w:t>
              <w:tab/>
              <w:t>615.7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w:t>
              <w:tab/>
              <w:t>605.3</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Cost of revenues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135.5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142.2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34"/>
                <w:tab w:val="left" w:pos="1297"/>
              </w:tabs>
              <w:spacing w:before="75" w:after="30" w:line="240" w:lineRule="auto"/>
              <w:jc w:val="right"/>
            </w:pPr>
            <w:r>
              <w:rPr>
                <w:rFonts w:ascii="Times New Roman" w:eastAsia="Times New Roman" w:hAnsi="Times New Roman" w:cs="Times New Roman"/>
                <w:b w:val="0"/>
                <w:i w:val="0"/>
                <w:color w:val="000000"/>
                <w:sz w:val="18"/>
                <w:u w:val="none"/>
              </w:rPr>
              <w:tab/>
              <w:t>403.0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34"/>
                <w:tab w:val="left" w:pos="1297"/>
              </w:tabs>
              <w:spacing w:before="75" w:after="30" w:line="240" w:lineRule="auto"/>
              <w:jc w:val="right"/>
            </w:pPr>
            <w:r>
              <w:rPr>
                <w:rFonts w:ascii="Times New Roman" w:eastAsia="Times New Roman" w:hAnsi="Times New Roman" w:cs="Times New Roman"/>
                <w:b w:val="0"/>
                <w:i w:val="0"/>
                <w:color w:val="000000"/>
                <w:sz w:val="18"/>
                <w:u w:val="none"/>
              </w:rPr>
              <w:tab/>
              <w:t>415.5</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300" w:hanging="180"/>
              <w:jc w:val="left"/>
            </w:pPr>
            <w:r>
              <w:rPr>
                <w:rFonts w:ascii="Times New Roman" w:eastAsia="Times New Roman" w:hAnsi="Times New Roman" w:cs="Times New Roman"/>
                <w:b w:val="0"/>
                <w:i w:val="0"/>
                <w:color w:val="000000"/>
                <w:sz w:val="18"/>
                <w:u w:val="none"/>
              </w:rPr>
              <w:t>Gross profit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67.5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66.9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ab/>
              <w:t>212.7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ab/>
              <w:t>189.8</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Operating expenses: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Research and development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21.4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22.0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66.9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65.1</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Selling, general, and administrative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32.9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35.6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99.3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297"/>
              </w:tabs>
              <w:spacing w:before="75" w:after="30" w:line="240" w:lineRule="auto"/>
              <w:jc w:val="right"/>
            </w:pPr>
            <w:r>
              <w:rPr>
                <w:rFonts w:ascii="Times New Roman" w:eastAsia="Times New Roman" w:hAnsi="Times New Roman" w:cs="Times New Roman"/>
                <w:b w:val="0"/>
                <w:i w:val="0"/>
                <w:color w:val="000000"/>
                <w:sz w:val="18"/>
                <w:u w:val="none"/>
              </w:rPr>
              <w:tab/>
              <w:t>103.5</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Impairment of goodwill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59"/>
                <w:tab w:val="left" w:pos="129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ind w:left="345"/>
              <w:jc w:val="left"/>
            </w:pPr>
            <w:r>
              <w:rPr>
                <w:rFonts w:ascii="Times New Roman" w:eastAsia="Times New Roman" w:hAnsi="Times New Roman" w:cs="Times New Roman"/>
                <w:b w:val="0"/>
                <w:i w:val="0"/>
                <w:color w:val="000000"/>
                <w:sz w:val="18"/>
                <w:u w:val="none"/>
              </w:rPr>
              <w:t>Total operating expenses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148.2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57.6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ab/>
              <w:t>260.1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34"/>
                <w:tab w:val="left" w:pos="1297"/>
              </w:tabs>
              <w:spacing w:before="55" w:after="30" w:line="240" w:lineRule="auto"/>
              <w:jc w:val="right"/>
            </w:pPr>
            <w:r>
              <w:rPr>
                <w:rFonts w:ascii="Times New Roman" w:eastAsia="Times New Roman" w:hAnsi="Times New Roman" w:cs="Times New Roman"/>
                <w:b w:val="0"/>
                <w:i w:val="0"/>
                <w:color w:val="000000"/>
                <w:sz w:val="18"/>
                <w:u w:val="none"/>
              </w:rPr>
              <w:tab/>
              <w:t>168.6</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Operating (loss)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(80.7)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9.3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(47.4)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55" w:after="30" w:line="240" w:lineRule="auto"/>
              <w:jc w:val="right"/>
            </w:pPr>
            <w:r>
              <w:rPr>
                <w:rFonts w:ascii="Times New Roman" w:eastAsia="Times New Roman" w:hAnsi="Times New Roman" w:cs="Times New Roman"/>
                <w:b w:val="0"/>
                <w:i w:val="0"/>
                <w:color w:val="000000"/>
                <w:sz w:val="18"/>
                <w:u w:val="none"/>
              </w:rPr>
              <w:tab/>
              <w:t>21.2</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Interest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1.8</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7.5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5.5</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(9.4)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(7.4)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ab/>
              <w:t>(27.6)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ab/>
              <w:t>(22.6)</w:t>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00" w:hanging="180"/>
              <w:jc w:val="left"/>
            </w:pPr>
            <w:r>
              <w:rPr>
                <w:rFonts w:ascii="Times New Roman" w:eastAsia="Times New Roman" w:hAnsi="Times New Roman" w:cs="Times New Roman"/>
                <w:b w:val="0"/>
                <w:i w:val="0"/>
                <w:color w:val="000000"/>
                <w:sz w:val="18"/>
                <w:u w:val="none"/>
              </w:rPr>
              <w:t>Other income (expense), net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1.0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(2.9)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34"/>
              </w:tabs>
              <w:spacing w:before="75" w:after="30" w:line="240" w:lineRule="auto"/>
              <w:jc w:val="right"/>
            </w:pPr>
            <w:r>
              <w:rPr>
                <w:rFonts w:ascii="Times New Roman" w:eastAsia="Times New Roman" w:hAnsi="Times New Roman" w:cs="Times New Roman"/>
                <w:b w:val="0"/>
                <w:i w:val="0"/>
                <w:color w:val="000000"/>
                <w:sz w:val="18"/>
                <w:u w:val="none"/>
              </w:rPr>
              <w:tab/>
              <w:t>(5.8)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34"/>
              </w:tabs>
              <w:spacing w:before="75" w:after="30" w:line="240" w:lineRule="auto"/>
              <w:jc w:val="right"/>
            </w:pPr>
            <w:r>
              <w:rPr>
                <w:rFonts w:ascii="Times New Roman" w:eastAsia="Times New Roman" w:hAnsi="Times New Roman" w:cs="Times New Roman"/>
                <w:b w:val="0"/>
                <w:i w:val="0"/>
                <w:color w:val="000000"/>
                <w:sz w:val="18"/>
                <w:u w:val="none"/>
              </w:rPr>
              <w:tab/>
              <w:t>(1.6)</w:t>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345"/>
              <w:jc w:val="left"/>
            </w:pPr>
            <w:r>
              <w:rPr>
                <w:rFonts w:ascii="Times New Roman" w:eastAsia="Times New Roman" w:hAnsi="Times New Roman" w:cs="Times New Roman"/>
                <w:b w:val="0"/>
                <w:i w:val="0"/>
                <w:color w:val="000000"/>
                <w:sz w:val="18"/>
                <w:u w:val="none"/>
              </w:rPr>
              <w:t>Interest and other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29"/>
              </w:tabs>
              <w:spacing w:before="55" w:after="30" w:line="240" w:lineRule="auto"/>
              <w:jc w:val="right"/>
            </w:pPr>
            <w:r>
              <w:rPr>
                <w:rFonts w:ascii="Times New Roman" w:eastAsia="Times New Roman" w:hAnsi="Times New Roman" w:cs="Times New Roman"/>
                <w:b w:val="0"/>
                <w:i w:val="0"/>
                <w:color w:val="000000"/>
                <w:sz w:val="18"/>
                <w:u w:val="none"/>
              </w:rPr>
              <w:tab/>
              <w:t>(5.9)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29"/>
              </w:tabs>
              <w:spacing w:before="55" w:after="30" w:line="240" w:lineRule="auto"/>
              <w:jc w:val="right"/>
            </w:pPr>
            <w:r>
              <w:rPr>
                <w:rFonts w:ascii="Times New Roman" w:eastAsia="Times New Roman" w:hAnsi="Times New Roman" w:cs="Times New Roman"/>
                <w:b w:val="0"/>
                <w:i w:val="0"/>
                <w:color w:val="000000"/>
                <w:sz w:val="18"/>
                <w:u w:val="none"/>
              </w:rPr>
              <w:tab/>
              <w:t>(8.5)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(25.9)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(18.7)</w:t>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(Loss) income before taxes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(86.6)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0.8</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(73.3)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ab/>
              <w:t>2.5</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00" w:hanging="180"/>
              <w:jc w:val="left"/>
            </w:pPr>
            <w:r>
              <w:rPr>
                <w:rFonts w:ascii="Times New Roman" w:eastAsia="Times New Roman" w:hAnsi="Times New Roman" w:cs="Times New Roman"/>
                <w:b w:val="0"/>
                <w:i w:val="0"/>
                <w:color w:val="000000"/>
                <w:sz w:val="18"/>
                <w:u w:val="none"/>
              </w:rPr>
              <w:t>Income tax expense (benefit)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(0.7)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8.8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34"/>
              </w:tabs>
              <w:spacing w:before="75" w:after="30" w:line="240" w:lineRule="auto"/>
              <w:jc w:val="right"/>
            </w:pPr>
            <w:r>
              <w:rPr>
                <w:rFonts w:ascii="Times New Roman" w:eastAsia="Times New Roman" w:hAnsi="Times New Roman" w:cs="Times New Roman"/>
                <w:b w:val="0"/>
                <w:i w:val="0"/>
                <w:color w:val="000000"/>
                <w:sz w:val="18"/>
                <w:u w:val="none"/>
              </w:rPr>
              <w:tab/>
              <w:t>(0.2)</w:t>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(82.1)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ab/>
              <w:t>2.7</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00" w:hanging="180"/>
              <w:jc w:val="left"/>
            </w:pPr>
            <w:r>
              <w:rPr>
                <w:rFonts w:ascii="Times New Roman" w:eastAsia="Times New Roman" w:hAnsi="Times New Roman" w:cs="Times New Roman"/>
                <w:b w:val="0"/>
                <w:i w:val="0"/>
                <w:color w:val="000000"/>
                <w:sz w:val="18"/>
                <w:u w:val="none"/>
              </w:rPr>
              <w:t>Less: Net income attributable to noncontrolling interests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 income attributable to Varex</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(89.1)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w:t>
              <w:tab/>
              <w:t>(82.5)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w:t>
              <w:tab/>
              <w:t>2.3</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15" w:after="30" w:line="240" w:lineRule="auto"/>
              <w:ind w:left="180" w:hanging="180"/>
              <w:jc w:val="left"/>
            </w:pPr>
            <w:r>
              <w:rPr>
                <w:rFonts w:ascii="Times New Roman" w:eastAsia="Times New Roman" w:hAnsi="Times New Roman" w:cs="Times New Roman"/>
                <w:b/>
                <w:i w:val="0"/>
                <w:color w:val="000000"/>
                <w:sz w:val="18"/>
                <w:u w:val="none"/>
              </w:rPr>
              <w:t>Net (loss) income per common share attributable to Varex</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Basic</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39"/>
              </w:tabs>
              <w:spacing w:before="75" w:after="30" w:line="240" w:lineRule="auto"/>
              <w:jc w:val="right"/>
            </w:pPr>
            <w:r>
              <w:rPr>
                <w:rFonts w:ascii="Times New Roman" w:eastAsia="Times New Roman" w:hAnsi="Times New Roman" w:cs="Times New Roman"/>
                <w:b w:val="0"/>
                <w:i w:val="0"/>
                <w:color w:val="000000"/>
                <w:sz w:val="18"/>
                <w:u w:val="none"/>
              </w:rPr>
              <w:t>$</w:t>
              <w:tab/>
              <w:t>(2.15)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0.03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w:t>
              <w:tab/>
              <w:t>(2.00)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w:t>
              <w:tab/>
              <w:t>0.06</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Diluted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75" w:after="30" w:line="240" w:lineRule="auto"/>
              <w:jc w:val="right"/>
            </w:pPr>
            <w:r>
              <w:rPr>
                <w:rFonts w:ascii="Times New Roman" w:eastAsia="Times New Roman" w:hAnsi="Times New Roman" w:cs="Times New Roman"/>
                <w:b w:val="0"/>
                <w:i w:val="0"/>
                <w:color w:val="000000"/>
                <w:sz w:val="18"/>
                <w:u w:val="none"/>
              </w:rPr>
              <w:t>$</w:t>
              <w:tab/>
              <w:t>(2.15)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0.03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w:t>
              <w:tab/>
              <w:t>(2.00)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w:t>
              <w:tab/>
              <w:t>0.06</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Weighted average common shares outstanding</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Basic</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40.9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41.3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40.7</w:t>
              <w:tab/>
            </w:r>
          </w:p>
        </w:tc>
      </w:tr>
      <w:tr>
        <w:tblPrEx>
          <w:tblW w:w="10800" w:type="dxa"/>
          <w:tblInd w:w="0" w:type="dxa"/>
          <w:tblLayout w:type="fixed"/>
        </w:tblPrEx>
        <w:trPr>
          <w:cantSplit/>
          <w:trHeight w:hRule="exact" w:val="300"/>
        </w:trPr>
        <w:tc>
          <w:tcPr>
            <w:tcW w:w="465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Diluted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41.2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41.3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24"/>
                <w:tab w:val="left" w:pos="1297"/>
              </w:tabs>
              <w:spacing w:before="75" w:after="30" w:line="240" w:lineRule="auto"/>
              <w:jc w:val="right"/>
            </w:pPr>
            <w:r>
              <w:rPr>
                <w:rFonts w:ascii="Times New Roman" w:eastAsia="Times New Roman" w:hAnsi="Times New Roman" w:cs="Times New Roman"/>
                <w:b w:val="0"/>
                <w:i w:val="0"/>
                <w:color w:val="000000"/>
                <w:sz w:val="18"/>
                <w:u w:val="none"/>
              </w:rPr>
              <w:tab/>
              <w:t>41.2</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sectPr>
          <w:type w:val="continuous"/>
          <w:pgSz w:w="12240" w:h="15840"/>
          <w:pgMar w:top="1080" w:right="720" w:bottom="1080" w:left="720" w:header="270" w:footer="0"/>
          <w:cols w:space="708"/>
        </w:sect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bookmarkStart w:id="5" w:name="Section6"/>
      <w:bookmarkEnd w:id="5"/>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CONDENSED CONSOLIDATED STATEMENTS OF COMPREHENSIVE </w:t>
      </w:r>
      <w:r>
        <w:rPr>
          <w:rFonts w:ascii="Times New Roman" w:eastAsia="Times New Roman" w:hAnsi="Times New Roman" w:cs="Times New Roman"/>
          <w:b/>
          <w:i w:val="0"/>
          <w:color w:val="000000"/>
          <w:sz w:val="20"/>
          <w:u w:val="none"/>
        </w:rPr>
        <w:t>(LOSS) INCOME</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725"/>
        <w:gridCol w:w="1560"/>
        <w:gridCol w:w="75"/>
        <w:gridCol w:w="1560"/>
        <w:gridCol w:w="75"/>
        <w:gridCol w:w="1365"/>
        <w:gridCol w:w="75"/>
        <w:gridCol w:w="1365"/>
      </w:tblGrid>
      <w:tr>
        <w:tblPrEx>
          <w:tblW w:w="10800" w:type="dxa"/>
          <w:tblInd w:w="0" w:type="dxa"/>
          <w:tblLayout w:type="fixed"/>
        </w:tblPrEx>
        <w:trPr>
          <w:cantSplit/>
          <w:trHeight w:hRule="exact" w:val="300"/>
        </w:trPr>
        <w:tc>
          <w:tcPr>
            <w:tcW w:w="4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0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47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 income</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(89.1)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w:t>
              <w:tab/>
              <w:t>(82.1)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w:t>
              <w:tab/>
              <w:t>2.7</w:t>
              <w:tab/>
            </w:r>
          </w:p>
        </w:tc>
      </w:tr>
      <w:tr>
        <w:tblPrEx>
          <w:tblW w:w="10800" w:type="dxa"/>
          <w:tblInd w:w="0" w:type="dxa"/>
          <w:tblLayout w:type="fixed"/>
        </w:tblPrEx>
        <w:trPr>
          <w:cantSplit/>
          <w:trHeight w:hRule="exact" w:val="300"/>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Other comprehensive loss</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hanging="180"/>
              <w:jc w:val="left"/>
            </w:pPr>
            <w:r>
              <w:rPr>
                <w:rFonts w:ascii="Times New Roman" w:eastAsia="Times New Roman" w:hAnsi="Times New Roman" w:cs="Times New Roman"/>
                <w:b w:val="0"/>
                <w:i w:val="0"/>
                <w:color w:val="000000"/>
                <w:sz w:val="18"/>
                <w:u w:val="none"/>
              </w:rPr>
              <w:t>Foreign currency translation adjustments</w:t>
            </w: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34"/>
              </w:tabs>
              <w:spacing w:before="75" w:after="30" w:line="240" w:lineRule="auto"/>
              <w:jc w:val="right"/>
            </w:pPr>
            <w:r>
              <w:rPr>
                <w:rFonts w:ascii="Times New Roman" w:eastAsia="Times New Roman" w:hAnsi="Times New Roman" w:cs="Times New Roman"/>
                <w:b w:val="0"/>
                <w:i w:val="0"/>
                <w:color w:val="000000"/>
                <w:sz w:val="18"/>
                <w:u w:val="none"/>
              </w:rPr>
              <w:tab/>
              <w:t>(2.5)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34"/>
              </w:tabs>
              <w:spacing w:before="75" w:after="30" w:line="240" w:lineRule="auto"/>
              <w:jc w:val="right"/>
            </w:pPr>
            <w:r>
              <w:rPr>
                <w:rFonts w:ascii="Times New Roman" w:eastAsia="Times New Roman" w:hAnsi="Times New Roman" w:cs="Times New Roman"/>
                <w:b w:val="0"/>
                <w:i w:val="0"/>
                <w:color w:val="000000"/>
                <w:sz w:val="18"/>
                <w:u w:val="none"/>
              </w:rPr>
              <w:tab/>
              <w:t>(0.6)</w:t>
            </w:r>
          </w:p>
        </w:tc>
      </w:tr>
      <w:tr>
        <w:tblPrEx>
          <w:tblW w:w="10800" w:type="dxa"/>
          <w:tblInd w:w="0" w:type="dxa"/>
          <w:tblLayout w:type="fixed"/>
        </w:tblPrEx>
        <w:trPr>
          <w:cantSplit/>
          <w:trHeight w:hRule="exact" w:val="300"/>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Total comprehensive (loss) income</w:t>
            </w: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(92.1)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1.4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ab/>
              <w:t>(84.6)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ab/>
              <w:t>2.1</w:t>
              <w:tab/>
            </w:r>
          </w:p>
        </w:tc>
      </w:tr>
      <w:tr>
        <w:tblPrEx>
          <w:tblW w:w="10800" w:type="dxa"/>
          <w:tblInd w:w="0" w:type="dxa"/>
          <w:tblLayout w:type="fixed"/>
        </w:tblPrEx>
        <w:trPr>
          <w:cantSplit/>
          <w:trHeight w:hRule="exact" w:val="495"/>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hanging="180"/>
              <w:jc w:val="left"/>
            </w:pPr>
            <w:r>
              <w:rPr>
                <w:rFonts w:ascii="Times New Roman" w:eastAsia="Times New Roman" w:hAnsi="Times New Roman" w:cs="Times New Roman"/>
                <w:b w:val="0"/>
                <w:i w:val="0"/>
                <w:color w:val="000000"/>
                <w:sz w:val="18"/>
                <w:u w:val="none"/>
              </w:rPr>
              <w:t>Less: Comprehensive income attributable to noncontrolling interests</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297"/>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300"/>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Comprehensive (loss) income attributable to Varex</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(92.1)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844"/>
              </w:tabs>
              <w:spacing w:before="55" w:after="30" w:line="240" w:lineRule="auto"/>
              <w:jc w:val="right"/>
            </w:pPr>
            <w:r>
              <w:rPr>
                <w:rFonts w:ascii="Times New Roman" w:eastAsia="Times New Roman" w:hAnsi="Times New Roman" w:cs="Times New Roman"/>
                <w:b w:val="0"/>
                <w:i w:val="0"/>
                <w:color w:val="000000"/>
                <w:sz w:val="18"/>
                <w:u w:val="none"/>
              </w:rPr>
              <w:t>$</w:t>
              <w:tab/>
              <w:t>(85.0)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14"/>
                <w:tab w:val="left" w:pos="1297"/>
              </w:tabs>
              <w:spacing w:before="55" w:after="30" w:line="240" w:lineRule="auto"/>
              <w:jc w:val="right"/>
            </w:pPr>
            <w:r>
              <w:rPr>
                <w:rFonts w:ascii="Times New Roman" w:eastAsia="Times New Roman" w:hAnsi="Times New Roman" w:cs="Times New Roman"/>
                <w:b w:val="0"/>
                <w:i w:val="0"/>
                <w:color w:val="000000"/>
                <w:sz w:val="18"/>
                <w:u w:val="none"/>
              </w:rPr>
              <w:t>$</w:t>
              <w:tab/>
              <w:t>1.7</w:t>
              <w:tab/>
            </w:r>
          </w:p>
        </w:tc>
      </w:tr>
    </w:tbl>
    <w:p>
      <w:pPr>
        <w:keepNext w:val="0"/>
        <w:keepLines w:val="0"/>
        <w:pageBreakBefore w:val="0"/>
        <w:widowControl/>
        <w:numPr>
          <w:ilvl w:val="0"/>
          <w:numId w:val="0"/>
        </w:numPr>
        <w:spacing w:before="120" w:after="0" w:line="240" w:lineRule="exact"/>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val="0"/>
          <w:sz w:val="20"/>
        </w:rPr>
        <w:t> </w:t>
      </w: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val="0"/>
        <w:widowControl/>
        <w:numPr>
          <w:ilvl w:val="0"/>
          <w:numId w:val="0"/>
        </w:numPr>
        <w:spacing w:before="120" w:after="0" w:line="240" w:lineRule="exact"/>
        <w:ind w:left="0" w:right="0" w:firstLine="0"/>
        <w:jc w:val="center"/>
        <w:outlineLvl w:val="9"/>
        <w:rPr>
          <w:rFonts w:ascii="Times New Roman" w:eastAsia="Times New Roman" w:hAnsi="Times New Roman" w:cs="Times New Roman"/>
          <w:b w:val="0"/>
          <w:i/>
          <w:sz w:val="20"/>
        </w:rPr>
        <w:sectPr>
          <w:headerReference w:type="default" r:id="rId12"/>
          <w:footerReference w:type="default" r:id="rId13"/>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bookmarkStart w:id="6" w:name="Section7"/>
      <w:bookmarkEnd w:id="6"/>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CONDENSED CONSOLIDATED BALANCE SHEETS</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350"/>
        <w:gridCol w:w="1680"/>
        <w:gridCol w:w="75"/>
        <w:gridCol w:w="1680"/>
      </w:tblGrid>
      <w:tr>
        <w:tblPrEx>
          <w:tblW w:w="10785" w:type="dxa"/>
          <w:tblLayout w:type="fixed"/>
        </w:tblPrEx>
        <w:trPr>
          <w:cantSplit/>
          <w:trHeight w:hRule="exact" w:val="285"/>
        </w:trPr>
        <w:tc>
          <w:tcPr>
            <w:tcW w:w="735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 except share and per share amounts)</w:t>
            </w:r>
          </w:p>
        </w:tc>
        <w:tc>
          <w:tcPr>
            <w:tcW w:w="168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40" w:lineRule="auto"/>
              <w:ind w:left="180" w:right="0" w:hanging="18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Assets</w:t>
            </w:r>
          </w:p>
        </w:tc>
        <w:tc>
          <w:tcPr>
            <w:tcW w:w="16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Current assets:</w:t>
            </w: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585" w:hanging="180"/>
              <w:jc w:val="left"/>
            </w:pPr>
            <w:r>
              <w:rPr>
                <w:rFonts w:ascii="Times New Roman" w:eastAsia="Times New Roman" w:hAnsi="Times New Roman" w:cs="Times New Roman"/>
                <w:b w:val="0"/>
                <w:i w:val="0"/>
                <w:color w:val="000000"/>
                <w:sz w:val="18"/>
                <w:u w:val="none"/>
              </w:rPr>
              <w:t>Cash and cash equivalents</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w:t>
              <w:tab/>
              <w:t>136.4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w:t>
              <w:tab/>
              <w:t>168.7</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88" w:lineRule="auto"/>
              <w:ind w:left="585" w:hanging="180"/>
              <w:jc w:val="left"/>
            </w:pPr>
            <w:r>
              <w:rPr>
                <w:rFonts w:ascii="Times New Roman" w:eastAsia="Times New Roman" w:hAnsi="Times New Roman" w:cs="Times New Roman"/>
                <w:b w:val="0"/>
                <w:i w:val="0"/>
                <w:color w:val="000000"/>
                <w:sz w:val="18"/>
                <w:u w:val="none"/>
              </w:rPr>
              <w:t>Marketable securities</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16.2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31.8</w:t>
              <w:tab/>
            </w:r>
          </w:p>
        </w:tc>
      </w:tr>
      <w:tr>
        <w:tblPrEx>
          <w:tblW w:w="10785" w:type="dxa"/>
          <w:tblLayout w:type="fixed"/>
        </w:tblPrEx>
        <w:trPr>
          <w:cantSplit/>
          <w:trHeight w:hRule="exact" w:val="495"/>
        </w:trPr>
        <w:tc>
          <w:tcPr>
            <w:tcW w:w="735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numPr>
                <w:ilvl w:val="0"/>
                <w:numId w:val="0"/>
              </w:numPr>
              <w:spacing w:before="75" w:after="30" w:line="216" w:lineRule="exact"/>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 xml:space="preserve">Accounts receivable, net of allowance for credit losses of </w:t>
            </w:r>
            <w:r>
              <w:rPr>
                <w:rFonts w:ascii="Times New Roman" w:eastAsia="Times New Roman" w:hAnsi="Times New Roman" w:cs="Times New Roman"/>
                <w:b w:val="0"/>
                <w:i w:val="0"/>
                <w:color w:val="000000"/>
                <w:sz w:val="18"/>
                <w:u w:val="none"/>
              </w:rPr>
              <w:t>$1.4 million</w:t>
            </w:r>
            <w:r>
              <w:rPr>
                <w:rFonts w:ascii="Times New Roman" w:eastAsia="Times New Roman" w:hAnsi="Times New Roman" w:cs="Times New Roman"/>
                <w:b w:val="0"/>
                <w:i w:val="0"/>
                <w:sz w:val="18"/>
              </w:rPr>
              <w:t xml:space="preserve"> and </w:t>
            </w:r>
            <w:r>
              <w:rPr>
                <w:rFonts w:ascii="Times New Roman" w:eastAsia="Times New Roman" w:hAnsi="Times New Roman" w:cs="Times New Roman"/>
                <w:b w:val="0"/>
                <w:i w:val="0"/>
                <w:color w:val="000000"/>
                <w:sz w:val="18"/>
                <w:u w:val="none"/>
              </w:rPr>
              <w:t>$1.0 million</w:t>
            </w:r>
            <w:r>
              <w:rPr>
                <w:rFonts w:ascii="Times New Roman" w:eastAsia="Times New Roman" w:hAnsi="Times New Roman" w:cs="Times New Roman"/>
                <w:b w:val="0"/>
                <w:i w:val="0"/>
                <w:sz w:val="18"/>
              </w:rPr>
              <w:t xml:space="preserve"> at </w:t>
            </w:r>
            <w:r>
              <w:rPr>
                <w:rFonts w:ascii="Times New Roman" w:eastAsia="Times New Roman" w:hAnsi="Times New Roman" w:cs="Times New Roman"/>
                <w:b w:val="0"/>
                <w:i w:val="0"/>
                <w:color w:val="000000"/>
                <w:sz w:val="18"/>
                <w:u w:val="none"/>
              </w:rPr>
              <w:t>July 4, 2025</w:t>
            </w:r>
            <w:r>
              <w:rPr>
                <w:rFonts w:ascii="Times New Roman" w:eastAsia="Times New Roman" w:hAnsi="Times New Roman" w:cs="Times New Roman"/>
                <w:b w:val="0"/>
                <w:i w:val="0"/>
                <w:sz w:val="18"/>
              </w:rPr>
              <w:t xml:space="preserve"> and </w:t>
            </w:r>
            <w:r>
              <w:rPr>
                <w:rFonts w:ascii="Times New Roman" w:eastAsia="Times New Roman" w:hAnsi="Times New Roman" w:cs="Times New Roman"/>
                <w:b w:val="0"/>
                <w:i w:val="0"/>
                <w:color w:val="000000"/>
                <w:sz w:val="18"/>
                <w:u w:val="none"/>
              </w:rPr>
              <w:t>September 27, 2024</w:t>
            </w:r>
            <w:r>
              <w:rPr>
                <w:rFonts w:ascii="Times New Roman" w:eastAsia="Times New Roman" w:hAnsi="Times New Roman" w:cs="Times New Roman"/>
                <w:b w:val="0"/>
                <w:i w:val="0"/>
                <w:sz w:val="18"/>
              </w:rPr>
              <w:t>, respectively</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137.0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157.7</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hanging="180"/>
              <w:jc w:val="left"/>
            </w:pPr>
            <w:r>
              <w:rPr>
                <w:rFonts w:ascii="Times New Roman" w:eastAsia="Times New Roman" w:hAnsi="Times New Roman" w:cs="Times New Roman"/>
                <w:b w:val="0"/>
                <w:i w:val="0"/>
                <w:color w:val="000000"/>
                <w:sz w:val="18"/>
                <w:u w:val="none"/>
              </w:rPr>
              <w:t>Inventories, net</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298.7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264.8</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Prepaid expenses and other current assets</w:t>
            </w: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31.2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26.9</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Total current assets</w:t>
            </w:r>
          </w:p>
        </w:tc>
        <w:tc>
          <w:tcPr>
            <w:tcW w:w="16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619.5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649.9</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Property, plant, and equipment, net</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152.6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153.4</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Goodwill</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198.5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291.0</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Intangible assets, net</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15.0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16.1</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Investments in privately-held companies</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24.6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26.8</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Deferred tax assets</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1.3</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Operating lease assets</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24.1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28.3</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Other assets</w:t>
            </w: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36.1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46.8</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55" w:after="30" w:line="240" w:lineRule="auto"/>
              <w:ind w:left="180" w:right="0" w:hanging="18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Total assets</w:t>
            </w:r>
          </w:p>
        </w:tc>
        <w:tc>
          <w:tcPr>
            <w:tcW w:w="16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14"/>
                <w:tab w:val="left" w:pos="1612"/>
              </w:tabs>
              <w:spacing w:before="55" w:after="30" w:line="240" w:lineRule="auto"/>
              <w:jc w:val="right"/>
            </w:pPr>
            <w:r>
              <w:rPr>
                <w:rFonts w:ascii="Times New Roman" w:eastAsia="Times New Roman" w:hAnsi="Times New Roman" w:cs="Times New Roman"/>
                <w:b w:val="0"/>
                <w:i w:val="0"/>
                <w:color w:val="000000"/>
                <w:sz w:val="18"/>
                <w:u w:val="none"/>
              </w:rPr>
              <w:t>$</w:t>
              <w:tab/>
              <w:t>1,073.4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14"/>
                <w:tab w:val="left" w:pos="1612"/>
              </w:tabs>
              <w:spacing w:before="55" w:after="30" w:line="240" w:lineRule="auto"/>
              <w:jc w:val="right"/>
            </w:pPr>
            <w:r>
              <w:rPr>
                <w:rFonts w:ascii="Times New Roman" w:eastAsia="Times New Roman" w:hAnsi="Times New Roman" w:cs="Times New Roman"/>
                <w:b w:val="0"/>
                <w:i w:val="0"/>
                <w:color w:val="000000"/>
                <w:sz w:val="18"/>
                <w:u w:val="none"/>
              </w:rPr>
              <w:t>$</w:t>
              <w:tab/>
              <w:t>1,213.6</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15" w:after="30" w:line="240" w:lineRule="auto"/>
              <w:ind w:left="180" w:right="0" w:hanging="18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Liabilities and stockholders' equity</w:t>
            </w:r>
          </w:p>
        </w:tc>
        <w:tc>
          <w:tcPr>
            <w:tcW w:w="168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Current liabilities:</w:t>
            </w: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Accounts payable</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w:t>
              <w:tab/>
              <w:t>70.7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w:t>
              <w:tab/>
              <w:t>59.1</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Accrued liabilities and other current liabilities</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86.0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78.6</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Current operating lease liabilities</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hanging="180"/>
              <w:jc w:val="left"/>
            </w:pPr>
            <w:r>
              <w:rPr>
                <w:rFonts w:ascii="Times New Roman" w:eastAsia="Times New Roman" w:hAnsi="Times New Roman" w:cs="Times New Roman"/>
                <w:b w:val="0"/>
                <w:i w:val="0"/>
                <w:color w:val="000000"/>
                <w:sz w:val="18"/>
                <w:u w:val="none"/>
              </w:rPr>
              <w:t>Current maturities of long-term debt, net</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46.3</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58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Deferred revenues</w:t>
            </w: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14.6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7.9</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Total current liabilities</w:t>
            </w:r>
          </w:p>
        </w:tc>
        <w:tc>
          <w:tcPr>
            <w:tcW w:w="16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176.7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195.9</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Long-term debt, net</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366.0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397.1</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Deferred tax liabilities</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2.6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Operating lease liabilities</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19.4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23.0</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Other long-term liabilities</w:t>
            </w: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39.2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50.4</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liabilities</w:t>
            </w:r>
          </w:p>
        </w:tc>
        <w:tc>
          <w:tcPr>
            <w:tcW w:w="16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603.9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670.4</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Stockholders' equity:</w:t>
            </w: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 xml:space="preserve">Preferred stock, </w:t>
            </w:r>
            <w:r>
              <w:rPr>
                <w:rFonts w:ascii="Times New Roman" w:eastAsia="Times New Roman" w:hAnsi="Times New Roman" w:cs="Times New Roman"/>
                <w:b w:val="0"/>
                <w:i w:val="0"/>
                <w:color w:val="000000"/>
                <w:sz w:val="18"/>
                <w:u w:val="none"/>
              </w:rPr>
              <w:t>$0.01</w:t>
            </w:r>
            <w:r>
              <w:rPr>
                <w:rFonts w:ascii="Times New Roman" w:eastAsia="Times New Roman" w:hAnsi="Times New Roman" w:cs="Times New Roman"/>
                <w:b w:val="0"/>
                <w:i w:val="0"/>
                <w:sz w:val="18"/>
              </w:rPr>
              <w:t xml:space="preserve"> par value: </w:t>
            </w:r>
            <w:r>
              <w:rPr>
                <w:rFonts w:ascii="Times New Roman" w:eastAsia="Times New Roman" w:hAnsi="Times New Roman" w:cs="Times New Roman"/>
                <w:b w:val="0"/>
                <w:i w:val="0"/>
                <w:color w:val="000000"/>
                <w:sz w:val="18"/>
                <w:u w:val="none"/>
              </w:rPr>
              <w:t>20,000,000</w:t>
            </w:r>
            <w:r>
              <w:rPr>
                <w:rFonts w:ascii="Times New Roman" w:eastAsia="Times New Roman" w:hAnsi="Times New Roman" w:cs="Times New Roman"/>
                <w:b w:val="0"/>
                <w:i w:val="0"/>
                <w:sz w:val="18"/>
              </w:rPr>
              <w:t xml:space="preserve"> shares authorized, </w:t>
            </w:r>
            <w:r>
              <w:rPr>
                <w:rFonts w:ascii="Times New Roman" w:eastAsia="Times New Roman" w:hAnsi="Times New Roman" w:cs="Times New Roman"/>
                <w:b w:val="0"/>
                <w:i w:val="0"/>
                <w:color w:val="000000"/>
                <w:sz w:val="18"/>
                <w:u w:val="none"/>
              </w:rPr>
              <w:t>none</w:t>
            </w:r>
            <w:r>
              <w:rPr>
                <w:rFonts w:ascii="Times New Roman" w:eastAsia="Times New Roman" w:hAnsi="Times New Roman" w:cs="Times New Roman"/>
                <w:b w:val="0"/>
                <w:i w:val="0"/>
                <w:sz w:val="18"/>
              </w:rPr>
              <w:t xml:space="preserve"> issued</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74"/>
                <w:tab w:val="left" w:pos="161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74"/>
                <w:tab w:val="left" w:pos="161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 xml:space="preserve">Common stock, </w:t>
            </w:r>
            <w:r>
              <w:rPr>
                <w:rFonts w:ascii="Times New Roman" w:eastAsia="Times New Roman" w:hAnsi="Times New Roman" w:cs="Times New Roman"/>
                <w:b w:val="0"/>
                <w:i w:val="0"/>
                <w:color w:val="000000"/>
                <w:sz w:val="18"/>
                <w:u w:val="none"/>
              </w:rPr>
              <w:t>$0.01</w:t>
            </w:r>
            <w:r>
              <w:rPr>
                <w:rFonts w:ascii="Times New Roman" w:eastAsia="Times New Roman" w:hAnsi="Times New Roman" w:cs="Times New Roman"/>
                <w:b w:val="0"/>
                <w:i w:val="0"/>
                <w:sz w:val="18"/>
              </w:rPr>
              <w:t xml:space="preserve"> par value: </w:t>
            </w:r>
            <w:r>
              <w:rPr>
                <w:rFonts w:ascii="Times New Roman" w:eastAsia="Times New Roman" w:hAnsi="Times New Roman" w:cs="Times New Roman"/>
                <w:b w:val="0"/>
                <w:i w:val="0"/>
                <w:color w:val="000000"/>
                <w:sz w:val="18"/>
                <w:u w:val="none"/>
              </w:rPr>
              <w:t>150,000,000</w:t>
            </w:r>
            <w:r>
              <w:rPr>
                <w:rFonts w:ascii="Times New Roman" w:eastAsia="Times New Roman" w:hAnsi="Times New Roman" w:cs="Times New Roman"/>
                <w:b w:val="0"/>
                <w:i w:val="0"/>
                <w:sz w:val="18"/>
              </w:rPr>
              <w:t xml:space="preserve"> shares authorized</w:t>
            </w: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785" w:type="dxa"/>
          <w:tblLayout w:type="fixed"/>
        </w:tblPrEx>
        <w:trPr>
          <w:cantSplit/>
          <w:trHeight w:hRule="exact" w:val="46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180" w:lineRule="exact"/>
              <w:ind w:left="34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 xml:space="preserve">Shares issued and outstanding: </w:t>
            </w:r>
            <w:r>
              <w:rPr>
                <w:rFonts w:ascii="Times New Roman" w:eastAsia="Times New Roman" w:hAnsi="Times New Roman" w:cs="Times New Roman"/>
                <w:b w:val="0"/>
                <w:i w:val="0"/>
                <w:color w:val="000000"/>
                <w:sz w:val="18"/>
                <w:u w:val="none"/>
              </w:rPr>
              <w:t>41,520,742</w:t>
            </w:r>
            <w:r>
              <w:rPr>
                <w:rFonts w:ascii="Times New Roman" w:eastAsia="Times New Roman" w:hAnsi="Times New Roman" w:cs="Times New Roman"/>
                <w:b w:val="0"/>
                <w:i w:val="0"/>
                <w:sz w:val="18"/>
              </w:rPr>
              <w:t xml:space="preserve"> and </w:t>
            </w:r>
            <w:r>
              <w:rPr>
                <w:rFonts w:ascii="Times New Roman" w:eastAsia="Times New Roman" w:hAnsi="Times New Roman" w:cs="Times New Roman"/>
                <w:b w:val="0"/>
                <w:i w:val="0"/>
                <w:color w:val="000000"/>
                <w:sz w:val="18"/>
                <w:u w:val="none"/>
              </w:rPr>
              <w:t>41,094,179</w:t>
            </w:r>
            <w:r>
              <w:rPr>
                <w:rFonts w:ascii="Times New Roman" w:eastAsia="Times New Roman" w:hAnsi="Times New Roman" w:cs="Times New Roman"/>
                <w:b w:val="0"/>
                <w:i w:val="0"/>
                <w:sz w:val="18"/>
              </w:rPr>
              <w:t xml:space="preserve"> at </w:t>
            </w:r>
            <w:r>
              <w:rPr>
                <w:rFonts w:ascii="Times New Roman" w:eastAsia="Times New Roman" w:hAnsi="Times New Roman" w:cs="Times New Roman"/>
                <w:b w:val="0"/>
                <w:i w:val="0"/>
                <w:color w:val="000000"/>
                <w:sz w:val="18"/>
                <w:u w:val="none"/>
              </w:rPr>
              <w:t>July 4, 2025</w:t>
            </w:r>
            <w:r>
              <w:rPr>
                <w:rFonts w:ascii="Times New Roman" w:eastAsia="Times New Roman" w:hAnsi="Times New Roman" w:cs="Times New Roman"/>
                <w:b w:val="0"/>
                <w:i w:val="0"/>
                <w:sz w:val="18"/>
              </w:rPr>
              <w:t xml:space="preserve"> and </w:t>
            </w:r>
            <w:r>
              <w:rPr>
                <w:rFonts w:ascii="Times New Roman" w:eastAsia="Times New Roman" w:hAnsi="Times New Roman" w:cs="Times New Roman"/>
                <w:b w:val="0"/>
                <w:i w:val="0"/>
                <w:color w:val="000000"/>
                <w:sz w:val="18"/>
                <w:u w:val="none"/>
              </w:rPr>
              <w:t>September 27, 2024</w:t>
            </w:r>
            <w:r>
              <w:rPr>
                <w:rFonts w:ascii="Times New Roman" w:eastAsia="Times New Roman" w:hAnsi="Times New Roman" w:cs="Times New Roman"/>
                <w:b w:val="0"/>
                <w:i w:val="0"/>
                <w:sz w:val="18"/>
              </w:rPr>
              <w:t>, respectively</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612"/>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Additional paid-in capital</w:t>
            </w: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478.4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612"/>
              </w:tabs>
              <w:spacing w:before="75" w:after="30" w:line="240" w:lineRule="auto"/>
              <w:jc w:val="right"/>
            </w:pPr>
            <w:r>
              <w:rPr>
                <w:rFonts w:ascii="Times New Roman" w:eastAsia="Times New Roman" w:hAnsi="Times New Roman" w:cs="Times New Roman"/>
                <w:b w:val="0"/>
                <w:i w:val="0"/>
                <w:color w:val="000000"/>
                <w:sz w:val="18"/>
                <w:u w:val="none"/>
              </w:rPr>
              <w:tab/>
              <w:t>467.2</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Accumulated other comprehensive loss</w:t>
            </w: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49"/>
              </w:tabs>
              <w:spacing w:before="75" w:after="30" w:line="240" w:lineRule="auto"/>
              <w:jc w:val="right"/>
            </w:pPr>
            <w:r>
              <w:rPr>
                <w:rFonts w:ascii="Times New Roman" w:eastAsia="Times New Roman" w:hAnsi="Times New Roman" w:cs="Times New Roman"/>
                <w:b w:val="0"/>
                <w:i w:val="0"/>
                <w:color w:val="000000"/>
                <w:sz w:val="18"/>
                <w:u w:val="none"/>
              </w:rPr>
              <w:tab/>
              <w:t>(5.4)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49"/>
              </w:tabs>
              <w:spacing w:before="75" w:after="30" w:line="240" w:lineRule="auto"/>
              <w:jc w:val="right"/>
            </w:pPr>
            <w:r>
              <w:rPr>
                <w:rFonts w:ascii="Times New Roman" w:eastAsia="Times New Roman" w:hAnsi="Times New Roman" w:cs="Times New Roman"/>
                <w:b w:val="0"/>
                <w:i w:val="0"/>
                <w:color w:val="000000"/>
                <w:sz w:val="18"/>
                <w:u w:val="none"/>
              </w:rPr>
              <w:tab/>
              <w:t>(2.9)</w:t>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(Accumulated deficit) retained earnings</w:t>
            </w: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59"/>
              </w:tabs>
              <w:spacing w:before="75" w:after="30" w:line="240" w:lineRule="auto"/>
              <w:jc w:val="right"/>
            </w:pPr>
            <w:r>
              <w:rPr>
                <w:rFonts w:ascii="Times New Roman" w:eastAsia="Times New Roman" w:hAnsi="Times New Roman" w:cs="Times New Roman"/>
                <w:b w:val="0"/>
                <w:i w:val="0"/>
                <w:color w:val="000000"/>
                <w:sz w:val="18"/>
                <w:u w:val="none"/>
              </w:rPr>
              <w:tab/>
              <w:t>(18.1)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64.4</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Total Varex stockholders' equity</w:t>
            </w:r>
          </w:p>
        </w:tc>
        <w:tc>
          <w:tcPr>
            <w:tcW w:w="16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455.3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529.1</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Noncontrolling interests</w:t>
            </w: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14.2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39"/>
                <w:tab w:val="left" w:pos="1612"/>
              </w:tabs>
              <w:spacing w:before="75" w:after="30" w:line="240" w:lineRule="auto"/>
              <w:jc w:val="right"/>
            </w:pPr>
            <w:r>
              <w:rPr>
                <w:rFonts w:ascii="Times New Roman" w:eastAsia="Times New Roman" w:hAnsi="Times New Roman" w:cs="Times New Roman"/>
                <w:b w:val="0"/>
                <w:i w:val="0"/>
                <w:color w:val="000000"/>
                <w:sz w:val="18"/>
                <w:u w:val="none"/>
              </w:rPr>
              <w:tab/>
              <w:t>14.1</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stockholders' equity</w:t>
            </w:r>
          </w:p>
        </w:tc>
        <w:tc>
          <w:tcPr>
            <w:tcW w:w="16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469.5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49"/>
                <w:tab w:val="left" w:pos="1612"/>
              </w:tabs>
              <w:spacing w:before="55" w:after="30" w:line="240" w:lineRule="auto"/>
              <w:jc w:val="right"/>
            </w:pPr>
            <w:r>
              <w:rPr>
                <w:rFonts w:ascii="Times New Roman" w:eastAsia="Times New Roman" w:hAnsi="Times New Roman" w:cs="Times New Roman"/>
                <w:b w:val="0"/>
                <w:i w:val="0"/>
                <w:color w:val="000000"/>
                <w:sz w:val="18"/>
                <w:u w:val="none"/>
              </w:rPr>
              <w:tab/>
              <w:t>543.2</w:t>
              <w:tab/>
            </w:r>
          </w:p>
        </w:tc>
      </w:tr>
      <w:tr>
        <w:tblPrEx>
          <w:tblW w:w="10785" w:type="dxa"/>
          <w:tblLayout w:type="fixed"/>
        </w:tblPrEx>
        <w:trPr>
          <w:cantSplit/>
          <w:trHeight w:hRule="exact" w:val="285"/>
        </w:trPr>
        <w:tc>
          <w:tcPr>
            <w:tcW w:w="735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liabilities and stockholders' equity</w:t>
            </w:r>
          </w:p>
        </w:tc>
        <w:tc>
          <w:tcPr>
            <w:tcW w:w="16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14"/>
                <w:tab w:val="left" w:pos="1612"/>
              </w:tabs>
              <w:spacing w:before="55" w:after="30" w:line="240" w:lineRule="auto"/>
              <w:jc w:val="right"/>
            </w:pPr>
            <w:r>
              <w:rPr>
                <w:rFonts w:ascii="Times New Roman" w:eastAsia="Times New Roman" w:hAnsi="Times New Roman" w:cs="Times New Roman"/>
                <w:b w:val="0"/>
                <w:i w:val="0"/>
                <w:color w:val="000000"/>
                <w:sz w:val="18"/>
                <w:u w:val="none"/>
              </w:rPr>
              <w:t>$</w:t>
              <w:tab/>
              <w:t>1,073.4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14"/>
                <w:tab w:val="left" w:pos="1612"/>
              </w:tabs>
              <w:spacing w:before="55" w:after="30" w:line="240" w:lineRule="auto"/>
              <w:jc w:val="right"/>
            </w:pPr>
            <w:r>
              <w:rPr>
                <w:rFonts w:ascii="Times New Roman" w:eastAsia="Times New Roman" w:hAnsi="Times New Roman" w:cs="Times New Roman"/>
                <w:b w:val="0"/>
                <w:i w:val="0"/>
                <w:color w:val="000000"/>
                <w:sz w:val="18"/>
                <w:u w:val="none"/>
              </w:rPr>
              <w:t>$</w:t>
              <w:tab/>
              <w:t>1,213.6</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val="0"/>
          <w:sz w:val="20"/>
        </w:rPr>
      </w:pPr>
    </w:p>
    <w:p>
      <w:pPr>
        <w:keepNext w:val="0"/>
        <w:keepLines w:val="0"/>
        <w:pageBreakBefore/>
        <w:widowControl/>
        <w:numPr>
          <w:ilvl w:val="0"/>
          <w:numId w:val="0"/>
        </w:numPr>
        <w:spacing w:before="0" w:after="0" w:line="288" w:lineRule="auto"/>
        <w:ind w:left="0" w:right="0" w:firstLine="0"/>
        <w:jc w:val="center"/>
        <w:outlineLvl w:val="9"/>
        <w:rPr>
          <w:rFonts w:ascii="Times New Roman" w:eastAsia="Times New Roman" w:hAnsi="Times New Roman" w:cs="Times New Roman"/>
          <w:b w:val="0"/>
          <w:i/>
          <w:sz w:val="20"/>
        </w:rPr>
        <w:sectPr>
          <w:pgSz w:w="12240" w:h="15840"/>
          <w:pgMar w:top="1080" w:right="720" w:bottom="1080" w:left="720" w:header="270" w:footer="270"/>
          <w:cols w:space="708"/>
        </w:sectPr>
      </w:pPr>
    </w:p>
    <w:p>
      <w:pPr>
        <w:keepNext/>
        <w:keepLines/>
        <w:pageBreakBefore w:val="0"/>
        <w:widowControl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bookmarkStart w:id="7" w:name="Section8"/>
      <w:bookmarkEnd w:id="7"/>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val="0"/>
          <w:i w:val="0"/>
          <w:sz w:val="20"/>
        </w:rPr>
      </w:pPr>
      <w:r>
        <w:rPr>
          <w:rFonts w:ascii="Times New Roman" w:eastAsia="Times New Roman" w:hAnsi="Times New Roman" w:cs="Times New Roman"/>
          <w:b/>
          <w:i w:val="0"/>
          <w:sz w:val="20"/>
        </w:rPr>
        <w:t>VAREX IMAGING CORPORATION</w:t>
      </w:r>
    </w:p>
    <w:p>
      <w:pPr>
        <w:keepNext/>
        <w:keepLines/>
        <w:pageBreakBefore w:val="0"/>
        <w:widowControl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CONDENSED CONSOLIDATED STATEMENTS OF STOCKHOLDERS' EQUITY</w:t>
      </w:r>
    </w:p>
    <w:p>
      <w:pPr>
        <w:keepNext/>
        <w:keepLines/>
        <w:pageBreakBefore w:val="0"/>
        <w:widowControl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p>
      <w:pPr>
        <w:keepNext/>
        <w:keepLines/>
        <w:pageBreakBefore w:val="0"/>
        <w:widowControl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30"/>
        <w:gridCol w:w="645"/>
        <w:gridCol w:w="60"/>
        <w:gridCol w:w="765"/>
        <w:gridCol w:w="60"/>
        <w:gridCol w:w="945"/>
        <w:gridCol w:w="60"/>
        <w:gridCol w:w="1305"/>
        <w:gridCol w:w="60"/>
        <w:gridCol w:w="1185"/>
        <w:gridCol w:w="60"/>
        <w:gridCol w:w="660"/>
        <w:gridCol w:w="60"/>
        <w:gridCol w:w="1275"/>
        <w:gridCol w:w="60"/>
        <w:gridCol w:w="1155"/>
      </w:tblGrid>
      <w:tr>
        <w:tblPrEx>
          <w:tblW w:w="10785" w:type="dxa"/>
          <w:tblLayout w:type="fixed"/>
        </w:tblPrEx>
        <w:trPr>
          <w:cantSplit/>
          <w:trHeight w:hRule="exact" w:val="300"/>
        </w:trPr>
        <w:tc>
          <w:tcPr>
            <w:tcW w:w="24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355"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 July 4, 2025</w:t>
            </w:r>
          </w:p>
        </w:tc>
      </w:tr>
      <w:tr>
        <w:tblPrEx>
          <w:tblW w:w="10785" w:type="dxa"/>
          <w:tblLayout w:type="fixed"/>
        </w:tblPrEx>
        <w:trPr>
          <w:cantSplit/>
          <w:trHeight w:hRule="exact" w:val="300"/>
        </w:trPr>
        <w:tc>
          <w:tcPr>
            <w:tcW w:w="24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7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Common Stock</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Additional Paid-in Capital</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Accumulated Other Comprehensive Loss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Retained Earnings (Accumulated Deficit)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Varex Equity</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Noncontrolling Interests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Stockholders' Equity</w:t>
            </w:r>
          </w:p>
        </w:tc>
      </w:tr>
      <w:tr>
        <w:tblPrEx>
          <w:tblW w:w="10785" w:type="dxa"/>
          <w:tblLayout w:type="fixed"/>
        </w:tblPrEx>
        <w:trPr>
          <w:cantSplit/>
          <w:trHeight w:hRule="exact" w:val="300"/>
        </w:trPr>
        <w:tc>
          <w:tcPr>
            <w:tcW w:w="24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70"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tcBorders>
              <w:top w:val="nil"/>
              <w:left w:val="nil"/>
              <w:bottom w:val="nil"/>
              <w:right w:val="nil"/>
            </w:tcBorders>
          </w:tcPr>
          <w:p>
            <w:pPr>
              <w:keepNext/>
              <w:pageBreakBefore w:val="0"/>
            </w:pPr>
          </w:p>
        </w:tc>
      </w:tr>
      <w:tr>
        <w:tblPrEx>
          <w:tblW w:w="10785" w:type="dxa"/>
          <w:tblLayout w:type="fixed"/>
        </w:tblPrEx>
        <w:trPr>
          <w:cantSplit/>
          <w:trHeight w:hRule="exact" w:val="300"/>
        </w:trPr>
        <w:tc>
          <w:tcPr>
            <w:tcW w:w="243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64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tcBorders>
              <w:top w:val="nil"/>
              <w:left w:val="nil"/>
              <w:bottom w:val="single" w:sz="8" w:space="0" w:color="000000"/>
              <w:right w:val="nil"/>
            </w:tcBorders>
          </w:tcPr>
          <w:p>
            <w:pPr>
              <w:keepNext/>
              <w:pageBreakBefore w:val="0"/>
            </w:pPr>
          </w:p>
        </w:tc>
      </w:tr>
      <w:tr>
        <w:tblPrEx>
          <w:tblW w:w="10785" w:type="dxa"/>
          <w:tblLayout w:type="fixed"/>
        </w:tblPrEx>
        <w:trPr>
          <w:cantSplit/>
          <w:trHeight w:hRule="exact" w:val="300"/>
        </w:trPr>
        <w:tc>
          <w:tcPr>
            <w:tcW w:w="24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April 4, 2025</w:t>
            </w:r>
          </w:p>
        </w:tc>
        <w:tc>
          <w:tcPr>
            <w:tcW w:w="6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04"/>
                <w:tab w:val="left" w:pos="577"/>
              </w:tabs>
              <w:spacing w:before="55" w:after="30" w:line="240" w:lineRule="auto"/>
              <w:jc w:val="right"/>
            </w:pPr>
            <w:r>
              <w:rPr>
                <w:rFonts w:ascii="Times New Roman" w:eastAsia="Times New Roman" w:hAnsi="Times New Roman" w:cs="Times New Roman"/>
                <w:b w:val="0"/>
                <w:i w:val="0"/>
                <w:color w:val="000000"/>
                <w:sz w:val="18"/>
                <w:u w:val="none"/>
              </w:rPr>
              <w:tab/>
              <w:t>41.5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474.7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71.0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9"/>
                <w:tab w:val="left" w:pos="592"/>
              </w:tabs>
              <w:spacing w:before="55" w:after="30" w:line="240" w:lineRule="auto"/>
              <w:jc w:val="right"/>
            </w:pPr>
            <w:r>
              <w:rPr>
                <w:rFonts w:ascii="Times New Roman" w:eastAsia="Times New Roman" w:hAnsi="Times New Roman" w:cs="Times New Roman"/>
                <w:b w:val="0"/>
                <w:i w:val="0"/>
                <w:color w:val="000000"/>
                <w:sz w:val="18"/>
                <w:u w:val="none"/>
              </w:rPr>
              <w:t>$</w:t>
              <w:tab/>
              <w:t>543.7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4"/>
                <w:tab w:val="left" w:pos="1087"/>
              </w:tabs>
              <w:spacing w:before="55" w:after="30" w:line="240" w:lineRule="auto"/>
              <w:jc w:val="right"/>
            </w:pPr>
            <w:r>
              <w:rPr>
                <w:rFonts w:ascii="Times New Roman" w:eastAsia="Times New Roman" w:hAnsi="Times New Roman" w:cs="Times New Roman"/>
                <w:b w:val="0"/>
                <w:i w:val="0"/>
                <w:color w:val="000000"/>
                <w:sz w:val="18"/>
                <w:u w:val="none"/>
              </w:rPr>
              <w:t>$</w:t>
              <w:tab/>
              <w:t>557.9</w:t>
              <w:tab/>
            </w:r>
          </w:p>
        </w:tc>
      </w:tr>
      <w:tr>
        <w:tblPrEx>
          <w:tblW w:w="10785" w:type="dxa"/>
          <w:tblLayout w:type="fixed"/>
        </w:tblPrEx>
        <w:trPr>
          <w:cantSplit/>
          <w:trHeight w:hRule="exact" w:val="300"/>
        </w:trPr>
        <w:tc>
          <w:tcPr>
            <w:tcW w:w="24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w:t>
            </w:r>
          </w:p>
        </w:tc>
        <w:tc>
          <w:tcPr>
            <w:tcW w:w="64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339"/>
                <w:tab w:val="left" w:pos="57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4"/>
              </w:tabs>
              <w:spacing w:before="55" w:after="30" w:line="240" w:lineRule="auto"/>
              <w:jc w:val="right"/>
            </w:pPr>
            <w:r>
              <w:rPr>
                <w:rFonts w:ascii="Times New Roman" w:eastAsia="Times New Roman" w:hAnsi="Times New Roman" w:cs="Times New Roman"/>
                <w:b w:val="0"/>
                <w:i w:val="0"/>
                <w:color w:val="000000"/>
                <w:sz w:val="18"/>
                <w:u w:val="none"/>
              </w:rPr>
              <w:tab/>
              <w:t>(89.1)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9"/>
              </w:tabs>
              <w:spacing w:before="55" w:after="30" w:line="240" w:lineRule="auto"/>
              <w:jc w:val="right"/>
            </w:pPr>
            <w:r>
              <w:rPr>
                <w:rFonts w:ascii="Times New Roman" w:eastAsia="Times New Roman" w:hAnsi="Times New Roman" w:cs="Times New Roman"/>
                <w:b w:val="0"/>
                <w:i w:val="0"/>
                <w:color w:val="000000"/>
                <w:sz w:val="18"/>
                <w:u w:val="none"/>
              </w:rPr>
              <w:tab/>
              <w:t>(89.1)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4"/>
              </w:tabs>
              <w:spacing w:before="55" w:after="30" w:line="240" w:lineRule="auto"/>
              <w:jc w:val="right"/>
            </w:pPr>
            <w:r>
              <w:rPr>
                <w:rFonts w:ascii="Times New Roman" w:eastAsia="Times New Roman" w:hAnsi="Times New Roman" w:cs="Times New Roman"/>
                <w:b w:val="0"/>
                <w:i w:val="0"/>
                <w:color w:val="000000"/>
                <w:sz w:val="18"/>
                <w:u w:val="none"/>
              </w:rPr>
              <w:tab/>
              <w:t>(89.1)</w:t>
            </w:r>
          </w:p>
        </w:tc>
      </w:tr>
      <w:tr>
        <w:tblPrEx>
          <w:tblW w:w="10785" w:type="dxa"/>
          <w:tblLayout w:type="fixed"/>
        </w:tblPrEx>
        <w:trPr>
          <w:cantSplit/>
          <w:trHeight w:hRule="exact" w:val="300"/>
        </w:trPr>
        <w:tc>
          <w:tcPr>
            <w:tcW w:w="24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Share-based compensation</w:t>
            </w:r>
          </w:p>
        </w:tc>
        <w:tc>
          <w:tcPr>
            <w:tcW w:w="6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94"/>
                <w:tab w:val="left" w:pos="877"/>
              </w:tabs>
              <w:spacing w:before="75" w:after="30" w:line="240" w:lineRule="auto"/>
              <w:jc w:val="right"/>
            </w:pPr>
            <w:r>
              <w:rPr>
                <w:rFonts w:ascii="Times New Roman" w:eastAsia="Times New Roman" w:hAnsi="Times New Roman" w:cs="Times New Roman"/>
                <w:b w:val="0"/>
                <w:i w:val="0"/>
                <w:color w:val="000000"/>
                <w:sz w:val="18"/>
                <w:u w:val="none"/>
              </w:rPr>
              <w:tab/>
              <w:t>3.7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09"/>
                <w:tab w:val="left" w:pos="592"/>
              </w:tabs>
              <w:spacing w:before="75" w:after="30" w:line="240" w:lineRule="auto"/>
              <w:jc w:val="right"/>
            </w:pPr>
            <w:r>
              <w:rPr>
                <w:rFonts w:ascii="Times New Roman" w:eastAsia="Times New Roman" w:hAnsi="Times New Roman" w:cs="Times New Roman"/>
                <w:b w:val="0"/>
                <w:i w:val="0"/>
                <w:color w:val="000000"/>
                <w:sz w:val="18"/>
                <w:u w:val="none"/>
              </w:rPr>
              <w:tab/>
              <w:t>3.7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04"/>
                <w:tab w:val="left" w:pos="1087"/>
              </w:tabs>
              <w:spacing w:before="75" w:after="30" w:line="240" w:lineRule="auto"/>
              <w:jc w:val="right"/>
            </w:pPr>
            <w:r>
              <w:rPr>
                <w:rFonts w:ascii="Times New Roman" w:eastAsia="Times New Roman" w:hAnsi="Times New Roman" w:cs="Times New Roman"/>
                <w:b w:val="0"/>
                <w:i w:val="0"/>
                <w:color w:val="000000"/>
                <w:sz w:val="18"/>
                <w:u w:val="none"/>
              </w:rPr>
              <w:tab/>
              <w:t>3.7</w:t>
              <w:tab/>
            </w:r>
          </w:p>
        </w:tc>
      </w:tr>
      <w:tr>
        <w:tblPrEx>
          <w:tblW w:w="10785" w:type="dxa"/>
          <w:tblLayout w:type="fixed"/>
        </w:tblPrEx>
        <w:trPr>
          <w:cantSplit/>
          <w:trHeight w:hRule="exact" w:val="465"/>
        </w:trPr>
        <w:tc>
          <w:tcPr>
            <w:tcW w:w="24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Foreign currency translation adjustments</w:t>
            </w:r>
          </w:p>
        </w:tc>
        <w:tc>
          <w:tcPr>
            <w:tcW w:w="6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74"/>
              </w:tabs>
              <w:spacing w:before="75" w:after="30" w:line="240" w:lineRule="auto"/>
              <w:jc w:val="right"/>
            </w:pPr>
            <w:r>
              <w:rPr>
                <w:rFonts w:ascii="Times New Roman" w:eastAsia="Times New Roman" w:hAnsi="Times New Roman" w:cs="Times New Roman"/>
                <w:b w:val="0"/>
                <w:i w:val="0"/>
                <w:color w:val="000000"/>
                <w:sz w:val="18"/>
                <w:u w:val="none"/>
              </w:rPr>
              <w:tab/>
              <w:t>(3.0)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29"/>
              </w:tabs>
              <w:spacing w:before="75" w:after="30" w:line="240" w:lineRule="auto"/>
              <w:jc w:val="right"/>
            </w:pPr>
            <w:r>
              <w:rPr>
                <w:rFonts w:ascii="Times New Roman" w:eastAsia="Times New Roman" w:hAnsi="Times New Roman" w:cs="Times New Roman"/>
                <w:b w:val="0"/>
                <w:i w:val="0"/>
                <w:color w:val="000000"/>
                <w:sz w:val="18"/>
                <w:u w:val="none"/>
              </w:rPr>
              <w:tab/>
              <w:t>(3.0)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4"/>
              </w:tabs>
              <w:spacing w:before="75" w:after="30" w:line="240" w:lineRule="auto"/>
              <w:jc w:val="right"/>
            </w:pPr>
            <w:r>
              <w:rPr>
                <w:rFonts w:ascii="Times New Roman" w:eastAsia="Times New Roman" w:hAnsi="Times New Roman" w:cs="Times New Roman"/>
                <w:b w:val="0"/>
                <w:i w:val="0"/>
                <w:color w:val="000000"/>
                <w:sz w:val="18"/>
                <w:u w:val="none"/>
              </w:rPr>
              <w:tab/>
              <w:t>(3.0)</w:t>
            </w:r>
          </w:p>
        </w:tc>
      </w:tr>
      <w:tr>
        <w:tblPrEx>
          <w:tblW w:w="10785" w:type="dxa"/>
          <w:tblLayout w:type="fixed"/>
        </w:tblPrEx>
        <w:trPr>
          <w:cantSplit/>
          <w:trHeight w:hRule="exact" w:val="300"/>
        </w:trPr>
        <w:tc>
          <w:tcPr>
            <w:tcW w:w="243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July 4, 2025</w:t>
            </w:r>
          </w:p>
        </w:tc>
        <w:tc>
          <w:tcPr>
            <w:tcW w:w="6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04"/>
                <w:tab w:val="left" w:pos="577"/>
              </w:tabs>
              <w:spacing w:before="55" w:after="30" w:line="240" w:lineRule="auto"/>
              <w:jc w:val="right"/>
            </w:pPr>
            <w:r>
              <w:rPr>
                <w:rFonts w:ascii="Times New Roman" w:eastAsia="Times New Roman" w:hAnsi="Times New Roman" w:cs="Times New Roman"/>
                <w:b w:val="0"/>
                <w:i w:val="0"/>
                <w:color w:val="000000"/>
                <w:sz w:val="18"/>
                <w:u w:val="none"/>
              </w:rPr>
              <w:tab/>
              <w:t>41.5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478.4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(5.4)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64"/>
              </w:tabs>
              <w:spacing w:before="55" w:after="30" w:line="240" w:lineRule="auto"/>
              <w:jc w:val="right"/>
            </w:pPr>
            <w:r>
              <w:rPr>
                <w:rFonts w:ascii="Times New Roman" w:eastAsia="Times New Roman" w:hAnsi="Times New Roman" w:cs="Times New Roman"/>
                <w:b w:val="0"/>
                <w:i w:val="0"/>
                <w:color w:val="000000"/>
                <w:sz w:val="18"/>
                <w:u w:val="none"/>
              </w:rPr>
              <w:t>$</w:t>
              <w:tab/>
              <w:t>(18.1)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9"/>
                <w:tab w:val="left" w:pos="592"/>
              </w:tabs>
              <w:spacing w:before="55" w:after="30" w:line="240" w:lineRule="auto"/>
              <w:jc w:val="right"/>
            </w:pPr>
            <w:r>
              <w:rPr>
                <w:rFonts w:ascii="Times New Roman" w:eastAsia="Times New Roman" w:hAnsi="Times New Roman" w:cs="Times New Roman"/>
                <w:b w:val="0"/>
                <w:i w:val="0"/>
                <w:color w:val="000000"/>
                <w:sz w:val="18"/>
                <w:u w:val="none"/>
              </w:rPr>
              <w:t>$</w:t>
              <w:tab/>
              <w:t>455.3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4"/>
                <w:tab w:val="left" w:pos="1087"/>
              </w:tabs>
              <w:spacing w:before="55" w:after="30" w:line="240" w:lineRule="auto"/>
              <w:jc w:val="right"/>
            </w:pPr>
            <w:r>
              <w:rPr>
                <w:rFonts w:ascii="Times New Roman" w:eastAsia="Times New Roman" w:hAnsi="Times New Roman" w:cs="Times New Roman"/>
                <w:b w:val="0"/>
                <w:i w:val="0"/>
                <w:color w:val="000000"/>
                <w:sz w:val="18"/>
                <w:u w:val="none"/>
              </w:rPr>
              <w:t>$</w:t>
              <w:tab/>
              <w:t>469.5</w:t>
              <w:tab/>
            </w:r>
          </w:p>
        </w:tc>
      </w:tr>
    </w:tbl>
    <w:p>
      <w:pPr>
        <w:keepNext/>
        <w:keepLines/>
        <w:pageBreakBefore w:val="0"/>
        <w:widowControl w:val="0"/>
        <w:numPr>
          <w:ilvl w:val="0"/>
          <w:numId w:val="0"/>
        </w:numPr>
        <w:spacing w:before="0" w:after="0" w:line="288" w:lineRule="auto"/>
        <w:ind w:left="-720" w:right="0" w:firstLine="0"/>
        <w:jc w:val="center"/>
        <w:outlineLvl w:val="9"/>
        <w:rPr>
          <w:rFonts w:ascii="Times New Roman" w:eastAsia="Times New Roman" w:hAnsi="Times New Roman" w:cs="Times New Roman"/>
          <w:b/>
          <w:i w:val="0"/>
          <w:sz w:val="20"/>
        </w:rPr>
      </w:pPr>
    </w:p>
    <w:p>
      <w:pPr>
        <w:keepNext w:val="0"/>
        <w:keepLines/>
        <w:pageBreakBefore w:val="0"/>
        <w:widowControl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45"/>
        <w:gridCol w:w="765"/>
        <w:gridCol w:w="60"/>
        <w:gridCol w:w="765"/>
        <w:gridCol w:w="60"/>
        <w:gridCol w:w="945"/>
        <w:gridCol w:w="60"/>
        <w:gridCol w:w="1305"/>
        <w:gridCol w:w="60"/>
        <w:gridCol w:w="960"/>
        <w:gridCol w:w="60"/>
        <w:gridCol w:w="660"/>
        <w:gridCol w:w="60"/>
        <w:gridCol w:w="1275"/>
        <w:gridCol w:w="60"/>
        <w:gridCol w:w="1155"/>
      </w:tblGrid>
      <w:tr>
        <w:tblPrEx>
          <w:tblW w:w="10695" w:type="dxa"/>
          <w:tblLayout w:type="fixed"/>
        </w:tblPrEx>
        <w:trPr>
          <w:cantSplit/>
          <w:trHeight w:hRule="exact" w:val="300"/>
        </w:trPr>
        <w:tc>
          <w:tcPr>
            <w:tcW w:w="24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50"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 June 28, 2024</w:t>
            </w:r>
          </w:p>
        </w:tc>
      </w:tr>
      <w:tr>
        <w:tblPrEx>
          <w:tblW w:w="10695" w:type="dxa"/>
          <w:tblLayout w:type="fixed"/>
        </w:tblPrEx>
        <w:trPr>
          <w:cantSplit/>
          <w:trHeight w:hRule="exact" w:val="300"/>
        </w:trPr>
        <w:tc>
          <w:tcPr>
            <w:tcW w:w="24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9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Common Stock</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Additional Paid-in Capital</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Accumulated Other Comprehensive Loss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Retained Earnings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Varex Equity</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Noncontrolling Interests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Stockholders' Equity</w:t>
            </w:r>
          </w:p>
        </w:tc>
      </w:tr>
      <w:tr>
        <w:tblPrEx>
          <w:tblW w:w="10695" w:type="dxa"/>
          <w:tblLayout w:type="fixed"/>
        </w:tblPrEx>
        <w:trPr>
          <w:cantSplit/>
          <w:trHeight w:hRule="exact" w:val="300"/>
        </w:trPr>
        <w:tc>
          <w:tcPr>
            <w:tcW w:w="244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90"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tcBorders>
              <w:top w:val="nil"/>
              <w:left w:val="nil"/>
              <w:bottom w:val="nil"/>
              <w:right w:val="nil"/>
            </w:tcBorders>
          </w:tcPr>
          <w:p>
            <w:pPr>
              <w:keepNext/>
              <w:pageBreakBefore w:val="0"/>
            </w:pPr>
          </w:p>
        </w:tc>
      </w:tr>
      <w:tr>
        <w:tblPrEx>
          <w:tblW w:w="10695" w:type="dxa"/>
          <w:tblLayout w:type="fixed"/>
        </w:tblPrEx>
        <w:trPr>
          <w:cantSplit/>
          <w:trHeight w:hRule="exact" w:val="300"/>
        </w:trPr>
        <w:tc>
          <w:tcPr>
            <w:tcW w:w="244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6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55" w:type="dxa"/>
            <w:vMerge/>
            <w:tcBorders>
              <w:top w:val="nil"/>
              <w:left w:val="nil"/>
              <w:bottom w:val="single" w:sz="8" w:space="0" w:color="000000"/>
              <w:right w:val="nil"/>
            </w:tcBorders>
          </w:tcPr>
          <w:p>
            <w:pPr>
              <w:keepNext/>
              <w:pageBreakBefore w:val="0"/>
            </w:pPr>
          </w:p>
        </w:tc>
      </w:tr>
      <w:tr>
        <w:tblPrEx>
          <w:tblW w:w="10695" w:type="dxa"/>
          <w:tblLayout w:type="fixed"/>
        </w:tblPrEx>
        <w:trPr>
          <w:cantSplit/>
          <w:trHeight w:hRule="exact" w:val="300"/>
        </w:trPr>
        <w:tc>
          <w:tcPr>
            <w:tcW w:w="24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March 29, 2024</w:t>
            </w: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324"/>
                <w:tab w:val="left" w:pos="697"/>
              </w:tabs>
              <w:spacing w:before="55" w:after="30" w:line="240" w:lineRule="auto"/>
              <w:jc w:val="right"/>
            </w:pPr>
            <w:r>
              <w:rPr>
                <w:rFonts w:ascii="Times New Roman" w:eastAsia="Times New Roman" w:hAnsi="Times New Roman" w:cs="Times New Roman"/>
                <w:b w:val="0"/>
                <w:i w:val="0"/>
                <w:color w:val="000000"/>
                <w:sz w:val="18"/>
                <w:u w:val="none"/>
              </w:rPr>
              <w:tab/>
              <w:t>40.9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458.4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(1.7)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29"/>
                <w:tab w:val="left" w:pos="892"/>
              </w:tabs>
              <w:spacing w:before="55" w:after="30" w:line="240" w:lineRule="auto"/>
              <w:jc w:val="right"/>
            </w:pPr>
            <w:r>
              <w:rPr>
                <w:rFonts w:ascii="Times New Roman" w:eastAsia="Times New Roman" w:hAnsi="Times New Roman" w:cs="Times New Roman"/>
                <w:b w:val="0"/>
                <w:i w:val="0"/>
                <w:color w:val="000000"/>
                <w:sz w:val="18"/>
                <w:u w:val="none"/>
              </w:rPr>
              <w:t>$</w:t>
              <w:tab/>
              <w:t>114.1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9"/>
                <w:tab w:val="left" w:pos="592"/>
              </w:tabs>
              <w:spacing w:before="55" w:after="30" w:line="240" w:lineRule="auto"/>
              <w:jc w:val="right"/>
            </w:pPr>
            <w:r>
              <w:rPr>
                <w:rFonts w:ascii="Times New Roman" w:eastAsia="Times New Roman" w:hAnsi="Times New Roman" w:cs="Times New Roman"/>
                <w:b w:val="0"/>
                <w:i w:val="0"/>
                <w:color w:val="000000"/>
                <w:sz w:val="18"/>
                <w:u w:val="none"/>
              </w:rPr>
              <w:t>$</w:t>
              <w:tab/>
              <w:t>571.2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4"/>
                <w:tab w:val="left" w:pos="1087"/>
              </w:tabs>
              <w:spacing w:before="55" w:after="30" w:line="240" w:lineRule="auto"/>
              <w:jc w:val="right"/>
            </w:pPr>
            <w:r>
              <w:rPr>
                <w:rFonts w:ascii="Times New Roman" w:eastAsia="Times New Roman" w:hAnsi="Times New Roman" w:cs="Times New Roman"/>
                <w:b w:val="0"/>
                <w:i w:val="0"/>
                <w:color w:val="000000"/>
                <w:sz w:val="18"/>
                <w:u w:val="none"/>
              </w:rPr>
              <w:t>$</w:t>
              <w:tab/>
              <w:t>585.3</w:t>
              <w:tab/>
            </w:r>
          </w:p>
        </w:tc>
      </w:tr>
      <w:tr>
        <w:tblPrEx>
          <w:tblW w:w="10695" w:type="dxa"/>
          <w:tblLayout w:type="fixed"/>
        </w:tblPrEx>
        <w:trPr>
          <w:cantSplit/>
          <w:trHeight w:hRule="exact" w:val="300"/>
        </w:trPr>
        <w:tc>
          <w:tcPr>
            <w:tcW w:w="24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income</w:t>
            </w:r>
          </w:p>
        </w:tc>
        <w:tc>
          <w:tcPr>
            <w:tcW w:w="7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5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892"/>
              </w:tabs>
              <w:spacing w:before="55" w:after="30" w:line="240" w:lineRule="auto"/>
              <w:jc w:val="right"/>
            </w:pPr>
            <w:r>
              <w:rPr>
                <w:rFonts w:ascii="Times New Roman" w:eastAsia="Times New Roman" w:hAnsi="Times New Roman" w:cs="Times New Roman"/>
                <w:b w:val="0"/>
                <w:i w:val="0"/>
                <w:color w:val="000000"/>
                <w:sz w:val="18"/>
                <w:u w:val="none"/>
              </w:rPr>
              <w:tab/>
              <w:t>1.4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6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309"/>
                <w:tab w:val="left" w:pos="592"/>
              </w:tabs>
              <w:spacing w:before="55" w:after="30" w:line="240" w:lineRule="auto"/>
              <w:jc w:val="right"/>
            </w:pPr>
            <w:r>
              <w:rPr>
                <w:rFonts w:ascii="Times New Roman" w:eastAsia="Times New Roman" w:hAnsi="Times New Roman" w:cs="Times New Roman"/>
                <w:b w:val="0"/>
                <w:i w:val="0"/>
                <w:color w:val="000000"/>
                <w:sz w:val="18"/>
                <w:u w:val="none"/>
              </w:rPr>
              <w:tab/>
              <w:t>1.4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07"/>
              </w:tabs>
              <w:spacing w:before="55" w:after="30" w:line="240" w:lineRule="auto"/>
              <w:jc w:val="right"/>
            </w:pPr>
            <w:r>
              <w:rPr>
                <w:rFonts w:ascii="Times New Roman" w:eastAsia="Times New Roman" w:hAnsi="Times New Roman" w:cs="Times New Roman"/>
                <w:b w:val="0"/>
                <w:i w:val="0"/>
                <w:color w:val="000000"/>
                <w:sz w:val="18"/>
                <w:u w:val="none"/>
              </w:rPr>
              <w:tab/>
              <w:t>0.1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04"/>
                <w:tab w:val="left" w:pos="1087"/>
              </w:tabs>
              <w:spacing w:before="55" w:after="30" w:line="240" w:lineRule="auto"/>
              <w:jc w:val="right"/>
            </w:pPr>
            <w:r>
              <w:rPr>
                <w:rFonts w:ascii="Times New Roman" w:eastAsia="Times New Roman" w:hAnsi="Times New Roman" w:cs="Times New Roman"/>
                <w:b w:val="0"/>
                <w:i w:val="0"/>
                <w:color w:val="000000"/>
                <w:sz w:val="18"/>
                <w:u w:val="none"/>
              </w:rPr>
              <w:tab/>
              <w:t>1.5</w:t>
              <w:tab/>
            </w:r>
          </w:p>
        </w:tc>
      </w:tr>
      <w:tr>
        <w:tblPrEx>
          <w:tblW w:w="10695" w:type="dxa"/>
          <w:tblLayout w:type="fixed"/>
        </w:tblPrEx>
        <w:trPr>
          <w:cantSplit/>
          <w:trHeight w:hRule="exact" w:val="465"/>
        </w:trPr>
        <w:tc>
          <w:tcPr>
            <w:tcW w:w="24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Shares withheld on vesting of restricted stock</w:t>
            </w: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1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54"/>
                <w:tab w:val="left" w:pos="8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29"/>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4"/>
              </w:tabs>
              <w:spacing w:before="75" w:after="30" w:line="240" w:lineRule="auto"/>
              <w:jc w:val="right"/>
            </w:pPr>
            <w:r>
              <w:rPr>
                <w:rFonts w:ascii="Times New Roman" w:eastAsia="Times New Roman" w:hAnsi="Times New Roman" w:cs="Times New Roman"/>
                <w:b w:val="0"/>
                <w:i w:val="0"/>
                <w:color w:val="000000"/>
                <w:sz w:val="18"/>
                <w:u w:val="none"/>
              </w:rPr>
              <w:tab/>
              <w:t>(0.1)</w:t>
            </w:r>
          </w:p>
        </w:tc>
      </w:tr>
      <w:tr>
        <w:tblPrEx>
          <w:tblW w:w="10695" w:type="dxa"/>
          <w:tblLayout w:type="fixed"/>
        </w:tblPrEx>
        <w:trPr>
          <w:cantSplit/>
          <w:trHeight w:hRule="exact" w:val="300"/>
        </w:trPr>
        <w:tc>
          <w:tcPr>
            <w:tcW w:w="24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Share-based compensation</w:t>
            </w: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94"/>
                <w:tab w:val="left" w:pos="877"/>
              </w:tabs>
              <w:spacing w:before="75" w:after="30" w:line="240" w:lineRule="auto"/>
              <w:jc w:val="right"/>
            </w:pPr>
            <w:r>
              <w:rPr>
                <w:rFonts w:ascii="Times New Roman" w:eastAsia="Times New Roman" w:hAnsi="Times New Roman" w:cs="Times New Roman"/>
                <w:b w:val="0"/>
                <w:i w:val="0"/>
                <w:color w:val="000000"/>
                <w:sz w:val="18"/>
                <w:u w:val="none"/>
              </w:rPr>
              <w:tab/>
              <w:t>3.9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54"/>
                <w:tab w:val="left" w:pos="8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09"/>
                <w:tab w:val="left" w:pos="592"/>
              </w:tabs>
              <w:spacing w:before="75" w:after="30" w:line="240" w:lineRule="auto"/>
              <w:jc w:val="right"/>
            </w:pPr>
            <w:r>
              <w:rPr>
                <w:rFonts w:ascii="Times New Roman" w:eastAsia="Times New Roman" w:hAnsi="Times New Roman" w:cs="Times New Roman"/>
                <w:b w:val="0"/>
                <w:i w:val="0"/>
                <w:color w:val="000000"/>
                <w:sz w:val="18"/>
                <w:u w:val="none"/>
              </w:rPr>
              <w:tab/>
              <w:t>3.9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04"/>
                <w:tab w:val="left" w:pos="1087"/>
              </w:tabs>
              <w:spacing w:before="75" w:after="30" w:line="240" w:lineRule="auto"/>
              <w:jc w:val="right"/>
            </w:pPr>
            <w:r>
              <w:rPr>
                <w:rFonts w:ascii="Times New Roman" w:eastAsia="Times New Roman" w:hAnsi="Times New Roman" w:cs="Times New Roman"/>
                <w:b w:val="0"/>
                <w:i w:val="0"/>
                <w:color w:val="000000"/>
                <w:sz w:val="18"/>
                <w:u w:val="none"/>
              </w:rPr>
              <w:tab/>
              <w:t>3.9</w:t>
              <w:tab/>
            </w:r>
          </w:p>
        </w:tc>
      </w:tr>
      <w:tr>
        <w:tblPrEx>
          <w:tblW w:w="10695" w:type="dxa"/>
          <w:tblLayout w:type="fixed"/>
        </w:tblPrEx>
        <w:trPr>
          <w:cantSplit/>
          <w:trHeight w:hRule="exact" w:val="465"/>
        </w:trPr>
        <w:tc>
          <w:tcPr>
            <w:tcW w:w="244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Foreign currency translation adjustments</w:t>
            </w: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54"/>
                <w:tab w:val="left" w:pos="8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29"/>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4"/>
              </w:tabs>
              <w:spacing w:before="75" w:after="30" w:line="240" w:lineRule="auto"/>
              <w:jc w:val="right"/>
            </w:pPr>
            <w:r>
              <w:rPr>
                <w:rFonts w:ascii="Times New Roman" w:eastAsia="Times New Roman" w:hAnsi="Times New Roman" w:cs="Times New Roman"/>
                <w:b w:val="0"/>
                <w:i w:val="0"/>
                <w:color w:val="000000"/>
                <w:sz w:val="18"/>
                <w:u w:val="none"/>
              </w:rPr>
              <w:tab/>
              <w:t>(0.1)</w:t>
            </w:r>
          </w:p>
        </w:tc>
      </w:tr>
      <w:tr>
        <w:tblPrEx>
          <w:tblW w:w="10695" w:type="dxa"/>
          <w:tblLayout w:type="fixed"/>
        </w:tblPrEx>
        <w:trPr>
          <w:cantSplit/>
          <w:trHeight w:hRule="exact" w:val="300"/>
        </w:trPr>
        <w:tc>
          <w:tcPr>
            <w:tcW w:w="244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Other</w:t>
            </w: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54"/>
                <w:tab w:val="left" w:pos="8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54"/>
                <w:tab w:val="left" w:pos="5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4"/>
              </w:tabs>
              <w:spacing w:before="75" w:after="30" w:line="240" w:lineRule="auto"/>
              <w:jc w:val="right"/>
            </w:pPr>
            <w:r>
              <w:rPr>
                <w:rFonts w:ascii="Times New Roman" w:eastAsia="Times New Roman" w:hAnsi="Times New Roman" w:cs="Times New Roman"/>
                <w:b w:val="0"/>
                <w:i w:val="0"/>
                <w:color w:val="000000"/>
                <w:sz w:val="18"/>
                <w:u w:val="none"/>
              </w:rPr>
              <w:tab/>
              <w:t>(0.1)</w:t>
            </w:r>
          </w:p>
        </w:tc>
      </w:tr>
      <w:tr>
        <w:tblPrEx>
          <w:tblW w:w="10695" w:type="dxa"/>
          <w:tblLayout w:type="fixed"/>
        </w:tblPrEx>
        <w:trPr>
          <w:cantSplit/>
          <w:trHeight w:hRule="exact" w:val="300"/>
        </w:trPr>
        <w:tc>
          <w:tcPr>
            <w:tcW w:w="244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June 28, 2024</w:t>
            </w: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24"/>
                <w:tab w:val="left" w:pos="697"/>
              </w:tabs>
              <w:spacing w:before="55" w:after="30" w:line="240" w:lineRule="auto"/>
              <w:jc w:val="right"/>
            </w:pPr>
            <w:r>
              <w:rPr>
                <w:rFonts w:ascii="Times New Roman" w:eastAsia="Times New Roman" w:hAnsi="Times New Roman" w:cs="Times New Roman"/>
                <w:b w:val="0"/>
                <w:i w:val="0"/>
                <w:color w:val="000000"/>
                <w:sz w:val="18"/>
                <w:u w:val="none"/>
              </w:rPr>
              <w:tab/>
              <w:t>40.9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462.2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29"/>
                <w:tab w:val="left" w:pos="892"/>
              </w:tabs>
              <w:spacing w:before="55" w:after="30" w:line="240" w:lineRule="auto"/>
              <w:jc w:val="right"/>
            </w:pPr>
            <w:r>
              <w:rPr>
                <w:rFonts w:ascii="Times New Roman" w:eastAsia="Times New Roman" w:hAnsi="Times New Roman" w:cs="Times New Roman"/>
                <w:b w:val="0"/>
                <w:i w:val="0"/>
                <w:color w:val="000000"/>
                <w:sz w:val="18"/>
                <w:u w:val="none"/>
              </w:rPr>
              <w:t>$</w:t>
              <w:tab/>
              <w:t>115.5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9"/>
                <w:tab w:val="left" w:pos="592"/>
              </w:tabs>
              <w:spacing w:before="55" w:after="30" w:line="240" w:lineRule="auto"/>
              <w:jc w:val="right"/>
            </w:pPr>
            <w:r>
              <w:rPr>
                <w:rFonts w:ascii="Times New Roman" w:eastAsia="Times New Roman" w:hAnsi="Times New Roman" w:cs="Times New Roman"/>
                <w:b w:val="0"/>
                <w:i w:val="0"/>
                <w:color w:val="000000"/>
                <w:sz w:val="18"/>
                <w:u w:val="none"/>
              </w:rPr>
              <w:t>$</w:t>
              <w:tab/>
              <w:t>576.3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4"/>
                <w:tab w:val="left" w:pos="1087"/>
              </w:tabs>
              <w:spacing w:before="55" w:after="30" w:line="240" w:lineRule="auto"/>
              <w:jc w:val="right"/>
            </w:pPr>
            <w:r>
              <w:rPr>
                <w:rFonts w:ascii="Times New Roman" w:eastAsia="Times New Roman" w:hAnsi="Times New Roman" w:cs="Times New Roman"/>
                <w:b w:val="0"/>
                <w:i w:val="0"/>
                <w:color w:val="000000"/>
                <w:sz w:val="18"/>
                <w:u w:val="none"/>
              </w:rPr>
              <w:t>$</w:t>
              <w:tab/>
              <w:t>590.4</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sectPr>
          <w:headerReference w:type="default" r:id="rId14"/>
          <w:type w:val="continuous"/>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bookmarkStart w:id="8" w:name="Section9"/>
      <w:bookmarkEnd w:id="8"/>
      <w:r>
        <w:rPr>
          <w:rFonts w:ascii="Times New Roman" w:eastAsia="Times New Roman" w:hAnsi="Times New Roman" w:cs="Times New Roman"/>
          <w:b/>
          <w:i w:val="0"/>
          <w:sz w:val="20"/>
        </w:rPr>
        <w:t xml:space="preserve"> 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CONDENSED CONSOLIDATED STATEMENTS OF STOCKHOLDERS' EQUITY</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325"/>
        <w:gridCol w:w="645"/>
        <w:gridCol w:w="60"/>
        <w:gridCol w:w="735"/>
        <w:gridCol w:w="60"/>
        <w:gridCol w:w="945"/>
        <w:gridCol w:w="60"/>
        <w:gridCol w:w="1305"/>
        <w:gridCol w:w="60"/>
        <w:gridCol w:w="1185"/>
        <w:gridCol w:w="60"/>
        <w:gridCol w:w="720"/>
        <w:gridCol w:w="60"/>
        <w:gridCol w:w="1275"/>
        <w:gridCol w:w="60"/>
        <w:gridCol w:w="1185"/>
      </w:tblGrid>
      <w:tr>
        <w:tblPrEx>
          <w:tblW w:w="10740" w:type="dxa"/>
          <w:tblLayout w:type="fixed"/>
        </w:tblPrEx>
        <w:trPr>
          <w:cantSplit/>
          <w:trHeight w:hRule="exact" w:val="285"/>
        </w:trPr>
        <w:tc>
          <w:tcPr>
            <w:tcW w:w="2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415" w:type="dxa"/>
            <w:gridSpan w:val="1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 July 4, 2025</w:t>
            </w:r>
          </w:p>
        </w:tc>
      </w:tr>
      <w:tr>
        <w:tblPrEx>
          <w:tblW w:w="10740" w:type="dxa"/>
          <w:tblLayout w:type="fixed"/>
        </w:tblPrEx>
        <w:trPr>
          <w:cantSplit/>
          <w:trHeight w:hRule="exact" w:val="195"/>
        </w:trPr>
        <w:tc>
          <w:tcPr>
            <w:tcW w:w="2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Common Stock</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Additional Paid-in Capital</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Accumulated Other Comprehensive Loss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Retained Earnings (Accumulated Deficit)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20"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Varex Equity</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Noncontrolling Interests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val="restart"/>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Stockholders' Equity</w:t>
            </w:r>
          </w:p>
        </w:tc>
      </w:tr>
      <w:tr>
        <w:tblPrEx>
          <w:tblW w:w="10740" w:type="dxa"/>
          <w:tblLayout w:type="fixed"/>
        </w:tblPrEx>
        <w:trPr>
          <w:cantSplit/>
          <w:trHeight w:hRule="exact" w:val="345"/>
        </w:trPr>
        <w:tc>
          <w:tcPr>
            <w:tcW w:w="23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40"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20"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nil"/>
              <w:right w:val="nil"/>
            </w:tcBorders>
          </w:tcPr>
          <w:p>
            <w:pPr>
              <w:keepNext/>
              <w:pageBreakBefore w:val="0"/>
            </w:pPr>
          </w:p>
        </w:tc>
      </w:tr>
      <w:tr>
        <w:tblPrEx>
          <w:tblW w:w="10740" w:type="dxa"/>
          <w:tblLayout w:type="fixed"/>
        </w:tblPrEx>
        <w:trPr>
          <w:cantSplit/>
          <w:trHeight w:hRule="exact" w:val="285"/>
        </w:trPr>
        <w:tc>
          <w:tcPr>
            <w:tcW w:w="23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64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2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single" w:sz="8" w:space="0" w:color="000000"/>
              <w:right w:val="nil"/>
            </w:tcBorders>
          </w:tcPr>
          <w:p>
            <w:pPr>
              <w:keepNext/>
              <w:pageBreakBefore w:val="0"/>
            </w:pPr>
          </w:p>
        </w:tc>
      </w:tr>
      <w:tr>
        <w:tblPrEx>
          <w:tblW w:w="10740" w:type="dxa"/>
          <w:tblLayout w:type="fixed"/>
        </w:tblPrEx>
        <w:trPr>
          <w:cantSplit/>
          <w:trHeight w:hRule="exact" w:val="285"/>
        </w:trPr>
        <w:tc>
          <w:tcPr>
            <w:tcW w:w="23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September 27, 2024</w:t>
            </w:r>
          </w:p>
        </w:tc>
        <w:tc>
          <w:tcPr>
            <w:tcW w:w="6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04"/>
                <w:tab w:val="left" w:pos="577"/>
              </w:tabs>
              <w:spacing w:before="55" w:after="30" w:line="240" w:lineRule="auto"/>
              <w:jc w:val="right"/>
            </w:pPr>
            <w:r>
              <w:rPr>
                <w:rFonts w:ascii="Times New Roman" w:eastAsia="Times New Roman" w:hAnsi="Times New Roman" w:cs="Times New Roman"/>
                <w:b w:val="0"/>
                <w:i w:val="0"/>
                <w:color w:val="000000"/>
                <w:sz w:val="18"/>
                <w:u w:val="none"/>
              </w:rPr>
              <w:tab/>
              <w:t>41.1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384"/>
                <w:tab w:val="left" w:pos="66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467.2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(2.9)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64.4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89"/>
                <w:tab w:val="left" w:pos="652"/>
              </w:tabs>
              <w:spacing w:before="55" w:after="30" w:line="240" w:lineRule="auto"/>
              <w:jc w:val="right"/>
            </w:pPr>
            <w:r>
              <w:rPr>
                <w:rFonts w:ascii="Times New Roman" w:eastAsia="Times New Roman" w:hAnsi="Times New Roman" w:cs="Times New Roman"/>
                <w:b w:val="0"/>
                <w:i w:val="0"/>
                <w:color w:val="000000"/>
                <w:sz w:val="18"/>
                <w:u w:val="none"/>
              </w:rPr>
              <w:t>$</w:t>
              <w:tab/>
              <w:t>529.1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5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543.2</w:t>
              <w:tab/>
            </w:r>
          </w:p>
        </w:tc>
      </w:tr>
      <w:tr>
        <w:tblPrEx>
          <w:tblW w:w="10740" w:type="dxa"/>
          <w:tblLayout w:type="fixed"/>
        </w:tblPrEx>
        <w:trPr>
          <w:cantSplit/>
          <w:trHeight w:hRule="exact" w:val="285"/>
        </w:trPr>
        <w:tc>
          <w:tcPr>
            <w:tcW w:w="23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Net (loss) income</w:t>
            </w:r>
          </w:p>
        </w:tc>
        <w:tc>
          <w:tcPr>
            <w:tcW w:w="6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4"/>
              </w:tabs>
              <w:spacing w:before="75" w:after="30" w:line="240" w:lineRule="auto"/>
              <w:jc w:val="right"/>
            </w:pPr>
            <w:r>
              <w:rPr>
                <w:rFonts w:ascii="Times New Roman" w:eastAsia="Times New Roman" w:hAnsi="Times New Roman" w:cs="Times New Roman"/>
                <w:b w:val="0"/>
                <w:i w:val="0"/>
                <w:color w:val="000000"/>
                <w:sz w:val="18"/>
                <w:u w:val="none"/>
              </w:rPr>
              <w:tab/>
              <w:t>(82.5)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99"/>
              </w:tabs>
              <w:spacing w:before="75" w:after="30" w:line="240" w:lineRule="auto"/>
              <w:jc w:val="right"/>
            </w:pPr>
            <w:r>
              <w:rPr>
                <w:rFonts w:ascii="Times New Roman" w:eastAsia="Times New Roman" w:hAnsi="Times New Roman" w:cs="Times New Roman"/>
                <w:b w:val="0"/>
                <w:i w:val="0"/>
                <w:color w:val="000000"/>
                <w:sz w:val="18"/>
                <w:u w:val="none"/>
              </w:rPr>
              <w:tab/>
              <w:t>(82.5)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07"/>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4"/>
              </w:tabs>
              <w:spacing w:before="75" w:after="30" w:line="240" w:lineRule="auto"/>
              <w:jc w:val="right"/>
            </w:pPr>
            <w:r>
              <w:rPr>
                <w:rFonts w:ascii="Times New Roman" w:eastAsia="Times New Roman" w:hAnsi="Times New Roman" w:cs="Times New Roman"/>
                <w:b w:val="0"/>
                <w:i w:val="0"/>
                <w:color w:val="000000"/>
                <w:sz w:val="18"/>
                <w:u w:val="none"/>
              </w:rPr>
              <w:tab/>
              <w:t>(82.1)</w:t>
            </w:r>
          </w:p>
        </w:tc>
      </w:tr>
      <w:tr>
        <w:tblPrEx>
          <w:tblW w:w="10740" w:type="dxa"/>
          <w:tblLayout w:type="fixed"/>
        </w:tblPrEx>
        <w:trPr>
          <w:cantSplit/>
          <w:trHeight w:hRule="exact" w:val="465"/>
        </w:trPr>
        <w:tc>
          <w:tcPr>
            <w:tcW w:w="23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Common stock issued upon vesting of restricted shares</w:t>
            </w:r>
          </w:p>
        </w:tc>
        <w:tc>
          <w:tcPr>
            <w:tcW w:w="6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4"/>
                <w:tab w:val="left" w:pos="577"/>
              </w:tabs>
              <w:spacing w:before="75" w:after="30" w:line="240" w:lineRule="auto"/>
              <w:jc w:val="right"/>
            </w:pPr>
            <w:r>
              <w:rPr>
                <w:rFonts w:ascii="Times New Roman" w:eastAsia="Times New Roman" w:hAnsi="Times New Roman" w:cs="Times New Roman"/>
                <w:b w:val="0"/>
                <w:i w:val="0"/>
                <w:color w:val="000000"/>
                <w:sz w:val="18"/>
                <w:u w:val="none"/>
              </w:rPr>
              <w:tab/>
              <w:t>0.3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5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740" w:type="dxa"/>
          <w:tblLayout w:type="fixed"/>
        </w:tblPrEx>
        <w:trPr>
          <w:cantSplit/>
          <w:trHeight w:hRule="exact" w:val="465"/>
        </w:trPr>
        <w:tc>
          <w:tcPr>
            <w:tcW w:w="23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Shares withheld on vesting of restricted stock</w:t>
            </w:r>
          </w:p>
        </w:tc>
        <w:tc>
          <w:tcPr>
            <w:tcW w:w="6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1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14"/>
              </w:tabs>
              <w:spacing w:before="75" w:after="30" w:line="240" w:lineRule="auto"/>
              <w:jc w:val="right"/>
            </w:pPr>
            <w:r>
              <w:rPr>
                <w:rFonts w:ascii="Times New Roman" w:eastAsia="Times New Roman" w:hAnsi="Times New Roman" w:cs="Times New Roman"/>
                <w:b w:val="0"/>
                <w:i w:val="0"/>
                <w:color w:val="000000"/>
                <w:sz w:val="18"/>
                <w:u w:val="none"/>
              </w:rPr>
              <w:tab/>
              <w:t>(1.9)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89"/>
              </w:tabs>
              <w:spacing w:before="75" w:after="30" w:line="240" w:lineRule="auto"/>
              <w:jc w:val="right"/>
            </w:pPr>
            <w:r>
              <w:rPr>
                <w:rFonts w:ascii="Times New Roman" w:eastAsia="Times New Roman" w:hAnsi="Times New Roman" w:cs="Times New Roman"/>
                <w:b w:val="0"/>
                <w:i w:val="0"/>
                <w:color w:val="000000"/>
                <w:sz w:val="18"/>
                <w:u w:val="none"/>
              </w:rPr>
              <w:tab/>
              <w:t>(1.9)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(1.9)</w:t>
            </w:r>
          </w:p>
        </w:tc>
      </w:tr>
      <w:tr>
        <w:tblPrEx>
          <w:tblW w:w="10740" w:type="dxa"/>
          <w:tblLayout w:type="fixed"/>
        </w:tblPrEx>
        <w:trPr>
          <w:cantSplit/>
          <w:trHeight w:hRule="exact" w:val="645"/>
        </w:trPr>
        <w:tc>
          <w:tcPr>
            <w:tcW w:w="23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Common stock issued under employee stock purchase plan</w:t>
            </w:r>
          </w:p>
        </w:tc>
        <w:tc>
          <w:tcPr>
            <w:tcW w:w="6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4"/>
                <w:tab w:val="left" w:pos="577"/>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94"/>
                <w:tab w:val="left" w:pos="877"/>
              </w:tabs>
              <w:spacing w:before="75" w:after="30" w:line="240" w:lineRule="auto"/>
              <w:jc w:val="right"/>
            </w:pPr>
            <w:r>
              <w:rPr>
                <w:rFonts w:ascii="Times New Roman" w:eastAsia="Times New Roman" w:hAnsi="Times New Roman" w:cs="Times New Roman"/>
                <w:b w:val="0"/>
                <w:i w:val="0"/>
                <w:color w:val="000000"/>
                <w:sz w:val="18"/>
                <w:u w:val="none"/>
              </w:rPr>
              <w:tab/>
              <w:t>1.7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69"/>
                <w:tab w:val="left" w:pos="652"/>
              </w:tabs>
              <w:spacing w:before="75" w:after="30" w:line="240" w:lineRule="auto"/>
              <w:jc w:val="right"/>
            </w:pPr>
            <w:r>
              <w:rPr>
                <w:rFonts w:ascii="Times New Roman" w:eastAsia="Times New Roman" w:hAnsi="Times New Roman" w:cs="Times New Roman"/>
                <w:b w:val="0"/>
                <w:i w:val="0"/>
                <w:color w:val="000000"/>
                <w:sz w:val="18"/>
                <w:u w:val="none"/>
              </w:rPr>
              <w:tab/>
              <w:t>1.7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1.7</w:t>
              <w:tab/>
            </w:r>
          </w:p>
        </w:tc>
      </w:tr>
      <w:tr>
        <w:tblPrEx>
          <w:tblW w:w="10740" w:type="dxa"/>
          <w:tblLayout w:type="fixed"/>
        </w:tblPrEx>
        <w:trPr>
          <w:cantSplit/>
          <w:trHeight w:hRule="exact" w:val="285"/>
        </w:trPr>
        <w:tc>
          <w:tcPr>
            <w:tcW w:w="23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Share-based compensation</w:t>
            </w:r>
          </w:p>
        </w:tc>
        <w:tc>
          <w:tcPr>
            <w:tcW w:w="6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04"/>
                <w:tab w:val="left" w:pos="877"/>
              </w:tabs>
              <w:spacing w:before="75" w:after="30" w:line="240" w:lineRule="auto"/>
              <w:jc w:val="right"/>
            </w:pPr>
            <w:r>
              <w:rPr>
                <w:rFonts w:ascii="Times New Roman" w:eastAsia="Times New Roman" w:hAnsi="Times New Roman" w:cs="Times New Roman"/>
                <w:b w:val="0"/>
                <w:i w:val="0"/>
                <w:color w:val="000000"/>
                <w:sz w:val="18"/>
                <w:u w:val="none"/>
              </w:rPr>
              <w:tab/>
              <w:t>11.5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79"/>
                <w:tab w:val="left" w:pos="652"/>
              </w:tabs>
              <w:spacing w:before="75" w:after="30" w:line="240" w:lineRule="auto"/>
              <w:jc w:val="right"/>
            </w:pPr>
            <w:r>
              <w:rPr>
                <w:rFonts w:ascii="Times New Roman" w:eastAsia="Times New Roman" w:hAnsi="Times New Roman" w:cs="Times New Roman"/>
                <w:b w:val="0"/>
                <w:i w:val="0"/>
                <w:color w:val="000000"/>
                <w:sz w:val="18"/>
                <w:u w:val="none"/>
              </w:rPr>
              <w:tab/>
              <w:t>11.5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4"/>
                <w:tab w:val="left" w:pos="1117"/>
              </w:tabs>
              <w:spacing w:before="75" w:after="30" w:line="240" w:lineRule="auto"/>
              <w:jc w:val="right"/>
            </w:pPr>
            <w:r>
              <w:rPr>
                <w:rFonts w:ascii="Times New Roman" w:eastAsia="Times New Roman" w:hAnsi="Times New Roman" w:cs="Times New Roman"/>
                <w:b w:val="0"/>
                <w:i w:val="0"/>
                <w:color w:val="000000"/>
                <w:sz w:val="18"/>
                <w:u w:val="none"/>
              </w:rPr>
              <w:tab/>
              <w:t>11.5</w:t>
              <w:tab/>
            </w:r>
          </w:p>
        </w:tc>
      </w:tr>
      <w:tr>
        <w:tblPrEx>
          <w:tblW w:w="10740" w:type="dxa"/>
          <w:tblLayout w:type="fixed"/>
        </w:tblPrEx>
        <w:trPr>
          <w:cantSplit/>
          <w:trHeight w:hRule="exact" w:val="465"/>
        </w:trPr>
        <w:tc>
          <w:tcPr>
            <w:tcW w:w="23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Foreign currency translation adjustments</w:t>
            </w:r>
          </w:p>
        </w:tc>
        <w:tc>
          <w:tcPr>
            <w:tcW w:w="6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75" w:after="30" w:line="240" w:lineRule="auto"/>
              <w:jc w:val="right"/>
            </w:pPr>
            <w:r>
              <w:rPr>
                <w:rFonts w:ascii="Times New Roman" w:eastAsia="Times New Roman" w:hAnsi="Times New Roman" w:cs="Times New Roman"/>
                <w:b w:val="0"/>
                <w:i w:val="0"/>
                <w:color w:val="000000"/>
                <w:sz w:val="18"/>
                <w:u w:val="none"/>
              </w:rPr>
              <w:tab/>
              <w:t>(2.5)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89"/>
              </w:tabs>
              <w:spacing w:before="75" w:after="30" w:line="240" w:lineRule="auto"/>
              <w:jc w:val="right"/>
            </w:pPr>
            <w:r>
              <w:rPr>
                <w:rFonts w:ascii="Times New Roman" w:eastAsia="Times New Roman" w:hAnsi="Times New Roman" w:cs="Times New Roman"/>
                <w:b w:val="0"/>
                <w:i w:val="0"/>
                <w:color w:val="000000"/>
                <w:sz w:val="18"/>
                <w:u w:val="none"/>
              </w:rPr>
              <w:tab/>
              <w:t>(2.5)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(2.5)</w:t>
            </w:r>
          </w:p>
        </w:tc>
      </w:tr>
      <w:tr>
        <w:tblPrEx>
          <w:tblW w:w="10740" w:type="dxa"/>
          <w:tblLayout w:type="fixed"/>
        </w:tblPrEx>
        <w:trPr>
          <w:cantSplit/>
          <w:trHeight w:hRule="exact" w:val="285"/>
        </w:trPr>
        <w:tc>
          <w:tcPr>
            <w:tcW w:w="23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Other</w:t>
            </w:r>
          </w:p>
        </w:tc>
        <w:tc>
          <w:tcPr>
            <w:tcW w:w="6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39"/>
                <w:tab w:val="left" w:pos="5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29"/>
                <w:tab w:val="left" w:pos="66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1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89"/>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ab/>
              <w:t>(0.3)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(0.4)</w:t>
            </w:r>
          </w:p>
        </w:tc>
      </w:tr>
      <w:tr>
        <w:tblPrEx>
          <w:tblW w:w="10740" w:type="dxa"/>
          <w:tblLayout w:type="fixed"/>
        </w:tblPrEx>
        <w:trPr>
          <w:cantSplit/>
          <w:trHeight w:hRule="exact" w:val="285"/>
        </w:trPr>
        <w:tc>
          <w:tcPr>
            <w:tcW w:w="23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July 4, 2025</w:t>
            </w:r>
          </w:p>
        </w:tc>
        <w:tc>
          <w:tcPr>
            <w:tcW w:w="6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04"/>
                <w:tab w:val="left" w:pos="577"/>
              </w:tabs>
              <w:spacing w:before="55" w:after="30" w:line="240" w:lineRule="auto"/>
              <w:jc w:val="right"/>
            </w:pPr>
            <w:r>
              <w:rPr>
                <w:rFonts w:ascii="Times New Roman" w:eastAsia="Times New Roman" w:hAnsi="Times New Roman" w:cs="Times New Roman"/>
                <w:b w:val="0"/>
                <w:i w:val="0"/>
                <w:color w:val="000000"/>
                <w:sz w:val="18"/>
                <w:u w:val="none"/>
              </w:rPr>
              <w:tab/>
              <w:t>41.5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84"/>
                <w:tab w:val="left" w:pos="66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94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478.4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(5.4)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64"/>
              </w:tabs>
              <w:spacing w:before="55" w:after="30" w:line="240" w:lineRule="auto"/>
              <w:jc w:val="right"/>
            </w:pPr>
            <w:r>
              <w:rPr>
                <w:rFonts w:ascii="Times New Roman" w:eastAsia="Times New Roman" w:hAnsi="Times New Roman" w:cs="Times New Roman"/>
                <w:b w:val="0"/>
                <w:i w:val="0"/>
                <w:color w:val="000000"/>
                <w:sz w:val="18"/>
                <w:u w:val="none"/>
              </w:rPr>
              <w:t>$</w:t>
              <w:tab/>
              <w:t>(18.1)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2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89"/>
                <w:tab w:val="left" w:pos="652"/>
              </w:tabs>
              <w:spacing w:before="55" w:after="30" w:line="240" w:lineRule="auto"/>
              <w:jc w:val="right"/>
            </w:pPr>
            <w:r>
              <w:rPr>
                <w:rFonts w:ascii="Times New Roman" w:eastAsia="Times New Roman" w:hAnsi="Times New Roman" w:cs="Times New Roman"/>
                <w:b w:val="0"/>
                <w:i w:val="0"/>
                <w:color w:val="000000"/>
                <w:sz w:val="18"/>
                <w:u w:val="none"/>
              </w:rPr>
              <w:t>$</w:t>
              <w:tab/>
              <w:t>455.3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27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1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5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469.5</w:t>
              <w:tab/>
            </w:r>
          </w:p>
        </w:tc>
      </w:tr>
    </w:tbl>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20"/>
        <w:gridCol w:w="765"/>
        <w:gridCol w:w="60"/>
        <w:gridCol w:w="765"/>
        <w:gridCol w:w="60"/>
        <w:gridCol w:w="945"/>
        <w:gridCol w:w="60"/>
        <w:gridCol w:w="1305"/>
        <w:gridCol w:w="60"/>
        <w:gridCol w:w="825"/>
        <w:gridCol w:w="60"/>
        <w:gridCol w:w="795"/>
        <w:gridCol w:w="60"/>
        <w:gridCol w:w="1275"/>
        <w:gridCol w:w="60"/>
        <w:gridCol w:w="1185"/>
      </w:tblGrid>
      <w:tr>
        <w:tblPrEx>
          <w:tblW w:w="10800" w:type="dxa"/>
          <w:tblLayout w:type="fixed"/>
        </w:tblPrEx>
        <w:trPr>
          <w:cantSplit/>
          <w:trHeight w:hRule="exact" w:val="285"/>
        </w:trPr>
        <w:tc>
          <w:tcPr>
            <w:tcW w:w="2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80" w:type="dxa"/>
            <w:gridSpan w:val="1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 June 28, 2024</w:t>
            </w:r>
          </w:p>
        </w:tc>
      </w:tr>
      <w:tr>
        <w:tblPrEx>
          <w:tblW w:w="10800" w:type="dxa"/>
          <w:tblLayout w:type="fixed"/>
        </w:tblPrEx>
        <w:trPr>
          <w:cantSplit/>
          <w:trHeight w:hRule="exact" w:val="195"/>
        </w:trPr>
        <w:tc>
          <w:tcPr>
            <w:tcW w:w="2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90" w:type="dxa"/>
            <w:gridSpan w:val="3"/>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Common Stock</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Additional Paid-in Capital</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Accumulated Other Comprehensive Loss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82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Retained Earnings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9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Varex Equity</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Noncontrolling Interests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 Stockholders' Equity</w:t>
            </w:r>
          </w:p>
        </w:tc>
      </w:tr>
      <w:tr>
        <w:tblPrEx>
          <w:tblW w:w="10800" w:type="dxa"/>
          <w:tblLayout w:type="fixed"/>
        </w:tblPrEx>
        <w:trPr>
          <w:cantSplit/>
          <w:trHeight w:hRule="exact" w:val="345"/>
        </w:trPr>
        <w:tc>
          <w:tcPr>
            <w:tcW w:w="2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90" w:type="dxa"/>
            <w:gridSpan w:val="3"/>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9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nil"/>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nil"/>
              <w:right w:val="nil"/>
            </w:tcBorders>
          </w:tcPr>
          <w:p>
            <w:pPr>
              <w:keepNext/>
              <w:pageBreakBefore w:val="0"/>
            </w:pPr>
          </w:p>
        </w:tc>
      </w:tr>
      <w:tr>
        <w:tblPrEx>
          <w:tblW w:w="10800" w:type="dxa"/>
          <w:tblLayout w:type="fixed"/>
        </w:tblPrEx>
        <w:trPr>
          <w:cantSplit/>
          <w:trHeight w:hRule="exact" w:val="285"/>
        </w:trPr>
        <w:tc>
          <w:tcPr>
            <w:tcW w:w="252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4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2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9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7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vMerge/>
            <w:tcBorders>
              <w:top w:val="nil"/>
              <w:left w:val="nil"/>
              <w:bottom w:val="single" w:sz="8" w:space="0" w:color="000000"/>
              <w:right w:val="nil"/>
            </w:tcBorders>
          </w:tcPr>
          <w:p>
            <w:pPr>
              <w:keepNext/>
              <w:pageBreakBefore w:val="0"/>
            </w:pPr>
          </w:p>
        </w:tc>
      </w:tr>
      <w:tr>
        <w:tblPrEx>
          <w:tblW w:w="10800" w:type="dxa"/>
          <w:tblLayout w:type="fixed"/>
        </w:tblPrEx>
        <w:trPr>
          <w:cantSplit/>
          <w:trHeight w:hRule="exact" w:val="285"/>
        </w:trPr>
        <w:tc>
          <w:tcPr>
            <w:tcW w:w="25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September 29, 2023</w:t>
            </w: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324"/>
                <w:tab w:val="left" w:pos="697"/>
              </w:tabs>
              <w:spacing w:before="55" w:after="30" w:line="240" w:lineRule="auto"/>
              <w:jc w:val="right"/>
            </w:pPr>
            <w:r>
              <w:rPr>
                <w:rFonts w:ascii="Times New Roman" w:eastAsia="Times New Roman" w:hAnsi="Times New Roman" w:cs="Times New Roman"/>
                <w:b w:val="0"/>
                <w:i w:val="0"/>
                <w:color w:val="000000"/>
                <w:sz w:val="18"/>
                <w:u w:val="none"/>
              </w:rPr>
              <w:tab/>
              <w:t>40.5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450.4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(1.2)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4"/>
                <w:tab w:val="left" w:pos="757"/>
              </w:tabs>
              <w:spacing w:before="55" w:after="30" w:line="240" w:lineRule="auto"/>
              <w:jc w:val="right"/>
            </w:pPr>
            <w:r>
              <w:rPr>
                <w:rFonts w:ascii="Times New Roman" w:eastAsia="Times New Roman" w:hAnsi="Times New Roman" w:cs="Times New Roman"/>
                <w:b w:val="0"/>
                <w:i w:val="0"/>
                <w:color w:val="000000"/>
                <w:sz w:val="18"/>
                <w:u w:val="none"/>
              </w:rPr>
              <w:t>$</w:t>
              <w:tab/>
              <w:t>113.2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64"/>
                <w:tab w:val="left" w:pos="727"/>
              </w:tabs>
              <w:spacing w:before="55" w:after="30" w:line="240" w:lineRule="auto"/>
              <w:jc w:val="right"/>
            </w:pPr>
            <w:r>
              <w:rPr>
                <w:rFonts w:ascii="Times New Roman" w:eastAsia="Times New Roman" w:hAnsi="Times New Roman" w:cs="Times New Roman"/>
                <w:b w:val="0"/>
                <w:i w:val="0"/>
                <w:color w:val="000000"/>
                <w:sz w:val="18"/>
                <w:u w:val="none"/>
              </w:rPr>
              <w:t>$</w:t>
              <w:tab/>
              <w:t>562.8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13.3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5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576.1</w:t>
              <w:tab/>
            </w:r>
          </w:p>
        </w:tc>
      </w:tr>
      <w:tr>
        <w:tblPrEx>
          <w:tblW w:w="10800" w:type="dxa"/>
          <w:tblLayout w:type="fixed"/>
        </w:tblPrEx>
        <w:trPr>
          <w:cantSplit/>
          <w:trHeight w:hRule="exact" w:val="285"/>
        </w:trPr>
        <w:tc>
          <w:tcPr>
            <w:tcW w:w="25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Net income</w:t>
            </w: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74"/>
                <w:tab w:val="left" w:pos="757"/>
              </w:tabs>
              <w:spacing w:before="75" w:after="30" w:line="240" w:lineRule="auto"/>
              <w:jc w:val="right"/>
            </w:pPr>
            <w:r>
              <w:rPr>
                <w:rFonts w:ascii="Times New Roman" w:eastAsia="Times New Roman" w:hAnsi="Times New Roman" w:cs="Times New Roman"/>
                <w:b w:val="0"/>
                <w:i w:val="0"/>
                <w:color w:val="000000"/>
                <w:sz w:val="18"/>
                <w:u w:val="none"/>
              </w:rPr>
              <w:tab/>
              <w:t>2.3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44"/>
                <w:tab w:val="left" w:pos="727"/>
              </w:tabs>
              <w:spacing w:before="75" w:after="30" w:line="240" w:lineRule="auto"/>
              <w:jc w:val="right"/>
            </w:pPr>
            <w:r>
              <w:rPr>
                <w:rFonts w:ascii="Times New Roman" w:eastAsia="Times New Roman" w:hAnsi="Times New Roman" w:cs="Times New Roman"/>
                <w:b w:val="0"/>
                <w:i w:val="0"/>
                <w:color w:val="000000"/>
                <w:sz w:val="18"/>
                <w:u w:val="none"/>
              </w:rPr>
              <w:tab/>
              <w:t>2.3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07"/>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2.7</w:t>
              <w:tab/>
            </w:r>
          </w:p>
        </w:tc>
      </w:tr>
      <w:tr>
        <w:tblPrEx>
          <w:tblW w:w="10800" w:type="dxa"/>
          <w:tblLayout w:type="fixed"/>
        </w:tblPrEx>
        <w:trPr>
          <w:cantSplit/>
          <w:trHeight w:hRule="exact" w:val="465"/>
        </w:trPr>
        <w:tc>
          <w:tcPr>
            <w:tcW w:w="2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Common stock issued upon vesting of restricted shares</w:t>
            </w: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97"/>
              </w:tabs>
              <w:spacing w:before="75" w:after="30" w:line="240" w:lineRule="auto"/>
              <w:jc w:val="right"/>
            </w:pPr>
            <w:r>
              <w:rPr>
                <w:rFonts w:ascii="Times New Roman" w:eastAsia="Times New Roman" w:hAnsi="Times New Roman" w:cs="Times New Roman"/>
                <w:b w:val="0"/>
                <w:i w:val="0"/>
                <w:color w:val="000000"/>
                <w:sz w:val="18"/>
                <w:u w:val="none"/>
              </w:rPr>
              <w:tab/>
              <w:t>0.3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89"/>
                <w:tab w:val="left" w:pos="7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1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465"/>
        </w:trPr>
        <w:tc>
          <w:tcPr>
            <w:tcW w:w="25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Shares withheld on vesting of restricted stock</w:t>
            </w: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34"/>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14"/>
              </w:tabs>
              <w:spacing w:before="75" w:after="30" w:line="240" w:lineRule="auto"/>
              <w:jc w:val="right"/>
            </w:pPr>
            <w:r>
              <w:rPr>
                <w:rFonts w:ascii="Times New Roman" w:eastAsia="Times New Roman" w:hAnsi="Times New Roman" w:cs="Times New Roman"/>
                <w:b w:val="0"/>
                <w:i w:val="0"/>
                <w:color w:val="000000"/>
                <w:sz w:val="18"/>
                <w:u w:val="none"/>
              </w:rPr>
              <w:tab/>
              <w:t>(1.9)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64"/>
              </w:tabs>
              <w:spacing w:before="75" w:after="30" w:line="240" w:lineRule="auto"/>
              <w:jc w:val="right"/>
            </w:pPr>
            <w:r>
              <w:rPr>
                <w:rFonts w:ascii="Times New Roman" w:eastAsia="Times New Roman" w:hAnsi="Times New Roman" w:cs="Times New Roman"/>
                <w:b w:val="0"/>
                <w:i w:val="0"/>
                <w:color w:val="000000"/>
                <w:sz w:val="18"/>
                <w:u w:val="none"/>
              </w:rPr>
              <w:tab/>
              <w:t>(1.9)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(1.9)</w:t>
            </w:r>
          </w:p>
        </w:tc>
      </w:tr>
      <w:tr>
        <w:tblPrEx>
          <w:tblW w:w="10800" w:type="dxa"/>
          <w:tblLayout w:type="fixed"/>
        </w:tblPrEx>
        <w:trPr>
          <w:cantSplit/>
          <w:trHeight w:hRule="exact" w:val="465"/>
        </w:trPr>
        <w:tc>
          <w:tcPr>
            <w:tcW w:w="2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Common stock issued under employee stock purchase plan</w:t>
            </w: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14"/>
                <w:tab w:val="left" w:pos="697"/>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94"/>
                <w:tab w:val="left" w:pos="877"/>
              </w:tabs>
              <w:spacing w:before="75" w:after="30" w:line="240" w:lineRule="auto"/>
              <w:jc w:val="right"/>
            </w:pPr>
            <w:r>
              <w:rPr>
                <w:rFonts w:ascii="Times New Roman" w:eastAsia="Times New Roman" w:hAnsi="Times New Roman" w:cs="Times New Roman"/>
                <w:b w:val="0"/>
                <w:i w:val="0"/>
                <w:color w:val="000000"/>
                <w:sz w:val="18"/>
                <w:u w:val="none"/>
              </w:rPr>
              <w:tab/>
              <w:t>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4"/>
                <w:tab w:val="left" w:pos="727"/>
              </w:tabs>
              <w:spacing w:before="75" w:after="30" w:line="240" w:lineRule="auto"/>
              <w:jc w:val="right"/>
            </w:pPr>
            <w:r>
              <w:rPr>
                <w:rFonts w:ascii="Times New Roman" w:eastAsia="Times New Roman" w:hAnsi="Times New Roman" w:cs="Times New Roman"/>
                <w:b w:val="0"/>
                <w:i w:val="0"/>
                <w:color w:val="000000"/>
                <w:sz w:val="18"/>
                <w:u w:val="none"/>
              </w:rPr>
              <w:tab/>
              <w:t>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2.0</w:t>
              <w:tab/>
            </w:r>
          </w:p>
        </w:tc>
      </w:tr>
      <w:tr>
        <w:tblPrEx>
          <w:tblW w:w="10800" w:type="dxa"/>
          <w:tblLayout w:type="fixed"/>
        </w:tblPrEx>
        <w:trPr>
          <w:cantSplit/>
          <w:trHeight w:hRule="exact" w:val="285"/>
        </w:trPr>
        <w:tc>
          <w:tcPr>
            <w:tcW w:w="25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Share-based compensation</w:t>
            </w: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04"/>
                <w:tab w:val="left" w:pos="877"/>
              </w:tabs>
              <w:spacing w:before="75" w:after="30" w:line="240" w:lineRule="auto"/>
              <w:jc w:val="right"/>
            </w:pPr>
            <w:r>
              <w:rPr>
                <w:rFonts w:ascii="Times New Roman" w:eastAsia="Times New Roman" w:hAnsi="Times New Roman" w:cs="Times New Roman"/>
                <w:b w:val="0"/>
                <w:i w:val="0"/>
                <w:color w:val="000000"/>
                <w:sz w:val="18"/>
                <w:u w:val="none"/>
              </w:rPr>
              <w:tab/>
              <w:t>11.7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54"/>
                <w:tab w:val="left" w:pos="727"/>
              </w:tabs>
              <w:spacing w:before="75" w:after="30" w:line="240" w:lineRule="auto"/>
              <w:jc w:val="right"/>
            </w:pPr>
            <w:r>
              <w:rPr>
                <w:rFonts w:ascii="Times New Roman" w:eastAsia="Times New Roman" w:hAnsi="Times New Roman" w:cs="Times New Roman"/>
                <w:b w:val="0"/>
                <w:i w:val="0"/>
                <w:color w:val="000000"/>
                <w:sz w:val="18"/>
                <w:u w:val="none"/>
              </w:rPr>
              <w:tab/>
              <w:t>11.7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4"/>
                <w:tab w:val="left" w:pos="1117"/>
              </w:tabs>
              <w:spacing w:before="75" w:after="30" w:line="240" w:lineRule="auto"/>
              <w:jc w:val="right"/>
            </w:pPr>
            <w:r>
              <w:rPr>
                <w:rFonts w:ascii="Times New Roman" w:eastAsia="Times New Roman" w:hAnsi="Times New Roman" w:cs="Times New Roman"/>
                <w:b w:val="0"/>
                <w:i w:val="0"/>
                <w:color w:val="000000"/>
                <w:sz w:val="18"/>
                <w:u w:val="none"/>
              </w:rPr>
              <w:tab/>
              <w:t>11.7</w:t>
              <w:tab/>
            </w:r>
          </w:p>
        </w:tc>
      </w:tr>
      <w:tr>
        <w:tblPrEx>
          <w:tblW w:w="10800" w:type="dxa"/>
          <w:tblLayout w:type="fixed"/>
        </w:tblPrEx>
        <w:trPr>
          <w:cantSplit/>
          <w:trHeight w:hRule="exact" w:val="465"/>
        </w:trPr>
        <w:tc>
          <w:tcPr>
            <w:tcW w:w="2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Foreign currency translation adjustments</w:t>
            </w: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75" w:after="30" w:line="240" w:lineRule="auto"/>
              <w:jc w:val="right"/>
            </w:pPr>
            <w:r>
              <w:rPr>
                <w:rFonts w:ascii="Times New Roman" w:eastAsia="Times New Roman" w:hAnsi="Times New Roman" w:cs="Times New Roman"/>
                <w:b w:val="0"/>
                <w:i w:val="0"/>
                <w:color w:val="000000"/>
                <w:sz w:val="18"/>
                <w:u w:val="none"/>
              </w:rPr>
              <w:tab/>
              <w:t>(0.6)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64"/>
              </w:tabs>
              <w:spacing w:before="75" w:after="30" w:line="240" w:lineRule="auto"/>
              <w:jc w:val="right"/>
            </w:pPr>
            <w:r>
              <w:rPr>
                <w:rFonts w:ascii="Times New Roman" w:eastAsia="Times New Roman" w:hAnsi="Times New Roman" w:cs="Times New Roman"/>
                <w:b w:val="0"/>
                <w:i w:val="0"/>
                <w:color w:val="000000"/>
                <w:sz w:val="18"/>
                <w:u w:val="none"/>
              </w:rPr>
              <w:tab/>
              <w:t>(0.6)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69"/>
                <w:tab w:val="left" w:pos="120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(0.6)</w:t>
            </w:r>
          </w:p>
        </w:tc>
      </w:tr>
      <w:tr>
        <w:tblPrEx>
          <w:tblW w:w="10800" w:type="dxa"/>
          <w:tblLayout w:type="fixed"/>
        </w:tblPrEx>
        <w:trPr>
          <w:cantSplit/>
          <w:trHeight w:hRule="exact" w:val="285"/>
        </w:trPr>
        <w:tc>
          <w:tcPr>
            <w:tcW w:w="25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Business acquisitions</w:t>
            </w: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94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2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89"/>
                <w:tab w:val="left" w:pos="7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207"/>
              </w:tabs>
              <w:spacing w:before="75" w:after="30" w:line="240" w:lineRule="auto"/>
              <w:jc w:val="right"/>
            </w:pPr>
            <w:r>
              <w:rPr>
                <w:rFonts w:ascii="Times New Roman" w:eastAsia="Times New Roman" w:hAnsi="Times New Roman" w:cs="Times New Roman"/>
                <w:b w:val="0"/>
                <w:i w:val="0"/>
                <w:color w:val="000000"/>
                <w:sz w:val="18"/>
                <w:u w:val="none"/>
              </w:rPr>
              <w:tab/>
              <w:t>0.7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0.7</w:t>
              <w:tab/>
            </w:r>
          </w:p>
        </w:tc>
      </w:tr>
      <w:tr>
        <w:tblPrEx>
          <w:tblW w:w="10800" w:type="dxa"/>
          <w:tblLayout w:type="fixed"/>
        </w:tblPrEx>
        <w:trPr>
          <w:cantSplit/>
          <w:trHeight w:hRule="exact" w:val="285"/>
        </w:trPr>
        <w:tc>
          <w:tcPr>
            <w:tcW w:w="2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Other</w:t>
            </w:r>
          </w:p>
        </w:tc>
        <w:tc>
          <w:tcPr>
            <w:tcW w:w="7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 w:val="left" w:pos="69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94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39"/>
                <w:tab w:val="left" w:pos="87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19"/>
                <w:tab w:val="left" w:pos="75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89"/>
                <w:tab w:val="left" w:pos="7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7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44"/>
              </w:tabs>
              <w:spacing w:before="75" w:after="30" w:line="240" w:lineRule="auto"/>
              <w:jc w:val="right"/>
            </w:pPr>
            <w:r>
              <w:rPr>
                <w:rFonts w:ascii="Times New Roman" w:eastAsia="Times New Roman" w:hAnsi="Times New Roman" w:cs="Times New Roman"/>
                <w:b w:val="0"/>
                <w:i w:val="0"/>
                <w:color w:val="000000"/>
                <w:sz w:val="18"/>
                <w:u w:val="none"/>
              </w:rPr>
              <w:tab/>
              <w:t>(0.3)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(0.3)</w:t>
            </w:r>
          </w:p>
        </w:tc>
      </w:tr>
      <w:tr>
        <w:tblPrEx>
          <w:tblW w:w="10800" w:type="dxa"/>
          <w:tblLayout w:type="fixed"/>
        </w:tblPrEx>
        <w:trPr>
          <w:cantSplit/>
          <w:trHeight w:hRule="exact" w:val="285"/>
        </w:trPr>
        <w:tc>
          <w:tcPr>
            <w:tcW w:w="25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June 28, 2024</w:t>
            </w:r>
          </w:p>
        </w:tc>
        <w:tc>
          <w:tcPr>
            <w:tcW w:w="7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324"/>
                <w:tab w:val="left" w:pos="697"/>
              </w:tabs>
              <w:spacing w:before="55" w:after="30" w:line="240" w:lineRule="auto"/>
              <w:jc w:val="right"/>
            </w:pPr>
            <w:r>
              <w:rPr>
                <w:rFonts w:ascii="Times New Roman" w:eastAsia="Times New Roman" w:hAnsi="Times New Roman" w:cs="Times New Roman"/>
                <w:b w:val="0"/>
                <w:i w:val="0"/>
                <w:color w:val="000000"/>
                <w:sz w:val="18"/>
                <w:u w:val="none"/>
              </w:rPr>
              <w:tab/>
              <w:t>40.9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414"/>
                <w:tab w:val="left" w:pos="697"/>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94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414"/>
                <w:tab w:val="left" w:pos="877"/>
              </w:tabs>
              <w:spacing w:before="55" w:after="30" w:line="240" w:lineRule="auto"/>
              <w:jc w:val="right"/>
            </w:pPr>
            <w:r>
              <w:rPr>
                <w:rFonts w:ascii="Times New Roman" w:eastAsia="Times New Roman" w:hAnsi="Times New Roman" w:cs="Times New Roman"/>
                <w:b w:val="0"/>
                <w:i w:val="0"/>
                <w:color w:val="000000"/>
                <w:sz w:val="18"/>
                <w:u w:val="none"/>
              </w:rPr>
              <w:t>$</w:t>
              <w:tab/>
              <w:t>462.2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(1.8)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94"/>
                <w:tab w:val="left" w:pos="757"/>
              </w:tabs>
              <w:spacing w:before="55" w:after="30" w:line="240" w:lineRule="auto"/>
              <w:jc w:val="right"/>
            </w:pPr>
            <w:r>
              <w:rPr>
                <w:rFonts w:ascii="Times New Roman" w:eastAsia="Times New Roman" w:hAnsi="Times New Roman" w:cs="Times New Roman"/>
                <w:b w:val="0"/>
                <w:i w:val="0"/>
                <w:color w:val="000000"/>
                <w:sz w:val="18"/>
                <w:u w:val="none"/>
              </w:rPr>
              <w:t>$</w:t>
              <w:tab/>
              <w:t>115.5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64"/>
                <w:tab w:val="left" w:pos="727"/>
              </w:tabs>
              <w:spacing w:before="55" w:after="30" w:line="240" w:lineRule="auto"/>
              <w:jc w:val="right"/>
            </w:pPr>
            <w:r>
              <w:rPr>
                <w:rFonts w:ascii="Times New Roman" w:eastAsia="Times New Roman" w:hAnsi="Times New Roman" w:cs="Times New Roman"/>
                <w:b w:val="0"/>
                <w:i w:val="0"/>
                <w:color w:val="000000"/>
                <w:sz w:val="18"/>
                <w:u w:val="none"/>
              </w:rPr>
              <w:t>$</w:t>
              <w:tab/>
              <w:t>576.3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7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834"/>
                <w:tab w:val="left" w:pos="1207"/>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5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590.4</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sectPr>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bookmarkStart w:id="9" w:name="Section10"/>
      <w:bookmarkEnd w:id="9"/>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CONDENSED CONSOLIDATED STATEMENTS OF CASH FLOWS</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515"/>
        <w:gridCol w:w="1605"/>
        <w:gridCol w:w="75"/>
        <w:gridCol w:w="1605"/>
      </w:tblGrid>
      <w:tr>
        <w:tblPrEx>
          <w:tblW w:w="10800" w:type="dxa"/>
          <w:tblLayout w:type="fixed"/>
        </w:tblPrEx>
        <w:trPr>
          <w:cantSplit/>
          <w:trHeight w:hRule="exact" w:val="240"/>
        </w:trPr>
        <w:tc>
          <w:tcPr>
            <w:tcW w:w="751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Layout w:type="fixed"/>
        </w:tblPrEx>
        <w:trPr>
          <w:cantSplit/>
          <w:trHeight w:hRule="exact" w:val="240"/>
        </w:trPr>
        <w:tc>
          <w:tcPr>
            <w:tcW w:w="7515" w:type="dxa"/>
            <w:tcBorders>
              <w:top w:val="nil"/>
              <w:left w:val="nil"/>
              <w:bottom w:val="nil"/>
              <w:right w:val="nil"/>
            </w:tcBorders>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180" w:hanging="180"/>
              <w:jc w:val="left"/>
            </w:pPr>
            <w:r>
              <w:rPr>
                <w:rFonts w:ascii="Times New Roman" w:eastAsia="Times New Roman" w:hAnsi="Times New Roman" w:cs="Times New Roman"/>
                <w:b/>
                <w:i w:val="0"/>
                <w:color w:val="000000"/>
                <w:sz w:val="18"/>
                <w:u w:val="none"/>
              </w:rPr>
              <w:t>Cash flows from operating activities:</w:t>
            </w:r>
          </w:p>
        </w:tc>
        <w:tc>
          <w:tcPr>
            <w:tcW w:w="16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hanging="270"/>
              <w:jc w:val="left"/>
            </w:pPr>
            <w:r>
              <w:rPr>
                <w:rFonts w:ascii="Times New Roman" w:eastAsia="Times New Roman" w:hAnsi="Times New Roman" w:cs="Times New Roman"/>
                <w:b w:val="0"/>
                <w:i w:val="0"/>
                <w:color w:val="000000"/>
                <w:sz w:val="18"/>
                <w:u w:val="none"/>
              </w:rPr>
              <w:t>Net (loss) income</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w:t>
              <w:tab/>
              <w:t>(82.1)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2.7</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90"/>
              <w:jc w:val="left"/>
            </w:pPr>
            <w:r>
              <w:rPr>
                <w:rFonts w:ascii="Times New Roman" w:eastAsia="Times New Roman" w:hAnsi="Times New Roman" w:cs="Times New Roman"/>
                <w:b w:val="0"/>
                <w:i w:val="0"/>
                <w:color w:val="000000"/>
                <w:sz w:val="18"/>
                <w:u w:val="none"/>
              </w:rPr>
              <w:t>Adjustments to reconcile net (loss) income to net cash provided by operating activities: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Share-based compensation expense</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11.8</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Depreciation</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17.6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15.6</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Amortization of intangible assets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8.9</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Deferred taxes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(3.2)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(14.3)</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Loss from equity method investments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0.8</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Amortization of deferred loan costs, net of premium</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2.1</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Gain on purchase of business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(2.1)</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Impairment of goodwill</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Inventory write-down</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3.0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3.4</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Other, net</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2.0</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Changes in assets and liabilities:</w:t>
            </w: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Accounts receivable</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20.2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12.4</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Inventories, net</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(37.6)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(8.0)</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Prepaid expenses and other assets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(5.3)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0.5</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Accounts payable</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6.9</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Accrued liabilities and other current and long-term liabilities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(11.4)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(19.2)</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480"/>
              <w:jc w:val="left"/>
            </w:pPr>
            <w:r>
              <w:rPr>
                <w:rFonts w:ascii="Times New Roman" w:eastAsia="Times New Roman" w:hAnsi="Times New Roman" w:cs="Times New Roman"/>
                <w:b w:val="0"/>
                <w:i w:val="0"/>
                <w:color w:val="000000"/>
                <w:sz w:val="18"/>
                <w:u w:val="none"/>
              </w:rPr>
              <w:t>Deferred revenues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7.6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(2.1)</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600"/>
              <w:jc w:val="left"/>
            </w:pPr>
            <w:r>
              <w:rPr>
                <w:rFonts w:ascii="Times New Roman" w:eastAsia="Times New Roman" w:hAnsi="Times New Roman" w:cs="Times New Roman"/>
                <w:b w:val="0"/>
                <w:i w:val="0"/>
                <w:color w:val="000000"/>
                <w:sz w:val="18"/>
                <w:u w:val="none"/>
              </w:rPr>
              <w:t>Net cash provided by operating activities</w:t>
            </w: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ab/>
              <w:t>33.8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ab/>
              <w:t>21.4</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180" w:hanging="180"/>
              <w:jc w:val="left"/>
            </w:pPr>
            <w:r>
              <w:rPr>
                <w:rFonts w:ascii="Times New Roman" w:eastAsia="Times New Roman" w:hAnsi="Times New Roman" w:cs="Times New Roman"/>
                <w:b/>
                <w:i w:val="0"/>
                <w:color w:val="000000"/>
                <w:sz w:val="18"/>
                <w:u w:val="none"/>
              </w:rPr>
              <w:t>Cash flows from investing activities:</w:t>
            </w: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Purchases of property, plant, and equipment</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(17.3)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(20.9)</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Proceeds from sales of marketable debt securities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10.5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Proceeds from maturities of marketable debt securities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45.3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45.2</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Purchase of marketable debt securities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(30.6)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(37.1)</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Purchase of marketable equity securities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(0.2)</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Proceeds from maturities of certificates of deposit</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3.4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Settlement of net investment hedge</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(0.8)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Acquisitions of businesses, net of cash acquired</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0.9</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Other, net</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(1.4)</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600"/>
              <w:jc w:val="left"/>
            </w:pPr>
            <w:r>
              <w:rPr>
                <w:rFonts w:ascii="Times New Roman" w:eastAsia="Times New Roman" w:hAnsi="Times New Roman" w:cs="Times New Roman"/>
                <w:b w:val="0"/>
                <w:i w:val="0"/>
                <w:color w:val="000000"/>
                <w:sz w:val="18"/>
                <w:u w:val="none"/>
              </w:rPr>
              <w:t>Net cash provided by (used in) investing activities</w:t>
            </w:r>
          </w:p>
        </w:tc>
        <w:tc>
          <w:tcPr>
            <w:tcW w:w="16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ab/>
              <w:t>11.0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ab/>
              <w:t>(13.5)</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180" w:hanging="180"/>
              <w:jc w:val="left"/>
            </w:pPr>
            <w:r>
              <w:rPr>
                <w:rFonts w:ascii="Times New Roman" w:eastAsia="Times New Roman" w:hAnsi="Times New Roman" w:cs="Times New Roman"/>
                <w:b/>
                <w:i w:val="0"/>
                <w:color w:val="000000"/>
                <w:sz w:val="18"/>
                <w:u w:val="none"/>
              </w:rPr>
              <w:t>Cash flows from financing activities:</w:t>
            </w:r>
          </w:p>
        </w:tc>
        <w:tc>
          <w:tcPr>
            <w:tcW w:w="16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Taxes related to net share settlement of equity awards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(1.9)</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Proceeds from issuance of senior secured notes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74"/>
                <w:tab w:val="left" w:pos="1537"/>
              </w:tabs>
              <w:spacing w:before="75" w:after="30" w:line="240" w:lineRule="auto"/>
              <w:jc w:val="right"/>
            </w:pPr>
            <w:r>
              <w:rPr>
                <w:rFonts w:ascii="Times New Roman" w:eastAsia="Times New Roman" w:hAnsi="Times New Roman" w:cs="Times New Roman"/>
                <w:b w:val="0"/>
                <w:i w:val="0"/>
                <w:color w:val="000000"/>
                <w:sz w:val="18"/>
                <w:u w:val="none"/>
              </w:rPr>
              <w:tab/>
              <w:t>126.9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Repayments of borrowing under credit agreements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94"/>
              </w:tabs>
              <w:spacing w:before="75" w:after="30" w:line="240" w:lineRule="auto"/>
              <w:jc w:val="right"/>
            </w:pPr>
            <w:r>
              <w:rPr>
                <w:rFonts w:ascii="Times New Roman" w:eastAsia="Times New Roman" w:hAnsi="Times New Roman" w:cs="Times New Roman"/>
                <w:b w:val="0"/>
                <w:i w:val="0"/>
                <w:color w:val="000000"/>
                <w:sz w:val="18"/>
                <w:u w:val="none"/>
              </w:rPr>
              <w:tab/>
              <w:t>(201.5)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(1.2)</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Payment of debt issuance costs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(2.2)</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Proceeds from shares issued under employee stock purchase plan</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1.7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2.0</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firstLine="360"/>
              <w:jc w:val="left"/>
            </w:pPr>
            <w:r>
              <w:rPr>
                <w:rFonts w:ascii="Times New Roman" w:eastAsia="Times New Roman" w:hAnsi="Times New Roman" w:cs="Times New Roman"/>
                <w:b w:val="0"/>
                <w:i w:val="0"/>
                <w:color w:val="000000"/>
                <w:sz w:val="18"/>
                <w:u w:val="none"/>
              </w:rPr>
              <w:t>Other, net</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(0.8)</w:t>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600"/>
              <w:jc w:val="left"/>
            </w:pPr>
            <w:r>
              <w:rPr>
                <w:rFonts w:ascii="Times New Roman" w:eastAsia="Times New Roman" w:hAnsi="Times New Roman" w:cs="Times New Roman"/>
                <w:b w:val="0"/>
                <w:i w:val="0"/>
                <w:color w:val="000000"/>
                <w:sz w:val="18"/>
                <w:u w:val="none"/>
              </w:rPr>
              <w:t>Net cash used in financing activities</w:t>
            </w:r>
          </w:p>
        </w:tc>
        <w:tc>
          <w:tcPr>
            <w:tcW w:w="16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ab/>
              <w:t>(77.0)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ab/>
              <w:t>(4.1)</w:t>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55" w:after="30" w:line="240" w:lineRule="auto"/>
              <w:ind w:left="180" w:right="0" w:firstLine="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Effects of exchange rate changes on cash and cash equivalents and restricted cash</w:t>
            </w: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ab/>
              <w:t>0.3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299"/>
                <w:tab w:val="left" w:pos="1537"/>
              </w:tabs>
              <w:spacing w:before="5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55" w:after="30" w:line="240" w:lineRule="auto"/>
              <w:ind w:left="9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 xml:space="preserve">Net </w:t>
            </w:r>
            <w:r>
              <w:rPr>
                <w:rFonts w:ascii="Times New Roman" w:eastAsia="Times New Roman" w:hAnsi="Times New Roman" w:cs="Times New Roman"/>
                <w:b w:val="0"/>
                <w:i w:val="0"/>
                <w:color w:val="000000"/>
                <w:sz w:val="18"/>
                <w:u w:val="none"/>
              </w:rPr>
              <w:t>(decrease) increase</w:t>
            </w:r>
            <w:r>
              <w:rPr>
                <w:rFonts w:ascii="Times New Roman" w:eastAsia="Times New Roman" w:hAnsi="Times New Roman" w:cs="Times New Roman"/>
                <w:b w:val="0"/>
                <w:i w:val="0"/>
                <w:sz w:val="18"/>
              </w:rPr>
              <w:t xml:space="preserve"> in cash and cash equivalents and restricted cash</w:t>
            </w: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ab/>
              <w:t>(31.9)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ab/>
              <w:t>3.8</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Cash and cash equivalents and restricted cash at beginning of period</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74"/>
                <w:tab w:val="left" w:pos="1537"/>
              </w:tabs>
              <w:spacing w:before="75" w:after="30" w:line="240" w:lineRule="auto"/>
              <w:jc w:val="right"/>
            </w:pPr>
            <w:r>
              <w:rPr>
                <w:rFonts w:ascii="Times New Roman" w:eastAsia="Times New Roman" w:hAnsi="Times New Roman" w:cs="Times New Roman"/>
                <w:b w:val="0"/>
                <w:i w:val="0"/>
                <w:color w:val="000000"/>
                <w:sz w:val="18"/>
                <w:u w:val="none"/>
              </w:rPr>
              <w:tab/>
              <w:t>170.4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74"/>
                <w:tab w:val="left" w:pos="1537"/>
              </w:tabs>
              <w:spacing w:before="75" w:after="30" w:line="240" w:lineRule="auto"/>
              <w:jc w:val="right"/>
            </w:pPr>
            <w:r>
              <w:rPr>
                <w:rFonts w:ascii="Times New Roman" w:eastAsia="Times New Roman" w:hAnsi="Times New Roman" w:cs="Times New Roman"/>
                <w:b w:val="0"/>
                <w:i w:val="0"/>
                <w:color w:val="000000"/>
                <w:sz w:val="18"/>
                <w:u w:val="none"/>
              </w:rPr>
              <w:tab/>
              <w:t>154.0</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55" w:after="30" w:line="240" w:lineRule="auto"/>
              <w:ind w:left="0" w:right="0" w:firstLine="36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Cash and cash equivalents and restricted cash at end of period</w:t>
            </w: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138.5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157.8</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15" w:after="30" w:line="240" w:lineRule="auto"/>
              <w:ind w:left="180"/>
              <w:jc w:val="left"/>
            </w:pPr>
            <w:r>
              <w:rPr>
                <w:rFonts w:ascii="Times New Roman" w:eastAsia="Times New Roman" w:hAnsi="Times New Roman" w:cs="Times New Roman"/>
                <w:b w:val="0"/>
                <w:i w:val="0"/>
                <w:color w:val="000000"/>
                <w:sz w:val="18"/>
                <w:u w:val="none"/>
              </w:rPr>
              <w:t>Supplemental cash flow information:</w:t>
            </w:r>
          </w:p>
        </w:tc>
        <w:tc>
          <w:tcPr>
            <w:tcW w:w="16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8"/>
                <w:u w:val="none"/>
              </w:rPr>
              <w:t>Cash paid for interest</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30.6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27.6</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8"/>
                <w:u w:val="none"/>
              </w:rPr>
              <w:t>Income taxes paid, net of refunds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17.1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16.7</w:t>
              <w:tab/>
            </w:r>
          </w:p>
        </w:tc>
      </w:tr>
      <w:tr>
        <w:tblPrEx>
          <w:tblW w:w="10800" w:type="dxa"/>
          <w:tblLayout w:type="fixed"/>
        </w:tblPrEx>
        <w:trPr>
          <w:cantSplit/>
          <w:trHeight w:hRule="exact" w:val="24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180"/>
              <w:jc w:val="left"/>
            </w:pPr>
            <w:r>
              <w:rPr>
                <w:rFonts w:ascii="Times New Roman" w:eastAsia="Times New Roman" w:hAnsi="Times New Roman" w:cs="Times New Roman"/>
                <w:b w:val="0"/>
                <w:i w:val="0"/>
                <w:color w:val="000000"/>
                <w:sz w:val="18"/>
                <w:u w:val="none"/>
              </w:rPr>
              <w:t>Supplemental non-cash activities:</w:t>
            </w: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r>
      <w:tr>
        <w:tblPrEx>
          <w:tblW w:w="10800" w:type="dxa"/>
          <w:tblLayout w:type="fixed"/>
        </w:tblPrEx>
        <w:trPr>
          <w:cantSplit/>
          <w:trHeight w:hRule="exact" w:val="24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8"/>
                <w:u w:val="none"/>
              </w:rPr>
              <w:t>Purchases of property, plant, and equipment financed through accounts payable</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0.7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1.4</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See accompanying </w:t>
      </w:r>
      <w:r>
        <w:rPr>
          <w:rFonts w:ascii="Times New Roman" w:eastAsia="Times New Roman" w:hAnsi="Times New Roman" w:cs="Times New Roman"/>
          <w:b w:val="0"/>
          <w:i/>
          <w:color w:val="000000"/>
          <w:sz w:val="20"/>
          <w:u w:val="none"/>
        </w:rPr>
        <w:t>Notes to the Condensed Consolidated Financial Statements</w:t>
      </w:r>
      <w:r>
        <w:rPr>
          <w:rFonts w:ascii="Times New Roman" w:eastAsia="Times New Roman" w:hAnsi="Times New Roman" w:cs="Times New Roman"/>
          <w:b w:val="0"/>
          <w:i/>
          <w:sz w:val="20"/>
        </w:rPr>
        <w:t>.</w:t>
      </w:r>
    </w:p>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sz w:val="20"/>
        </w:rPr>
        <w:sectPr>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center"/>
        <w:outlineLvl w:val="2"/>
        <w:rPr>
          <w:rFonts w:ascii="Times New Roman" w:eastAsia="Times New Roman" w:hAnsi="Times New Roman" w:cs="Times New Roman"/>
          <w:b/>
          <w:i w:val="0"/>
          <w:sz w:val="20"/>
        </w:rPr>
      </w:pPr>
      <w:bookmarkStart w:id="10" w:name="Section11"/>
      <w:bookmarkEnd w:id="10"/>
      <w:r>
        <w:rPr>
          <w:rFonts w:ascii="Times New Roman" w:eastAsia="Times New Roman" w:hAnsi="Times New Roman" w:cs="Times New Roman"/>
          <w:b/>
          <w:i w:val="0"/>
          <w:sz w:val="20"/>
        </w:rPr>
        <w:t>VAREX IMAGING CORPORATION</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NOTES TO THE CONDENSED CONSOLIDATED FINANCIAL STATEMENTS</w:t>
      </w:r>
    </w:p>
    <w:p>
      <w:pPr>
        <w:keepNext w:val="0"/>
        <w:keepLines w:val="0"/>
        <w:pageBreakBefore w:val="0"/>
        <w:widowControl/>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(Unaudited)</w:t>
      </w:r>
    </w:p>
    <w:p>
      <w:pPr>
        <w:keepNext w:val="0"/>
        <w:keepLines w:val="0"/>
        <w:pageBreakBefore w:val="0"/>
        <w:widowControl/>
        <w:numPr>
          <w:ilvl w:val="0"/>
          <w:numId w:val="0"/>
        </w:numPr>
        <w:spacing w:before="0" w:after="0" w:line="288" w:lineRule="auto"/>
        <w:ind w:left="0" w:right="0" w:firstLine="0"/>
        <w:jc w:val="center"/>
        <w:outlineLvl w:val="9"/>
        <w:sectPr>
          <w:pgSz w:w="12240" w:h="15840"/>
          <w:pgMar w:top="1080" w:right="720" w:bottom="1080" w:left="720" w:header="270" w:footer="270"/>
          <w:cols w:space="708"/>
        </w:sectPr>
      </w:pPr>
    </w:p>
    <w:p>
      <w:pPr>
        <w:keepNext w:val="0"/>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1" w:name="Section12"/>
      <w:bookmarkEnd w:id="11"/>
      <w:r>
        <w:rPr>
          <w:rFonts w:ascii="Times New Roman" w:eastAsia="Times New Roman" w:hAnsi="Times New Roman" w:cs="Times New Roman"/>
          <w:b/>
          <w:i w:val="0"/>
          <w:color w:val="000000"/>
          <w:sz w:val="20"/>
          <w:u w:val="none"/>
        </w:rPr>
        <w:t>1</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SUMMARY OF SIGNIFICANT ACCOUNTING POLICIES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Description of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Varex Imaging Corporation (the “Company” or “Varex”) designs, manufactures, sells, and services a broad range of medical products, which include X-ray imaging components including X-ray tubes, flat panel and photon counting detectors and accessories, ionization chambers, high voltage connectors, image processing software and workstations, 3D reconstruction software, computer-aided diagnostic software, automatic exposure control devices, generators, and heat exchangers.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also designs, manufactures, sells and services industrial products, which include Linatron® X-ray linear accelerators, X-ray tubes, digital detectors, high voltage connectors, coolers,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or irradiation systems and processes. The Company also manufactures and sells its own X-ray imaging systems for industrial applications. The Company conducts an active research and development program to focus on new technologies and applications in both medical and industrial X-ray imaging.</w:t>
      </w:r>
    </w:p>
    <w:p>
      <w:pPr>
        <w:keepNext w:val="0"/>
        <w:keepLines/>
        <w:pageBreakBefore w:val="0"/>
        <w:widowControl w:val="0"/>
        <w:numPr>
          <w:ilvl w:val="0"/>
          <w:numId w:val="0"/>
        </w:numPr>
        <w:spacing w:before="120" w:after="0" w:line="288" w:lineRule="auto"/>
        <w:ind w:left="0" w:right="0" w:firstLine="0"/>
        <w:jc w:val="left"/>
        <w:outlineLvl w:val="9"/>
        <w:sectPr>
          <w:headerReference w:type="default" r:id="rId15"/>
          <w:footerReference w:type="default" r:id="rId16"/>
          <w:type w:val="continuous"/>
          <w:pgSz w:w="12240" w:h="15840"/>
          <w:pgMar w:top="1080" w:right="720" w:bottom="1080" w:left="720" w:header="270" w:footer="0"/>
          <w:cols w:space="708"/>
        </w:sectPr>
      </w:pPr>
    </w:p>
    <w:p>
      <w:pPr>
        <w:keepNext/>
        <w:keepLines/>
        <w:pageBreakBefore w:val="0"/>
        <w:widowControl w:val="0"/>
        <w:numPr>
          <w:ilvl w:val="0"/>
          <w:numId w:val="0"/>
        </w:numPr>
        <w:spacing w:before="240" w:after="0" w:line="288" w:lineRule="auto"/>
        <w:ind w:left="0" w:right="0" w:firstLine="0"/>
        <w:jc w:val="left"/>
        <w:outlineLvl w:val="4"/>
        <w:rPr>
          <w:rFonts w:ascii="Times New Roman" w:eastAsia="Times New Roman" w:hAnsi="Times New Roman" w:cs="Times New Roman"/>
          <w:b/>
          <w:i/>
          <w:sz w:val="20"/>
        </w:rPr>
      </w:pPr>
      <w:bookmarkStart w:id="12" w:name="Section13"/>
      <w:bookmarkEnd w:id="12"/>
      <w:r>
        <w:rPr>
          <w:rFonts w:ascii="Times New Roman" w:eastAsia="Times New Roman" w:hAnsi="Times New Roman" w:cs="Times New Roman"/>
          <w:b/>
          <w:i/>
          <w:color w:val="000000"/>
          <w:sz w:val="20"/>
          <w:u w:val="none"/>
        </w:rPr>
        <w:t>Basis of Presentation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accompanying unaudited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color w:val="000000"/>
          <w:sz w:val="20"/>
          <w:u w:val="none"/>
        </w:rPr>
        <w:t xml:space="preserve"> have been prepared by the Company pursuant to the rules and regulations of the Securities and Exchange Commission (“SEC”) and in accordance with accounting principles generally accepted in the United States (“GAAP”) for interim financial information. Accordingly, they do not include all of the information and notes required by GAAP for complete financial statements. In the opinion of management, these unaudited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color w:val="000000"/>
          <w:sz w:val="20"/>
          <w:u w:val="none"/>
        </w:rPr>
        <w:t xml:space="preserve"> include all adjustments necessary for a fair presentation of the results for the interim periods. The Company has consolidated all of its majority owned subsidiaries and entities over which it has control. All intercompany balances and transactions have been eliminated as part of the consolidation.</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These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color w:val="000000"/>
          <w:sz w:val="20"/>
          <w:u w:val="none"/>
        </w:rPr>
        <w:t xml:space="preserve"> and the accompanying notes are unaudited and should be read in conjunction with the Consolidated Financial Statements and notes thereto for the fiscal year ended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included in the Company’s Annual Report on Form 10-K, which was filed with the SEC on </w:t>
      </w:r>
      <w:r>
        <w:rPr>
          <w:rFonts w:ascii="Times New Roman" w:eastAsia="Times New Roman" w:hAnsi="Times New Roman" w:cs="Times New Roman"/>
          <w:b w:val="0"/>
          <w:i w:val="0"/>
          <w:color w:val="000000"/>
          <w:sz w:val="20"/>
          <w:u w:val="none"/>
        </w:rPr>
        <w:t>November 19, 2024</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Company considers events or transactions that occur after the balance sheet date, but before the financial statements are issued, to provide additional evidence relative to certain estimates or to identify matters that require additional disclosures.</w:t>
      </w:r>
      <w:r>
        <w:rPr>
          <w:rFonts w:ascii="Times New Roman" w:eastAsia="Times New Roman" w:hAnsi="Times New Roman" w:cs="Times New Roman"/>
          <w:b w:val="0"/>
          <w:i w:val="0"/>
          <w:color w:val="000000"/>
          <w:sz w:val="20"/>
          <w:u w:val="none"/>
        </w:rPr>
        <w:t xml:space="preserve"> Except for the change in certain policies upon adoption of the accounting standards described below, there have been no material changes to the Company's significant accounting policies, compared to the accounting policies described in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Summary of Significant Accounting Policies</w:t>
      </w:r>
      <w:r>
        <w:rPr>
          <w:rFonts w:ascii="Times New Roman" w:eastAsia="Times New Roman" w:hAnsi="Times New Roman" w:cs="Times New Roman"/>
          <w:b w:val="0"/>
          <w:i w:val="0"/>
          <w:color w:val="000000"/>
          <w:sz w:val="20"/>
          <w:u w:val="none"/>
        </w:rPr>
        <w:t xml:space="preserve">, in the Company’s Annual Report on Form 10-K for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40" w:lineRule="exact"/>
        <w:ind w:left="0" w:right="0" w:firstLine="0"/>
        <w:jc w:val="left"/>
        <w:outlineLvl w:val="9"/>
        <w:sectPr>
          <w:headerReference w:type="default" r:id="rId17"/>
          <w:footerReference w:type="default" r:id="rId18"/>
          <w:type w:val="continuous"/>
          <w:pgSz w:w="12240" w:h="15840"/>
          <w:pgMar w:top="1080" w:right="720" w:bottom="1080" w:left="720" w:header="270" w:footer="270"/>
          <w:cols w:space="708"/>
        </w:sectPr>
      </w:pPr>
    </w:p>
    <w:p>
      <w:pPr>
        <w:keepNext w:val="0"/>
        <w:keepLines/>
        <w:pageBreakBefore w:val="0"/>
        <w:widowControl w:val="0"/>
        <w:numPr>
          <w:ilvl w:val="0"/>
          <w:numId w:val="0"/>
        </w:numPr>
        <w:spacing w:before="240" w:after="0" w:line="288" w:lineRule="auto"/>
        <w:ind w:left="0" w:right="0" w:firstLine="0"/>
        <w:jc w:val="left"/>
        <w:outlineLvl w:val="4"/>
        <w:rPr>
          <w:rFonts w:ascii="Times New Roman" w:eastAsia="Times New Roman" w:hAnsi="Times New Roman" w:cs="Times New Roman"/>
          <w:b/>
          <w:i/>
          <w:sz w:val="20"/>
        </w:rPr>
      </w:pPr>
      <w:bookmarkStart w:id="13" w:name="Section14"/>
      <w:bookmarkEnd w:id="13"/>
      <w:r>
        <w:rPr>
          <w:rFonts w:ascii="Times New Roman" w:eastAsia="Times New Roman" w:hAnsi="Times New Roman" w:cs="Times New Roman"/>
          <w:b/>
          <w:i/>
          <w:sz w:val="20"/>
        </w:rPr>
        <w:t>Revision of Prior Period Financial Statements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shd w:val="clear" w:color="auto" w:fill="FFFF0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In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sz w:val="20"/>
        </w:rPr>
        <w:t xml:space="preserve">connection with the preparation of the Company's Condensed Consolidated Financial Statements for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sz w:val="20"/>
        </w:rPr>
        <w:t xml:space="preserve">, the Company identified an accounting error related to its deferred tax assets and liabilities and income tax expense calculations in prior periods. The Company has revised its prior period condensed consolidated balance sheets and condensed consolidated statements of stockholders' equity to correct this error. The Company evaluated the effect of the error on the previously issued condensed consolidated financial statements and determined that the related impacts were not material, individually or in aggregate. </w:t>
      </w:r>
      <w:r>
        <w:rPr>
          <w:rFonts w:ascii="Times New Roman" w:eastAsia="Times New Roman" w:hAnsi="Times New Roman" w:cs="Times New Roman"/>
          <w:b w:val="0"/>
          <w:i w:val="0"/>
          <w:sz w:val="20"/>
        </w:rPr>
        <w:t xml:space="preserve">However, correcting the cumulative effect of the errors as out-of-period adjustments would be material for the current year. As such the </w:t>
      </w:r>
      <w:r>
        <w:rPr>
          <w:rFonts w:ascii="Times New Roman" w:eastAsia="Times New Roman" w:hAnsi="Times New Roman" w:cs="Times New Roman"/>
          <w:b w:val="0"/>
          <w:i w:val="0"/>
          <w:sz w:val="20"/>
        </w:rPr>
        <w:t xml:space="preserve">Company has corrected these errors in the </w:t>
      </w:r>
      <w:r>
        <w:rPr>
          <w:rFonts w:ascii="Times New Roman" w:eastAsia="Times New Roman" w:hAnsi="Times New Roman" w:cs="Times New Roman"/>
          <w:b w:val="0"/>
          <w:i w:val="0"/>
          <w:sz w:val="20"/>
        </w:rPr>
        <w:t xml:space="preserve">Condensed </w:t>
      </w:r>
      <w:r>
        <w:rPr>
          <w:rFonts w:ascii="Times New Roman" w:eastAsia="Times New Roman" w:hAnsi="Times New Roman" w:cs="Times New Roman"/>
          <w:b w:val="0"/>
          <w:i w:val="0"/>
          <w:sz w:val="20"/>
        </w:rPr>
        <w:t>Consolidated Fin</w:t>
      </w:r>
      <w:r>
        <w:rPr>
          <w:rFonts w:ascii="Times New Roman" w:eastAsia="Times New Roman" w:hAnsi="Times New Roman" w:cs="Times New Roman"/>
          <w:b w:val="0"/>
          <w:i w:val="0"/>
          <w:sz w:val="20"/>
        </w:rPr>
        <w:t>ancial Statements for all prior periods presented herein.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Tax expenses are reflective of the Company’s current estimated federal, state and foreign effective tax rate. The Company determined that the impact of these errors on the prior interim and annual periods' annual effective rate calculation and the related impact on the condensed consolidated statements of operations for such prior interim and annual periods</w:t>
      </w:r>
      <w:r>
        <w:rPr>
          <w:rFonts w:ascii="Times New Roman" w:eastAsia="Times New Roman" w:hAnsi="Times New Roman" w:cs="Times New Roman"/>
          <w:b w:val="0"/>
          <w:i w:val="0"/>
          <w:sz w:val="20"/>
        </w:rPr>
        <w:t xml:space="preserve"> is immaterial. As a result, the income statement impact on these periods will be reflected in the restatement of the consolidated statements of operations for fiscal years 2023 and 2024 within the fiscal year 2025 annual report</w:t>
      </w:r>
      <w:r>
        <w:rPr>
          <w:rFonts w:ascii="Times New Roman" w:eastAsia="Times New Roman" w:hAnsi="Times New Roman" w:cs="Times New Roman"/>
          <w:b w:val="0"/>
          <w:i w:val="0"/>
          <w:sz w:val="20"/>
        </w:rPr>
        <w:t xml:space="preserve"> on </w:t>
      </w:r>
      <w:r>
        <w:rPr>
          <w:rFonts w:ascii="Times New Roman" w:eastAsia="Times New Roman" w:hAnsi="Times New Roman" w:cs="Times New Roman"/>
          <w:b w:val="0"/>
          <w:i w:val="0"/>
          <w:sz w:val="20"/>
        </w:rPr>
        <w:t>F</w:t>
      </w:r>
      <w:r>
        <w:rPr>
          <w:rFonts w:ascii="Times New Roman" w:eastAsia="Times New Roman" w:hAnsi="Times New Roman" w:cs="Times New Roman"/>
          <w:b w:val="0"/>
          <w:i w:val="0"/>
          <w:sz w:val="20"/>
        </w:rPr>
        <w:t>orm 10K</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following table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provide</w:t>
      </w:r>
      <w:r>
        <w:rPr>
          <w:rFonts w:ascii="Times New Roman" w:eastAsia="Times New Roman" w:hAnsi="Times New Roman" w:cs="Times New Roman"/>
          <w:b w:val="0"/>
          <w:i w:val="0"/>
          <w:sz w:val="20"/>
        </w:rPr>
        <w:t xml:space="preserve"> a reconciliation of the revision</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for the previously reported condensed consolidated balance sheet as of the year ended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sz w:val="20"/>
        </w:rPr>
        <w:t xml:space="preserve">, the condensed consolidated statements of stockholder's equity for the </w:t>
      </w:r>
      <w:r>
        <w:rPr>
          <w:rFonts w:ascii="Times New Roman" w:eastAsia="Times New Roman" w:hAnsi="Times New Roman" w:cs="Times New Roman"/>
          <w:b w:val="0"/>
          <w:i w:val="0"/>
          <w:color w:val="000000"/>
          <w:sz w:val="20"/>
          <w:u w:val="none"/>
        </w:rPr>
        <w:t>three and nine months ended June 28, 2024</w:t>
      </w:r>
      <w:r>
        <w:rPr>
          <w:rFonts w:ascii="Times New Roman" w:eastAsia="Times New Roman" w:hAnsi="Times New Roman" w:cs="Times New Roman"/>
          <w:b w:val="0"/>
          <w:i w:val="0"/>
          <w:sz w:val="20"/>
        </w:rPr>
        <w:t xml:space="preserve">, and the condensed consolidated statements of stockholder's equity for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sz w:val="20"/>
        </w:rPr>
        <w:t>se</w:t>
      </w:r>
      <w:r>
        <w:rPr>
          <w:rFonts w:ascii="Times New Roman" w:eastAsia="Times New Roman" w:hAnsi="Times New Roman" w:cs="Times New Roman"/>
          <w:b w:val="0"/>
          <w:i/>
          <w:sz w:val="20"/>
        </w:rPr>
        <w:t>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Condensed Consolidated Statement</w:t>
      </w:r>
      <w:r>
        <w:rPr>
          <w:rFonts w:ascii="Times New Roman" w:eastAsia="Times New Roman" w:hAnsi="Times New Roman" w:cs="Times New Roman"/>
          <w:b w:val="0"/>
          <w:i w:val="0"/>
          <w:color w:val="000000"/>
          <w:sz w:val="20"/>
          <w:u w:val="none"/>
        </w:rPr>
        <w:t>s of Stockholder</w:t>
      </w:r>
      <w:r>
        <w:rPr>
          <w:rFonts w:ascii="Times New Roman" w:eastAsia="Times New Roman" w:hAnsi="Times New Roman" w:cs="Times New Roman"/>
          <w:b w:val="0"/>
          <w:i w:val="0"/>
          <w:color w:val="000000"/>
          <w:sz w:val="20"/>
          <w:u w:val="none"/>
        </w:rPr>
        <w:t>s' Equity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color w:val="000000"/>
          <w:sz w:val="20"/>
          <w:u w:val="none"/>
        </w:rPr>
        <w:t>Condensed Consolidated Balance Sheet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above.</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color w:val="000000"/>
          <w:sz w:val="20"/>
          <w:u w:val="none"/>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color w:val="000000"/>
          <w:sz w:val="20"/>
          <w:u w:val="none"/>
        </w:rPr>
        <w:t>CONDENSED CONSOLIDATED BALANCE SHEET (Unaudited)</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195"/>
        <w:gridCol w:w="1485"/>
        <w:gridCol w:w="75"/>
        <w:gridCol w:w="1485"/>
        <w:gridCol w:w="75"/>
        <w:gridCol w:w="1485"/>
      </w:tblGrid>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4605" w:type="dxa"/>
            <w:gridSpan w:val="5"/>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465"/>
        </w:trPr>
        <w:tc>
          <w:tcPr>
            <w:tcW w:w="619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4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As Previously Reported</w:t>
            </w:r>
          </w:p>
        </w:tc>
        <w:tc>
          <w:tcPr>
            <w:tcW w:w="75" w:type="dxa"/>
            <w:tcBorders>
              <w:top w:val="single" w:sz="8" w:space="0" w:color="000000"/>
              <w:left w:val="nil"/>
              <w:bottom w:val="nil"/>
              <w:right w:val="nil"/>
            </w:tcBorders>
            <w:tcMar>
              <w:top w:w="0" w:type="dxa"/>
              <w:left w:w="0" w:type="dxa"/>
              <w:bottom w:w="0" w:type="dxa"/>
              <w:right w:w="53" w:type="dxa"/>
            </w:tcMar>
            <w:vAlign w:val="bottom"/>
          </w:tcPr>
          <w:p>
            <w:pPr>
              <w:keepNext/>
              <w:pageBreakBefore w:val="0"/>
              <w:spacing w:before="55" w:after="30" w:line="240" w:lineRule="auto"/>
              <w:jc w:val="right"/>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Revision</w:t>
            </w:r>
          </w:p>
        </w:tc>
        <w:tc>
          <w:tcPr>
            <w:tcW w:w="75" w:type="dxa"/>
            <w:tcBorders>
              <w:top w:val="single" w:sz="8" w:space="0" w:color="000000"/>
              <w:left w:val="nil"/>
              <w:bottom w:val="nil"/>
              <w:right w:val="nil"/>
            </w:tcBorders>
            <w:tcMar>
              <w:top w:w="0" w:type="dxa"/>
              <w:left w:w="0" w:type="dxa"/>
              <w:bottom w:w="0" w:type="dxa"/>
              <w:right w:w="53" w:type="dxa"/>
            </w:tcMar>
            <w:vAlign w:val="bottom"/>
          </w:tcPr>
          <w:p>
            <w:pPr>
              <w:keepNext/>
              <w:pageBreakBefore w:val="0"/>
              <w:spacing w:before="55" w:after="30" w:line="240" w:lineRule="auto"/>
              <w:jc w:val="right"/>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As Revised</w:t>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Deferred tax assets</w:t>
            </w: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4.7</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4"/>
              </w:tabs>
              <w:spacing w:before="55" w:after="30" w:line="240" w:lineRule="auto"/>
              <w:jc w:val="right"/>
            </w:pPr>
            <w:r>
              <w:rPr>
                <w:rFonts w:ascii="Times New Roman" w:eastAsia="Times New Roman" w:hAnsi="Times New Roman" w:cs="Times New Roman"/>
                <w:b w:val="0"/>
                <w:i w:val="0"/>
                <w:color w:val="000000"/>
                <w:sz w:val="18"/>
                <w:u w:val="none"/>
              </w:rPr>
              <w:t>$</w:t>
              <w:tab/>
              <w:t>(3.4)</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1.3</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Total assets</w:t>
            </w: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9"/>
                <w:tab w:val="left" w:pos="1417"/>
              </w:tabs>
              <w:spacing w:before="75" w:after="30" w:line="240" w:lineRule="auto"/>
              <w:jc w:val="right"/>
            </w:pPr>
            <w:r>
              <w:rPr>
                <w:rFonts w:ascii="Times New Roman" w:eastAsia="Times New Roman" w:hAnsi="Times New Roman" w:cs="Times New Roman"/>
                <w:b w:val="0"/>
                <w:i w:val="0"/>
                <w:color w:val="000000"/>
                <w:sz w:val="18"/>
                <w:u w:val="none"/>
              </w:rPr>
              <w:tab/>
              <w:t>1,217.0</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54"/>
              </w:tabs>
              <w:spacing w:before="75" w:after="30" w:line="240" w:lineRule="auto"/>
              <w:jc w:val="right"/>
            </w:pPr>
            <w:r>
              <w:rPr>
                <w:rFonts w:ascii="Times New Roman" w:eastAsia="Times New Roman" w:hAnsi="Times New Roman" w:cs="Times New Roman"/>
                <w:b w:val="0"/>
                <w:i w:val="0"/>
                <w:color w:val="000000"/>
                <w:sz w:val="18"/>
                <w:u w:val="none"/>
              </w:rPr>
              <w:tab/>
              <w:t>(3.4)</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9"/>
                <w:tab w:val="left" w:pos="1417"/>
              </w:tabs>
              <w:spacing w:before="75" w:after="30" w:line="240" w:lineRule="auto"/>
              <w:jc w:val="right"/>
            </w:pPr>
            <w:r>
              <w:rPr>
                <w:rFonts w:ascii="Times New Roman" w:eastAsia="Times New Roman" w:hAnsi="Times New Roman" w:cs="Times New Roman"/>
                <w:b w:val="0"/>
                <w:i w:val="0"/>
                <w:color w:val="000000"/>
                <w:sz w:val="18"/>
                <w:u w:val="none"/>
              </w:rPr>
              <w:tab/>
              <w:t>1,213.6</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Deferred tax liabilities</w:t>
            </w: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1.4</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2.6</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Total liabilities</w:t>
            </w: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667.8</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2.6</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670.4</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Retained earnings</w:t>
            </w: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44"/>
                <w:tab w:val="left" w:pos="1417"/>
              </w:tabs>
              <w:spacing w:before="75" w:after="30" w:line="240" w:lineRule="auto"/>
              <w:jc w:val="right"/>
            </w:pPr>
            <w:r>
              <w:rPr>
                <w:rFonts w:ascii="Times New Roman" w:eastAsia="Times New Roman" w:hAnsi="Times New Roman" w:cs="Times New Roman"/>
                <w:b w:val="0"/>
                <w:i w:val="0"/>
                <w:color w:val="000000"/>
                <w:sz w:val="18"/>
                <w:u w:val="none"/>
              </w:rPr>
              <w:tab/>
              <w:t>70.4</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4"/>
              </w:tabs>
              <w:spacing w:before="75" w:after="30" w:line="240" w:lineRule="auto"/>
              <w:jc w:val="right"/>
            </w:pPr>
            <w:r>
              <w:rPr>
                <w:rFonts w:ascii="Times New Roman" w:eastAsia="Times New Roman" w:hAnsi="Times New Roman" w:cs="Times New Roman"/>
                <w:b w:val="0"/>
                <w:i w:val="0"/>
                <w:color w:val="000000"/>
                <w:sz w:val="18"/>
                <w:u w:val="none"/>
              </w:rPr>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44"/>
                <w:tab w:val="left" w:pos="1417"/>
              </w:tabs>
              <w:spacing w:before="75" w:after="30" w:line="240" w:lineRule="auto"/>
              <w:jc w:val="right"/>
            </w:pPr>
            <w:r>
              <w:rPr>
                <w:rFonts w:ascii="Times New Roman" w:eastAsia="Times New Roman" w:hAnsi="Times New Roman" w:cs="Times New Roman"/>
                <w:b w:val="0"/>
                <w:i w:val="0"/>
                <w:color w:val="000000"/>
                <w:sz w:val="18"/>
                <w:u w:val="none"/>
              </w:rPr>
              <w:tab/>
              <w:t>64.4</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Total Varex stockholders' equity</w:t>
            </w: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535.1</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54"/>
              </w:tabs>
              <w:spacing w:before="75" w:after="30" w:line="240" w:lineRule="auto"/>
              <w:jc w:val="right"/>
            </w:pPr>
            <w:r>
              <w:rPr>
                <w:rFonts w:ascii="Times New Roman" w:eastAsia="Times New Roman" w:hAnsi="Times New Roman" w:cs="Times New Roman"/>
                <w:b w:val="0"/>
                <w:i w:val="0"/>
                <w:color w:val="000000"/>
                <w:sz w:val="18"/>
                <w:u w:val="none"/>
              </w:rPr>
              <w:tab/>
              <w:t>(6.0)</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529.1</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Total stockholders' equity</w:t>
            </w: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549.2</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4"/>
              </w:tabs>
              <w:spacing w:before="75" w:after="30" w:line="240" w:lineRule="auto"/>
              <w:jc w:val="right"/>
            </w:pPr>
            <w:r>
              <w:rPr>
                <w:rFonts w:ascii="Times New Roman" w:eastAsia="Times New Roman" w:hAnsi="Times New Roman" w:cs="Times New Roman"/>
                <w:b w:val="0"/>
                <w:i w:val="0"/>
                <w:color w:val="000000"/>
                <w:sz w:val="18"/>
                <w:u w:val="none"/>
              </w:rPr>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543.2</w:t>
              <w:tab/>
            </w:r>
          </w:p>
        </w:tc>
      </w:tr>
      <w:tr>
        <w:tblPrEx>
          <w:tblW w:w="10800" w:type="dxa"/>
          <w:tblInd w:w="0" w:type="dxa"/>
          <w:tblLayout w:type="fixed"/>
        </w:tblPrEx>
        <w:trPr>
          <w:cantSplit/>
          <w:trHeight w:hRule="exact" w:val="300"/>
        </w:trPr>
        <w:tc>
          <w:tcPr>
            <w:tcW w:w="61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i w:val="0"/>
                <w:color w:val="000000"/>
                <w:sz w:val="18"/>
                <w:u w:val="none"/>
              </w:rPr>
              <w:t>Total liabilities and stockholders' equity</w:t>
            </w: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19"/>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1,217.0</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54"/>
              </w:tabs>
              <w:spacing w:before="75" w:after="30" w:line="240" w:lineRule="auto"/>
              <w:jc w:val="right"/>
            </w:pPr>
            <w:r>
              <w:rPr>
                <w:rFonts w:ascii="Times New Roman" w:eastAsia="Times New Roman" w:hAnsi="Times New Roman" w:cs="Times New Roman"/>
                <w:b w:val="0"/>
                <w:i w:val="0"/>
                <w:color w:val="000000"/>
                <w:sz w:val="18"/>
                <w:u w:val="none"/>
              </w:rPr>
              <w:t>$</w:t>
              <w:tab/>
              <w:t>(3.4)</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19"/>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1,213.6</w:t>
              <w:tab/>
            </w:r>
          </w:p>
        </w:tc>
      </w:tr>
    </w:tbl>
    <w:p>
      <w:pPr>
        <w:keepNext/>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i w:val="0"/>
          <w:color w:val="000000"/>
          <w:sz w:val="20"/>
          <w:u w:val="none"/>
        </w:rPr>
      </w:pPr>
    </w:p>
    <w:p>
      <w:pPr>
        <w:keepNext/>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i w:val="0"/>
          <w:color w:val="000000"/>
          <w:sz w:val="20"/>
          <w:u w:val="none"/>
        </w:rPr>
        <w:t>CONDENSED CONSOLIDATED STATEMENTS OF STOCKHOLDERS' EQUITY (Unaudited)</w:t>
      </w:r>
    </w:p>
    <w:tbl>
      <w:tblPr>
        <w:tblW w:w="112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455"/>
        <w:gridCol w:w="1005"/>
        <w:gridCol w:w="75"/>
        <w:gridCol w:w="1005"/>
        <w:gridCol w:w="75"/>
        <w:gridCol w:w="1065"/>
        <w:gridCol w:w="75"/>
        <w:gridCol w:w="1005"/>
        <w:gridCol w:w="60"/>
        <w:gridCol w:w="1005"/>
        <w:gridCol w:w="75"/>
        <w:gridCol w:w="1065"/>
        <w:gridCol w:w="75"/>
        <w:gridCol w:w="1005"/>
        <w:gridCol w:w="75"/>
        <w:gridCol w:w="1005"/>
        <w:gridCol w:w="75"/>
        <w:gridCol w:w="1065"/>
      </w:tblGrid>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9810" w:type="dxa"/>
            <w:gridSpan w:val="17"/>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28, 2024</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Previously Reported</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10"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Revision</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Revised</w:t>
            </w:r>
          </w:p>
        </w:tc>
      </w:tr>
      <w:tr>
        <w:tblPrEx>
          <w:tblW w:w="11265" w:type="dxa"/>
          <w:tblInd w:w="0" w:type="dxa"/>
          <w:tblLayout w:type="fixed"/>
        </w:tblPrEx>
        <w:trPr>
          <w:cantSplit/>
          <w:trHeight w:hRule="exact" w:val="585"/>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(In millions)</w:t>
            </w: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60" w:type="dxa"/>
            <w:tcBorders>
              <w:top w:val="single" w:sz="8" w:space="0" w:color="000000"/>
              <w:left w:val="nil"/>
              <w:bottom w:val="nil"/>
              <w:right w:val="nil"/>
            </w:tcBorders>
            <w:shd w:val="clear" w:color="auto" w:fill="FFFFFF"/>
            <w:tcMar>
              <w:top w:w="0" w:type="dxa"/>
              <w:left w:w="30" w:type="dxa"/>
              <w:bottom w:w="0" w:type="dxa"/>
              <w:right w:w="30"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March 29, 2024</w:t>
            </w: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119.0</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576.1</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590.2</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114.1</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571.2</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585.3</w:t>
              <w:tab/>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June 28, 2024</w:t>
            </w: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120.4</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581.2</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595.3</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115.5</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576.3</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590.4</w:t>
              <w:tab/>
            </w:r>
          </w:p>
        </w:tc>
      </w:tr>
      <w:tr>
        <w:tblPrEx>
          <w:tblW w:w="11265" w:type="dxa"/>
          <w:tblInd w:w="0" w:type="dxa"/>
          <w:tblLayout w:type="fixed"/>
        </w:tblPrEx>
        <w:trPr>
          <w:cantSplit/>
          <w:trHeight w:hRule="exact" w:val="300"/>
        </w:trPr>
        <w:tc>
          <w:tcPr>
            <w:tcW w:w="14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60" w:type="dxa"/>
            <w:tcBorders>
              <w:top w:val="nil"/>
              <w:left w:val="nil"/>
              <w:bottom w:val="nil"/>
              <w:right w:val="nil"/>
            </w:tcBorders>
            <w:tcMar>
              <w:top w:w="0" w:type="dxa"/>
              <w:left w:w="30" w:type="dxa"/>
              <w:bottom w:w="0" w:type="dxa"/>
              <w:right w:w="30"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9810" w:type="dxa"/>
            <w:gridSpan w:val="17"/>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Nine Months Ended June 28, 2024</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Previously Reported</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10"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Revision</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Revised</w:t>
            </w:r>
          </w:p>
        </w:tc>
      </w:tr>
      <w:tr>
        <w:tblPrEx>
          <w:tblW w:w="11265" w:type="dxa"/>
          <w:tblInd w:w="0" w:type="dxa"/>
          <w:tblLayout w:type="fixed"/>
        </w:tblPrEx>
        <w:trPr>
          <w:cantSplit/>
          <w:trHeight w:hRule="exact" w:val="585"/>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(In millions)</w:t>
            </w: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60" w:type="dxa"/>
            <w:tcBorders>
              <w:top w:val="single" w:sz="8" w:space="0" w:color="000000"/>
              <w:left w:val="nil"/>
              <w:bottom w:val="nil"/>
              <w:right w:val="nil"/>
            </w:tcBorders>
            <w:shd w:val="clear" w:color="auto" w:fill="FFFFFF"/>
            <w:tcMar>
              <w:top w:w="0" w:type="dxa"/>
              <w:left w:w="30" w:type="dxa"/>
              <w:bottom w:w="0" w:type="dxa"/>
              <w:right w:w="30"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September 29, 2023</w:t>
            </w: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118.1</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567.7</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581.0</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113.2</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562.8</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576.1</w:t>
              <w:tab/>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June 28, 2024</w:t>
            </w: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120.4</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581.2</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595.3</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(4.9)</w:t>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115.5</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576.3</w:t>
              <w:tab/>
            </w:r>
          </w:p>
        </w:tc>
        <w:tc>
          <w:tcPr>
            <w:tcW w:w="7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590.4</w:t>
              <w:tab/>
            </w:r>
          </w:p>
        </w:tc>
      </w:tr>
    </w:tbl>
    <w:p>
      <w:pPr>
        <w:keepNext/>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0"/>
          <w:u w:val="none"/>
        </w:rPr>
      </w:pPr>
    </w:p>
    <w:tbl>
      <w:tblPr>
        <w:tblW w:w="1126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455"/>
        <w:gridCol w:w="1005"/>
        <w:gridCol w:w="75"/>
        <w:gridCol w:w="1005"/>
        <w:gridCol w:w="75"/>
        <w:gridCol w:w="1065"/>
        <w:gridCol w:w="75"/>
        <w:gridCol w:w="1005"/>
        <w:gridCol w:w="60"/>
        <w:gridCol w:w="1005"/>
        <w:gridCol w:w="75"/>
        <w:gridCol w:w="1065"/>
        <w:gridCol w:w="75"/>
        <w:gridCol w:w="1005"/>
        <w:gridCol w:w="75"/>
        <w:gridCol w:w="1005"/>
        <w:gridCol w:w="75"/>
        <w:gridCol w:w="1065"/>
      </w:tblGrid>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9810" w:type="dxa"/>
            <w:gridSpan w:val="17"/>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July 4, 2025</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Previously Reported</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10"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Revision</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Revised</w:t>
            </w:r>
          </w:p>
        </w:tc>
      </w:tr>
      <w:tr>
        <w:tblPrEx>
          <w:tblW w:w="11265" w:type="dxa"/>
          <w:tblInd w:w="0" w:type="dxa"/>
          <w:tblLayout w:type="fixed"/>
        </w:tblPrEx>
        <w:trPr>
          <w:cantSplit/>
          <w:trHeight w:hRule="exact" w:val="585"/>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(In millions)</w:t>
            </w: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60" w:type="dxa"/>
            <w:tcBorders>
              <w:top w:val="single" w:sz="8" w:space="0" w:color="000000"/>
              <w:left w:val="nil"/>
              <w:bottom w:val="nil"/>
              <w:right w:val="nil"/>
            </w:tcBorders>
            <w:shd w:val="clear" w:color="auto" w:fill="FFFFFF"/>
            <w:tcMar>
              <w:top w:w="0" w:type="dxa"/>
              <w:left w:w="30" w:type="dxa"/>
              <w:bottom w:w="0" w:type="dxa"/>
              <w:right w:w="30"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April 4, 2025</w:t>
            </w: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0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77.0</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549.7</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563.9</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0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71.0</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543.7</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557.9</w:t>
              <w:tab/>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60" w:type="dxa"/>
            <w:tcBorders>
              <w:top w:val="nil"/>
              <w:left w:val="nil"/>
              <w:bottom w:val="nil"/>
              <w:right w:val="nil"/>
            </w:tcBorders>
            <w:shd w:val="clear" w:color="auto" w:fill="FFFFFF"/>
            <w:tcMar>
              <w:top w:w="0" w:type="dxa"/>
              <w:left w:w="30" w:type="dxa"/>
              <w:bottom w:w="0" w:type="dxa"/>
              <w:right w:w="30"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left"/>
            </w:pPr>
          </w:p>
        </w:tc>
        <w:tc>
          <w:tcPr>
            <w:tcW w:w="106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r>
      <w:tr>
        <w:tblPrEx>
          <w:tblW w:w="11265" w:type="dxa"/>
          <w:tblInd w:w="0" w:type="dxa"/>
          <w:tblLayout w:type="fixed"/>
        </w:tblPrEx>
        <w:trPr>
          <w:cantSplit/>
          <w:trHeight w:hRule="exact" w:val="300"/>
        </w:trPr>
        <w:tc>
          <w:tcPr>
            <w:tcW w:w="14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9810" w:type="dxa"/>
            <w:gridSpan w:val="17"/>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Nine Months Ended July 4, 2025</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Previously Reported</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10"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Revision</w:t>
            </w:r>
          </w:p>
        </w:tc>
        <w:tc>
          <w:tcPr>
            <w:tcW w:w="75" w:type="dxa"/>
            <w:tcBorders>
              <w:top w:val="single" w:sz="8" w:space="0" w:color="000000"/>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center"/>
            </w:pPr>
          </w:p>
        </w:tc>
        <w:tc>
          <w:tcPr>
            <w:tcW w:w="3225" w:type="dxa"/>
            <w:gridSpan w:val="5"/>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As Revised</w:t>
            </w:r>
          </w:p>
        </w:tc>
      </w:tr>
      <w:tr>
        <w:tblPrEx>
          <w:tblW w:w="11265" w:type="dxa"/>
          <w:tblInd w:w="0" w:type="dxa"/>
          <w:tblLayout w:type="fixed"/>
        </w:tblPrEx>
        <w:trPr>
          <w:cantSplit/>
          <w:trHeight w:hRule="exact" w:val="585"/>
        </w:trPr>
        <w:tc>
          <w:tcPr>
            <w:tcW w:w="14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(In millions)</w:t>
            </w: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60" w:type="dxa"/>
            <w:tcBorders>
              <w:top w:val="single" w:sz="8" w:space="0" w:color="000000"/>
              <w:left w:val="nil"/>
              <w:bottom w:val="nil"/>
              <w:right w:val="nil"/>
            </w:tcBorders>
            <w:shd w:val="clear" w:color="auto" w:fill="FFFFFF"/>
            <w:tcMar>
              <w:top w:w="0" w:type="dxa"/>
              <w:left w:w="30" w:type="dxa"/>
              <w:bottom w:w="0" w:type="dxa"/>
              <w:right w:w="30"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Retained Earnings</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Varex Equity</w:t>
            </w:r>
          </w:p>
        </w:tc>
        <w:tc>
          <w:tcPr>
            <w:tcW w:w="75" w:type="dxa"/>
            <w:tcBorders>
              <w:top w:val="single" w:sz="8" w:space="0" w:color="000000"/>
              <w:left w:val="nil"/>
              <w:bottom w:val="nil"/>
              <w:right w:val="nil"/>
            </w:tcBorders>
            <w:shd w:val="clear" w:color="auto" w:fill="FFFFFF"/>
            <w:tcMar>
              <w:top w:w="0" w:type="dxa"/>
              <w:left w:w="38" w:type="dxa"/>
              <w:bottom w:w="0" w:type="dxa"/>
              <w:right w:w="38" w:type="dxa"/>
            </w:tcMar>
            <w:vAlign w:val="bottom"/>
          </w:tcPr>
          <w:p>
            <w:pPr>
              <w:keepNext/>
              <w:pageBreakBefore w:val="0"/>
              <w:spacing w:before="55" w:after="30" w:line="240" w:lineRule="auto"/>
              <w:jc w:val="center"/>
            </w:pPr>
          </w:p>
        </w:tc>
        <w:tc>
          <w:tcPr>
            <w:tcW w:w="106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Total Stockholders' Equity</w:t>
            </w:r>
          </w:p>
        </w:tc>
      </w:tr>
      <w:tr>
        <w:tblPrEx>
          <w:tblW w:w="11265" w:type="dxa"/>
          <w:tblInd w:w="0" w:type="dxa"/>
          <w:tblLayout w:type="fixed"/>
        </w:tblPrEx>
        <w:trPr>
          <w:cantSplit/>
          <w:trHeight w:hRule="exact" w:val="300"/>
        </w:trPr>
        <w:tc>
          <w:tcPr>
            <w:tcW w:w="14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September 27, 2024</w:t>
            </w: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0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70.4</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535.1</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549.2</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72"/>
              </w:tabs>
              <w:spacing w:before="55" w:after="30" w:line="240" w:lineRule="auto"/>
              <w:jc w:val="right"/>
            </w:pPr>
            <w:r>
              <w:rPr>
                <w:rFonts w:ascii="Times New Roman" w:eastAsia="Times New Roman" w:hAnsi="Times New Roman" w:cs="Times New Roman"/>
                <w:b w:val="0"/>
                <w:i w:val="0"/>
                <w:color w:val="000000"/>
                <w:sz w:val="16"/>
                <w:u w:val="none"/>
              </w:rPr>
              <w:t>$</w:t>
              <w:tab/>
              <w:t>(6.0)</w:t>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0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64.4</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26"/>
                <w:tab w:val="left" w:pos="937"/>
              </w:tabs>
              <w:spacing w:before="55" w:after="30" w:line="240" w:lineRule="auto"/>
              <w:jc w:val="right"/>
            </w:pPr>
            <w:r>
              <w:rPr>
                <w:rFonts w:ascii="Times New Roman" w:eastAsia="Times New Roman" w:hAnsi="Times New Roman" w:cs="Times New Roman"/>
                <w:b w:val="0"/>
                <w:i w:val="0"/>
                <w:color w:val="000000"/>
                <w:sz w:val="16"/>
                <w:u w:val="none"/>
              </w:rPr>
              <w:t>$</w:t>
              <w:tab/>
              <w:t>529.1</w:t>
              <w:tab/>
            </w:r>
          </w:p>
        </w:tc>
        <w:tc>
          <w:tcPr>
            <w:tcW w:w="7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06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86"/>
                <w:tab w:val="left" w:pos="997"/>
              </w:tabs>
              <w:spacing w:before="55" w:after="30" w:line="240" w:lineRule="auto"/>
              <w:jc w:val="right"/>
            </w:pPr>
            <w:r>
              <w:rPr>
                <w:rFonts w:ascii="Times New Roman" w:eastAsia="Times New Roman" w:hAnsi="Times New Roman" w:cs="Times New Roman"/>
                <w:b w:val="0"/>
                <w:i w:val="0"/>
                <w:color w:val="000000"/>
                <w:sz w:val="16"/>
                <w:u w:val="none"/>
              </w:rPr>
              <w:t>$</w:t>
              <w:tab/>
              <w:t>543.2</w:t>
              <w:tab/>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These revisions had no impact on gross profit, operating expenses, or operating income in any of the fiscal periods.</w:t>
      </w:r>
      <w:r>
        <w:rPr>
          <w:rFonts w:ascii="Times New Roman" w:eastAsia="Times New Roman" w:hAnsi="Times New Roman" w:cs="Times New Roman"/>
          <w:b w:val="0"/>
          <w:i w:val="0"/>
          <w:sz w:val="20"/>
        </w:rPr>
        <w:tab/>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sectPr>
          <w:headerReference w:type="default" r:id="rId19"/>
          <w:type w:val="continuous"/>
          <w:pgSz w:w="12240" w:h="15840"/>
          <w:pgMar w:top="1080" w:right="720" w:bottom="1080" w:left="720" w:header="270" w:footer="270"/>
          <w:cols w:space="708"/>
        </w:sectPr>
      </w:pPr>
    </w:p>
    <w:p>
      <w:pPr>
        <w:keepNext/>
        <w:keepLines/>
        <w:pageBreakBefore w:val="0"/>
        <w:widowControl w:val="0"/>
        <w:numPr>
          <w:ilvl w:val="0"/>
          <w:numId w:val="0"/>
        </w:numPr>
        <w:spacing w:before="120" w:after="0" w:line="288" w:lineRule="auto"/>
        <w:ind w:left="0" w:right="0" w:firstLine="0"/>
        <w:jc w:val="left"/>
        <w:outlineLvl w:val="4"/>
        <w:rPr>
          <w:rFonts w:ascii="Times New Roman" w:eastAsia="Times New Roman" w:hAnsi="Times New Roman" w:cs="Times New Roman"/>
          <w:b/>
          <w:i/>
          <w:sz w:val="20"/>
        </w:rPr>
      </w:pPr>
      <w:bookmarkStart w:id="14" w:name="Section15"/>
      <w:bookmarkEnd w:id="14"/>
      <w:r>
        <w:rPr>
          <w:rFonts w:ascii="Times New Roman" w:eastAsia="Times New Roman" w:hAnsi="Times New Roman" w:cs="Times New Roman"/>
          <w:b/>
          <w:i/>
          <w:color w:val="000000"/>
          <w:sz w:val="20"/>
          <w:u w:val="none"/>
        </w:rPr>
        <w:t>Segment Reporting</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has </w:t>
      </w:r>
      <w:r>
        <w:rPr>
          <w:rFonts w:ascii="Times New Roman" w:eastAsia="Times New Roman" w:hAnsi="Times New Roman" w:cs="Times New Roman"/>
          <w:b w:val="0"/>
          <w:i w:val="0"/>
          <w:color w:val="000000"/>
          <w:sz w:val="20"/>
          <w:u w:val="none"/>
        </w:rPr>
        <w:t>two</w:t>
      </w:r>
      <w:r>
        <w:rPr>
          <w:rFonts w:ascii="Times New Roman" w:eastAsia="Times New Roman" w:hAnsi="Times New Roman" w:cs="Times New Roman"/>
          <w:b w:val="0"/>
          <w:i w:val="0"/>
          <w:color w:val="000000"/>
          <w:sz w:val="20"/>
          <w:u w:val="none"/>
        </w:rPr>
        <w:t xml:space="preserve"> reportable operating segments; (i) Medical and (ii) Industrial, which aligns with how its Chief Executive Officer, who is the Company's Chief Operating Decision Maker (“CODM”), reviews the Company’s performance.</w:t>
      </w:r>
      <w:r>
        <w:rPr>
          <w:rFonts w:ascii="Times New Roman" w:eastAsia="Times New Roman" w:hAnsi="Times New Roman" w:cs="Times New Roman"/>
          <w:b w:val="0"/>
          <w:i w:val="0"/>
          <w:color w:val="000000"/>
          <w:sz w:val="20"/>
          <w:u w:val="none"/>
        </w:rPr>
        <w:t xml:space="preserve"> See Note </w:t>
      </w:r>
      <w:r>
        <w:rPr>
          <w:rFonts w:ascii="Times New Roman" w:eastAsia="Times New Roman" w:hAnsi="Times New Roman" w:cs="Times New Roman"/>
          <w:b w:val="0"/>
          <w:i w:val="0"/>
          <w:color w:val="000000"/>
          <w:sz w:val="20"/>
          <w:u w:val="none"/>
        </w:rPr>
        <w:t>15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Segment Information</w:t>
      </w:r>
      <w:r>
        <w:rPr>
          <w:rFonts w:ascii="Times New Roman" w:eastAsia="Times New Roman" w:hAnsi="Times New Roman" w:cs="Times New Roman"/>
          <w:b w:val="0"/>
          <w:i w:val="0"/>
          <w:color w:val="000000"/>
          <w:sz w:val="20"/>
          <w:u w:val="none"/>
        </w:rPr>
        <w:t>, for further information on the Company’s segments.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Fiscal Year</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fiscal years of the Company as reported are the 52 or 53-week periods ending on the Friday nearest September 30. </w:t>
      </w:r>
      <w:r>
        <w:rPr>
          <w:rFonts w:ascii="Times New Roman" w:eastAsia="Times New Roman" w:hAnsi="Times New Roman" w:cs="Times New Roman"/>
          <w:b w:val="0"/>
          <w:i w:val="0"/>
          <w:color w:val="000000"/>
          <w:sz w:val="20"/>
          <w:u w:val="none"/>
        </w:rPr>
        <w:t xml:space="preserve">Fiscal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color w:val="000000"/>
          <w:sz w:val="20"/>
          <w:u w:val="none"/>
        </w:rPr>
        <w:t xml:space="preserve"> is the 53-week period ending </w:t>
      </w:r>
      <w:r>
        <w:rPr>
          <w:rFonts w:ascii="Times New Roman" w:eastAsia="Times New Roman" w:hAnsi="Times New Roman" w:cs="Times New Roman"/>
          <w:b w:val="0"/>
          <w:i w:val="0"/>
          <w:color w:val="000000"/>
          <w:sz w:val="20"/>
          <w:u w:val="none"/>
        </w:rPr>
        <w:t>October 3, 2025</w:t>
      </w:r>
      <w:r>
        <w:rPr>
          <w:rFonts w:ascii="Times New Roman" w:eastAsia="Times New Roman" w:hAnsi="Times New Roman" w:cs="Times New Roman"/>
          <w:b w:val="0"/>
          <w:i w:val="0"/>
          <w:color w:val="000000"/>
          <w:sz w:val="20"/>
          <w:u w:val="none"/>
        </w:rPr>
        <w:t xml:space="preserve">.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color w:val="000000"/>
          <w:sz w:val="20"/>
          <w:u w:val="none"/>
        </w:rPr>
        <w:t xml:space="preserve"> was the 52-week period that ended on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The fiscal quarters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were both </w:t>
      </w:r>
      <w:r>
        <w:rPr>
          <w:rFonts w:ascii="Times New Roman" w:eastAsia="Times New Roman" w:hAnsi="Times New Roman" w:cs="Times New Roman"/>
          <w:b w:val="0"/>
          <w:i w:val="0"/>
          <w:color w:val="000000"/>
          <w:sz w:val="20"/>
          <w:u w:val="none"/>
        </w:rPr>
        <w:t>13</w:t>
      </w:r>
      <w:r>
        <w:rPr>
          <w:rFonts w:ascii="Times New Roman" w:eastAsia="Times New Roman" w:hAnsi="Times New Roman" w:cs="Times New Roman"/>
          <w:b w:val="0"/>
          <w:i w:val="0"/>
          <w:color w:val="000000"/>
          <w:sz w:val="20"/>
          <w:u w:val="none"/>
        </w:rPr>
        <w:t xml:space="preserve">-week periods. The </w:t>
      </w:r>
      <w:r>
        <w:rPr>
          <w:rFonts w:ascii="Times New Roman" w:eastAsia="Times New Roman" w:hAnsi="Times New Roman" w:cs="Times New Roman"/>
          <w:b w:val="0"/>
          <w:i w:val="0"/>
          <w:color w:val="000000"/>
          <w:sz w:val="20"/>
          <w:u w:val="none"/>
        </w:rPr>
        <w:t>nine-month</w:t>
      </w:r>
      <w:r>
        <w:rPr>
          <w:rFonts w:ascii="Times New Roman" w:eastAsia="Times New Roman" w:hAnsi="Times New Roman" w:cs="Times New Roman"/>
          <w:b w:val="0"/>
          <w:i w:val="0"/>
          <w:color w:val="000000"/>
          <w:sz w:val="20"/>
          <w:u w:val="none"/>
        </w:rPr>
        <w:t xml:space="preserve"> fiscal periods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were a </w:t>
      </w:r>
      <w:r>
        <w:rPr>
          <w:rFonts w:ascii="Times New Roman" w:eastAsia="Times New Roman" w:hAnsi="Times New Roman" w:cs="Times New Roman"/>
          <w:b w:val="0"/>
          <w:i w:val="0"/>
          <w:color w:val="000000"/>
          <w:sz w:val="20"/>
          <w:u w:val="none"/>
        </w:rPr>
        <w:t>40</w:t>
      </w:r>
      <w:r>
        <w:rPr>
          <w:rFonts w:ascii="Times New Roman" w:eastAsia="Times New Roman" w:hAnsi="Times New Roman" w:cs="Times New Roman"/>
          <w:b w:val="0"/>
          <w:i w:val="0"/>
          <w:color w:val="000000"/>
          <w:sz w:val="20"/>
          <w:u w:val="none"/>
        </w:rPr>
        <w:t xml:space="preserve">-week period and a </w:t>
      </w:r>
      <w:r>
        <w:rPr>
          <w:rFonts w:ascii="Times New Roman" w:eastAsia="Times New Roman" w:hAnsi="Times New Roman" w:cs="Times New Roman"/>
          <w:b w:val="0"/>
          <w:i w:val="0"/>
          <w:color w:val="000000"/>
          <w:sz w:val="20"/>
          <w:u w:val="none"/>
        </w:rPr>
        <w:t>39</w:t>
      </w:r>
      <w:r>
        <w:rPr>
          <w:rFonts w:ascii="Times New Roman" w:eastAsia="Times New Roman" w:hAnsi="Times New Roman" w:cs="Times New Roman"/>
          <w:b w:val="0"/>
          <w:i w:val="0"/>
          <w:color w:val="000000"/>
          <w:sz w:val="20"/>
          <w:u w:val="none"/>
        </w:rPr>
        <w:t>-week period, respectively</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Use of Estimates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preparation of financial statements in conformity with GAAP requires management to make estimates and assumptions that affect the reported amounts of assets and liabilities and disclosure of contingent assets and liabilities at the date of the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color w:val="000000"/>
          <w:sz w:val="20"/>
          <w:u w:val="none"/>
        </w:rPr>
        <w:t xml:space="preserve"> and the reported amounts of revenues and expenses during the reporting periods. Such estimates include the valuation of inventories, valuation of goodwill and intangible assets, receivables, warranties, refund liabilities, long-lived asset valuations, impairment of investments, valuation of financial instruments, and taxes on income. Actual results could differ from these estimates.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Cash and Cash Equivalents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considers unrestricted currency on hand, demand deposits, time deposits, and all highly liquid investments with an original maturity of three months or less at the date of purchase to be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Restricted Cash</w:t>
      </w:r>
    </w:p>
    <w:p>
      <w:pPr>
        <w:keepNext w:val="0"/>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Restricted cash primarily consists</w:t>
      </w:r>
      <w:r>
        <w:rPr>
          <w:rFonts w:ascii="Times New Roman" w:eastAsia="Times New Roman" w:hAnsi="Times New Roman" w:cs="Times New Roman"/>
          <w:b w:val="0"/>
          <w:i w:val="0"/>
          <w:color w:val="000000"/>
          <w:sz w:val="20"/>
          <w:u w:val="none"/>
        </w:rPr>
        <w:t xml:space="preserve"> of</w:t>
      </w:r>
      <w:r>
        <w:rPr>
          <w:rFonts w:ascii="Times New Roman" w:eastAsia="Times New Roman" w:hAnsi="Times New Roman" w:cs="Times New Roman"/>
          <w:b w:val="0"/>
          <w:i w:val="0"/>
          <w:color w:val="000000"/>
          <w:sz w:val="20"/>
          <w:u w:val="none"/>
        </w:rPr>
        <w:t xml:space="preserve"> cash collateral for certain lease and inventory arrangements. Restricted cash is included in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on the Company's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restricted cash</w:t>
      </w:r>
      <w:r>
        <w:rPr>
          <w:rFonts w:ascii="Times New Roman" w:eastAsia="Times New Roman" w:hAnsi="Times New Roman" w:cs="Times New Roman"/>
          <w:b w:val="0"/>
          <w:i w:val="0"/>
          <w:color w:val="000000"/>
          <w:sz w:val="20"/>
          <w:u w:val="none"/>
        </w:rPr>
        <w:t xml:space="preserve"> as reported within the </w:t>
      </w:r>
      <w:r>
        <w:rPr>
          <w:rFonts w:ascii="Times New Roman" w:eastAsia="Times New Roman" w:hAnsi="Times New Roman" w:cs="Times New Roman"/>
          <w:b w:val="0"/>
          <w:i w:val="0"/>
          <w:color w:val="000000"/>
          <w:sz w:val="20"/>
          <w:u w:val="none"/>
        </w:rPr>
        <w:t>Condensed Consolidated Statements of Cash Flows</w:t>
      </w:r>
      <w:r>
        <w:rPr>
          <w:rFonts w:ascii="Times New Roman" w:eastAsia="Times New Roman" w:hAnsi="Times New Roman" w:cs="Times New Roman"/>
          <w:b w:val="0"/>
          <w:i w:val="0"/>
          <w:color w:val="000000"/>
          <w:sz w:val="20"/>
          <w:u w:val="none"/>
        </w:rPr>
        <w:t xml:space="preserve"> consisted of the following:</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635"/>
        <w:gridCol w:w="1485"/>
        <w:gridCol w:w="75"/>
        <w:gridCol w:w="1485"/>
        <w:gridCol w:w="75"/>
        <w:gridCol w:w="1485"/>
        <w:gridCol w:w="75"/>
        <w:gridCol w:w="1485"/>
      </w:tblGrid>
      <w:tr>
        <w:tblPrEx>
          <w:tblW w:w="10800" w:type="dxa"/>
          <w:tblInd w:w="0" w:type="dxa"/>
          <w:tblLayout w:type="fixed"/>
        </w:tblPrEx>
        <w:trPr>
          <w:cantSplit/>
          <w:trHeight w:hRule="exact" w:val="300"/>
        </w:trPr>
        <w:tc>
          <w:tcPr>
            <w:tcW w:w="46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nil"/>
              <w:right w:val="nil"/>
            </w:tcBorders>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nil"/>
              <w:right w:val="nil"/>
            </w:tcBorders>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46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465"/>
        </w:trPr>
        <w:tc>
          <w:tcPr>
            <w:tcW w:w="46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485" w:type="dxa"/>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jc w:val="center"/>
            </w:pPr>
            <w:r>
              <w:rPr>
                <w:rFonts w:ascii="Times New Roman" w:eastAsia="Times New Roman" w:hAnsi="Times New Roman" w:cs="Times New Roman"/>
                <w:b/>
                <w:i w:val="0"/>
                <w:color w:val="000000"/>
                <w:sz w:val="18"/>
                <w:u w:val="none"/>
              </w:rPr>
              <w:t>Beginning of 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jc w:val="center"/>
            </w:pPr>
            <w:r>
              <w:rPr>
                <w:rFonts w:ascii="Times New Roman" w:eastAsia="Times New Roman" w:hAnsi="Times New Roman" w:cs="Times New Roman"/>
                <w:b/>
                <w:i w:val="0"/>
                <w:color w:val="000000"/>
                <w:sz w:val="18"/>
                <w:u w:val="none"/>
              </w:rPr>
              <w:t>End of Period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jc w:val="center"/>
            </w:pPr>
            <w:r>
              <w:rPr>
                <w:rFonts w:ascii="Times New Roman" w:eastAsia="Times New Roman" w:hAnsi="Times New Roman" w:cs="Times New Roman"/>
                <w:b/>
                <w:i w:val="0"/>
                <w:color w:val="000000"/>
                <w:sz w:val="18"/>
                <w:u w:val="none"/>
              </w:rPr>
              <w:t>Beginning of Period</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center"/>
          </w:tcPr>
          <w:p>
            <w:pPr>
              <w:keepNext/>
              <w:pageBreakBefore w:val="0"/>
              <w:spacing w:before="0" w:after="0" w:line="240" w:lineRule="auto"/>
              <w:jc w:val="center"/>
            </w:pPr>
            <w:r>
              <w:rPr>
                <w:rFonts w:ascii="Times New Roman" w:eastAsia="Times New Roman" w:hAnsi="Times New Roman" w:cs="Times New Roman"/>
                <w:b/>
                <w:i w:val="0"/>
                <w:color w:val="000000"/>
                <w:sz w:val="18"/>
                <w:u w:val="none"/>
              </w:rPr>
              <w:t>End of Period</w:t>
            </w:r>
          </w:p>
        </w:tc>
      </w:tr>
      <w:tr>
        <w:tblPrEx>
          <w:tblW w:w="10800" w:type="dxa"/>
          <w:tblInd w:w="0" w:type="dxa"/>
          <w:tblLayout w:type="fixed"/>
        </w:tblPrEx>
        <w:trPr>
          <w:cantSplit/>
          <w:trHeight w:hRule="exact" w:val="300"/>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Cash and cash equivalents</w:t>
            </w: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168.7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136.4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152.6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156.4</w:t>
              <w:tab/>
            </w:r>
          </w:p>
        </w:tc>
      </w:tr>
      <w:tr>
        <w:tblPrEx>
          <w:tblW w:w="10800" w:type="dxa"/>
          <w:tblInd w:w="0" w:type="dxa"/>
          <w:tblLayout w:type="fixed"/>
        </w:tblPrEx>
        <w:trPr>
          <w:cantSplit/>
          <w:trHeight w:hRule="exact" w:val="300"/>
        </w:trPr>
        <w:tc>
          <w:tcPr>
            <w:tcW w:w="46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Restricted cash</w:t>
            </w: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1.7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2.1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1.4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1.4</w:t>
              <w:tab/>
            </w:r>
          </w:p>
        </w:tc>
      </w:tr>
      <w:tr>
        <w:tblPrEx>
          <w:tblW w:w="10800" w:type="dxa"/>
          <w:tblInd w:w="0" w:type="dxa"/>
          <w:tblLayout w:type="fixed"/>
        </w:tblPrEx>
        <w:trPr>
          <w:cantSplit/>
          <w:trHeight w:hRule="exact" w:val="465"/>
        </w:trPr>
        <w:tc>
          <w:tcPr>
            <w:tcW w:w="46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8"/>
                <w:u w:val="none"/>
              </w:rPr>
              <w:t>Total as presented in the Condensed Consolidated Statements of Cash Flows</w:t>
            </w: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170.4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138.5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154.0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157.8</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Concentration of Risk</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Financial instruments that potentially expose the Company to concentrations of credit risk consist principally of cash, cash equivalents, marketable securities, certificates of deposit, and trade accounts receivable. Cash held with financial institutions may exceed the Federal Deposit Insurance Corporation insurance limits or similar limits in foreign jurisdictions. To date, the Company has not realized any losses on its deposits of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Credit is extended to customers based on an evaluation of the customer’s financial condition, and collateral is not required. In certain circumstances, a customer may be required to prepay all or a portion of the contract price prior to transfer of control. </w:t>
      </w:r>
      <w:r>
        <w:rPr>
          <w:rFonts w:ascii="Times New Roman" w:eastAsia="Times New Roman" w:hAnsi="Times New Roman" w:cs="Times New Roman"/>
          <w:b w:val="0"/>
          <w:i w:val="0"/>
          <w:color w:val="000000"/>
          <w:sz w:val="20"/>
          <w:u w:val="none"/>
        </w:rPr>
        <w:t>During the periods presented, one of the Company's customers accounted for a significant portion of revenues, as set forth below:</w:t>
      </w:r>
    </w:p>
    <w:tbl>
      <w:tblPr>
        <w:tblW w:w="107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500"/>
        <w:gridCol w:w="1560"/>
        <w:gridCol w:w="60"/>
        <w:gridCol w:w="1560"/>
        <w:gridCol w:w="180"/>
        <w:gridCol w:w="1560"/>
        <w:gridCol w:w="60"/>
        <w:gridCol w:w="1305"/>
      </w:tblGrid>
      <w:tr>
        <w:tblPrEx>
          <w:tblW w:w="10785" w:type="dxa"/>
          <w:tblInd w:w="0" w:type="dxa"/>
          <w:tblLayout w:type="fixed"/>
        </w:tblPrEx>
        <w:trPr>
          <w:cantSplit/>
          <w:trHeight w:hRule="exact" w:val="300"/>
        </w:trPr>
        <w:tc>
          <w:tcPr>
            <w:tcW w:w="4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92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785" w:type="dxa"/>
          <w:tblInd w:w="0" w:type="dxa"/>
          <w:tblLayout w:type="fixed"/>
        </w:tblPrEx>
        <w:trPr>
          <w:cantSplit/>
          <w:trHeight w:hRule="exact" w:val="300"/>
        </w:trPr>
        <w:tc>
          <w:tcPr>
            <w:tcW w:w="4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135" w:right="135"/>
              <w:jc w:val="center"/>
            </w:pPr>
            <w:r>
              <w:rPr>
                <w:rFonts w:ascii="Times New Roman" w:eastAsia="Times New Roman" w:hAnsi="Times New Roman" w:cs="Times New Roman"/>
                <w:b/>
                <w:i w:val="0"/>
                <w:color w:val="000000"/>
                <w:sz w:val="18"/>
                <w:u w:val="none"/>
              </w:rPr>
              <w:t>July 4, 2025</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785" w:type="dxa"/>
          <w:tblInd w:w="0" w:type="dxa"/>
          <w:tblLayout w:type="fixed"/>
        </w:tblPrEx>
        <w:trPr>
          <w:cantSplit/>
          <w:trHeight w:hRule="exact" w:val="300"/>
        </w:trPr>
        <w:tc>
          <w:tcPr>
            <w:tcW w:w="450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8"/>
                <w:u w:val="none"/>
              </w:rPr>
              <w:t>Canon Medical Systems Corporation</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55" w:after="30" w:line="240" w:lineRule="auto"/>
              <w:jc w:val="right"/>
            </w:pPr>
            <w:r>
              <w:rPr>
                <w:rFonts w:ascii="Times New Roman" w:eastAsia="Times New Roman" w:hAnsi="Times New Roman" w:cs="Times New Roman"/>
                <w:b w:val="0"/>
                <w:i w:val="0"/>
                <w:color w:val="000000"/>
                <w:sz w:val="18"/>
                <w:u w:val="none"/>
              </w:rPr>
              <w:tab/>
              <w:t>17.8</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55" w:after="30" w:line="240" w:lineRule="auto"/>
              <w:jc w:val="right"/>
            </w:pPr>
            <w:r>
              <w:rPr>
                <w:rFonts w:ascii="Times New Roman" w:eastAsia="Times New Roman" w:hAnsi="Times New Roman" w:cs="Times New Roman"/>
                <w:b w:val="0"/>
                <w:i w:val="0"/>
                <w:color w:val="000000"/>
                <w:sz w:val="18"/>
                <w:u w:val="none"/>
              </w:rPr>
              <w:tab/>
              <w:t>18.0</w:t>
              <w:tab/>
              <w:t>%</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18"/>
              </w:tabs>
              <w:spacing w:before="55" w:after="30" w:line="240" w:lineRule="auto"/>
              <w:ind w:right="45"/>
              <w:jc w:val="right"/>
            </w:pPr>
            <w:r>
              <w:rPr>
                <w:rFonts w:ascii="Times New Roman" w:eastAsia="Times New Roman" w:hAnsi="Times New Roman" w:cs="Times New Roman"/>
                <w:b w:val="0"/>
                <w:i w:val="0"/>
                <w:color w:val="000000"/>
                <w:sz w:val="18"/>
                <w:u w:val="none"/>
              </w:rPr>
              <w:tab/>
              <w:t>17.8</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18"/>
              </w:tabs>
              <w:spacing w:before="55" w:after="30" w:line="240" w:lineRule="auto"/>
              <w:ind w:right="45"/>
              <w:jc w:val="right"/>
            </w:pPr>
            <w:r>
              <w:rPr>
                <w:rFonts w:ascii="Times New Roman" w:eastAsia="Times New Roman" w:hAnsi="Times New Roman" w:cs="Times New Roman"/>
                <w:b w:val="0"/>
                <w:i w:val="0"/>
                <w:color w:val="000000"/>
                <w:sz w:val="18"/>
                <w:u w:val="none"/>
              </w:rPr>
              <w:tab/>
              <w:t>18.3</w:t>
              <w:tab/>
              <w:t>%</w:t>
            </w:r>
          </w:p>
        </w:tc>
      </w:tr>
    </w:tbl>
    <w:p>
      <w:pPr>
        <w:keepNext w:val="0"/>
        <w:keepLines w:val="0"/>
        <w:pageBreakBefore w:val="0"/>
        <w:widowControl/>
        <w:numPr>
          <w:ilvl w:val="0"/>
          <w:numId w:val="0"/>
        </w:numPr>
        <w:spacing w:before="100" w:after="0" w:line="240" w:lineRule="exact"/>
        <w:ind w:left="0" w:right="0" w:firstLine="0"/>
        <w:jc w:val="left"/>
        <w:outlineLvl w:val="9"/>
        <w:rPr>
          <w:rFonts w:ascii="Times New Roman" w:eastAsia="Times New Roman" w:hAnsi="Times New Roman" w:cs="Times New Roman"/>
          <w:b w:val="0"/>
          <w:i w:val="0"/>
          <w:color w:val="000000"/>
          <w:sz w:val="18"/>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Canon Medical Systems Corporation accounted for </w:t>
      </w:r>
      <w:r>
        <w:rPr>
          <w:rFonts w:ascii="Times New Roman" w:eastAsia="Times New Roman" w:hAnsi="Times New Roman" w:cs="Times New Roman"/>
          <w:b w:val="0"/>
          <w:i w:val="0"/>
          <w:color w:val="000000"/>
          <w:sz w:val="20"/>
          <w:u w:val="none"/>
        </w:rPr>
        <w:t>13.5%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9.5%</w:t>
      </w:r>
      <w:r>
        <w:rPr>
          <w:rFonts w:ascii="Times New Roman" w:eastAsia="Times New Roman" w:hAnsi="Times New Roman" w:cs="Times New Roman"/>
          <w:b w:val="0"/>
          <w:i w:val="0"/>
          <w:color w:val="000000"/>
          <w:sz w:val="20"/>
          <w:u w:val="none"/>
        </w:rPr>
        <w:t xml:space="preserve"> of the Company’s accounts receivable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respectively.</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Equity Method Investments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accounts for its equity investments in privately-held companies under the equity method of accounting if the Company</w:t>
      </w:r>
      <w:r>
        <w:rPr>
          <w:rFonts w:ascii="Times New Roman" w:eastAsia="Times New Roman" w:hAnsi="Times New Roman" w:cs="Times New Roman"/>
          <w:b w:val="0"/>
          <w:i w:val="0"/>
          <w:color w:val="000000"/>
          <w:sz w:val="20"/>
          <w:u w:val="none"/>
        </w:rPr>
        <w:t xml:space="preserve"> has the ability to exercise significant influence in, but not control, these investments. The Company records impairment losses on its equity method investments if an impairment exists and is deemed to be other-than-temporary, which is based on various factors, including but not limited to, the length of time the fair value of the investment is below the carrying value, the absence of an ability to recover the carrying amount of the investment, and the inability of the investee to sustain an earnings capacity that would justify the carrying amount of the investment.</w:t>
      </w:r>
      <w:r>
        <w:rPr>
          <w:rFonts w:ascii="Times New Roman" w:eastAsia="Times New Roman" w:hAnsi="Times New Roman" w:cs="Times New Roman"/>
          <w:b w:val="0"/>
          <w:i w:val="0"/>
          <w:color w:val="000000"/>
          <w:sz w:val="20"/>
          <w:u w:val="none"/>
        </w:rPr>
        <w:t xml:space="preserve"> There were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color w:val="000000"/>
          <w:sz w:val="20"/>
          <w:u w:val="none"/>
        </w:rPr>
        <w:t xml:space="preserve"> impairments recorded</w:t>
      </w:r>
      <w:r>
        <w:rPr>
          <w:rFonts w:ascii="Times New Roman" w:eastAsia="Times New Roman" w:hAnsi="Times New Roman" w:cs="Times New Roman"/>
          <w:b w:val="0"/>
          <w:i w:val="0"/>
          <w:color w:val="000000"/>
          <w:sz w:val="20"/>
          <w:u w:val="none"/>
        </w:rPr>
        <w:t xml:space="preserve"> during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Marketable Securities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w:t>
      </w:r>
      <w:r>
        <w:rPr>
          <w:rFonts w:ascii="Times New Roman" w:eastAsia="Times New Roman" w:hAnsi="Times New Roman" w:cs="Times New Roman"/>
          <w:b w:val="0"/>
          <w:i w:val="0"/>
          <w:color w:val="000000"/>
          <w:sz w:val="20"/>
          <w:u w:val="none"/>
        </w:rPr>
        <w:t>marketable securities</w:t>
      </w:r>
      <w:r>
        <w:rPr>
          <w:rFonts w:ascii="Times New Roman" w:eastAsia="Times New Roman" w:hAnsi="Times New Roman" w:cs="Times New Roman"/>
          <w:b w:val="0"/>
          <w:i w:val="0"/>
          <w:color w:val="000000"/>
          <w:sz w:val="20"/>
          <w:u w:val="none"/>
        </w:rPr>
        <w:t xml:space="preserve"> consist primarily of </w:t>
      </w:r>
      <w:r>
        <w:rPr>
          <w:rFonts w:ascii="Times New Roman" w:eastAsia="Times New Roman" w:hAnsi="Times New Roman" w:cs="Times New Roman"/>
          <w:b w:val="0"/>
          <w:i w:val="0"/>
          <w:color w:val="000000"/>
          <w:sz w:val="20"/>
          <w:u w:val="none"/>
        </w:rPr>
        <w:t xml:space="preserve">financial instruments such as United States treasury securities, United States agency obligations, </w:t>
      </w:r>
      <w:r>
        <w:rPr>
          <w:rFonts w:ascii="Times New Roman" w:eastAsia="Times New Roman" w:hAnsi="Times New Roman" w:cs="Times New Roman"/>
          <w:b w:val="0"/>
          <w:i w:val="0"/>
          <w:color w:val="000000"/>
          <w:sz w:val="20"/>
          <w:u w:val="none"/>
        </w:rPr>
        <w:t xml:space="preserve">certificates of deposit, </w:t>
      </w:r>
      <w:r>
        <w:rPr>
          <w:rFonts w:ascii="Times New Roman" w:eastAsia="Times New Roman" w:hAnsi="Times New Roman" w:cs="Times New Roman"/>
          <w:b w:val="0"/>
          <w:i w:val="0"/>
          <w:color w:val="000000"/>
          <w:sz w:val="20"/>
          <w:u w:val="none"/>
        </w:rPr>
        <w:t>corporate bonds, commercial paper, money market funds, and equity securities.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color w:val="000000"/>
          <w:sz w:val="20"/>
          <w:u w:val="none"/>
          <w:vertAlign w:val="superscript"/>
        </w:rPr>
      </w:pPr>
      <w:r>
        <w:rPr>
          <w:rFonts w:ascii="Times New Roman" w:eastAsia="Times New Roman" w:hAnsi="Times New Roman" w:cs="Times New Roman"/>
          <w:b w:val="0"/>
          <w:i/>
          <w:color w:val="000000"/>
          <w:sz w:val="20"/>
          <w:u w:val="none"/>
        </w:rPr>
        <w:t>Marketable Debt Securities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marketable debt securities are classified as available-for-sale. Classification of marketable debt securities is determined at the time of purchase, and the Company reevaluates such classification as of each balance sheet date. Marketable debt securities are recorded at estimated fair value and included in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marketable securities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within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Any unrealized gains or losses are included in </w:t>
      </w:r>
      <w:r>
        <w:rPr>
          <w:rFonts w:ascii="Times New Roman" w:eastAsia="Times New Roman" w:hAnsi="Times New Roman" w:cs="Times New Roman"/>
          <w:b w:val="0"/>
          <w:i w:val="0"/>
          <w:color w:val="000000"/>
          <w:sz w:val="20"/>
          <w:u w:val="none"/>
        </w:rPr>
        <w:t>accumulated other comprehensive loss</w:t>
      </w:r>
      <w:r>
        <w:rPr>
          <w:rFonts w:ascii="Times New Roman" w:eastAsia="Times New Roman" w:hAnsi="Times New Roman" w:cs="Times New Roman"/>
          <w:b w:val="0"/>
          <w:i w:val="0"/>
          <w:color w:val="000000"/>
          <w:sz w:val="20"/>
          <w:u w:val="none"/>
        </w:rPr>
        <w:t xml:space="preserve"> within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When the fair value of a marketable debt security declines below its amortized cost basis, any portion of that decline attributable to credit losses, to the extent expected to be nonrecoverable before the sale of the security, is recognized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When the fair value of a marketable debt security declines below its amortized cost basis due to changes in interest rates, such amounts are recorded in </w:t>
      </w:r>
      <w:r>
        <w:rPr>
          <w:rFonts w:ascii="Times New Roman" w:eastAsia="Times New Roman" w:hAnsi="Times New Roman" w:cs="Times New Roman"/>
          <w:b w:val="0"/>
          <w:i w:val="0"/>
          <w:color w:val="000000"/>
          <w:sz w:val="20"/>
          <w:u w:val="none"/>
        </w:rPr>
        <w:t>other comprehensive loss</w:t>
      </w:r>
      <w:r>
        <w:rPr>
          <w:rFonts w:ascii="Times New Roman" w:eastAsia="Times New Roman" w:hAnsi="Times New Roman" w:cs="Times New Roman"/>
          <w:b w:val="0"/>
          <w:i w:val="0"/>
          <w:color w:val="000000"/>
          <w:sz w:val="20"/>
          <w:u w:val="none"/>
        </w:rPr>
        <w:t xml:space="preserve"> and are recognized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only if the Company sells or intends to sell the security before recovery of its cost basis. There were</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color w:val="000000"/>
          <w:sz w:val="20"/>
          <w:u w:val="none"/>
        </w:rPr>
        <w:t xml:space="preserve"> imp</w:t>
      </w:r>
      <w:r>
        <w:rPr>
          <w:rFonts w:ascii="Times New Roman" w:eastAsia="Times New Roman" w:hAnsi="Times New Roman" w:cs="Times New Roman"/>
          <w:b w:val="0"/>
          <w:i w:val="0"/>
          <w:color w:val="000000"/>
          <w:sz w:val="20"/>
          <w:u w:val="none"/>
        </w:rPr>
        <w:t xml:space="preserve">airments related to marketable debt securities recorded during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color w:val="000000"/>
          <w:sz w:val="20"/>
          <w:u w:val="none"/>
          <w:vertAlign w:val="superscript"/>
        </w:rPr>
      </w:pPr>
      <w:r>
        <w:rPr>
          <w:rFonts w:ascii="Times New Roman" w:eastAsia="Times New Roman" w:hAnsi="Times New Roman" w:cs="Times New Roman"/>
          <w:b w:val="0"/>
          <w:i/>
          <w:color w:val="000000"/>
          <w:sz w:val="20"/>
          <w:u w:val="none"/>
        </w:rPr>
        <w:t>Marketable Equity Securities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Marketable equity securities are stated at fair value as determined by the most recently traded price of each security at the balance sheet date and included in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within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All unrealized gains and losses on marketable equity securities are recorded as part of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Company's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See Note </w:t>
      </w:r>
      <w:r>
        <w:rPr>
          <w:rFonts w:ascii="Times New Roman" w:eastAsia="Times New Roman" w:hAnsi="Times New Roman" w:cs="Times New Roman"/>
          <w:b w:val="0"/>
          <w:i w:val="0"/>
          <w:color w:val="000000"/>
          <w:sz w:val="20"/>
          <w:u w:val="none"/>
        </w:rPr>
        <w:t>6</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Fair Value</w:t>
      </w:r>
      <w:r>
        <w:rPr>
          <w:rFonts w:ascii="Times New Roman" w:eastAsia="Times New Roman" w:hAnsi="Times New Roman" w:cs="Times New Roman"/>
          <w:b w:val="0"/>
          <w:i w:val="0"/>
          <w:color w:val="000000"/>
          <w:sz w:val="20"/>
          <w:u w:val="none"/>
        </w:rPr>
        <w:t>, for further details.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Goodwill and Intangible Assets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Goodwill</w:t>
      </w:r>
      <w:r>
        <w:rPr>
          <w:rFonts w:ascii="Times New Roman" w:eastAsia="Times New Roman" w:hAnsi="Times New Roman" w:cs="Times New Roman"/>
          <w:b w:val="0"/>
          <w:i w:val="0"/>
          <w:color w:val="000000"/>
          <w:sz w:val="20"/>
          <w:u w:val="none"/>
        </w:rPr>
        <w:t xml:space="preserve"> is recorded when the purchase price of an acquisition exceeds the fair value of the net identified tangible and intangible assets acquired. Purchased intangible assets are carried at cost, net of accumulated amortization, and are included in </w:t>
      </w:r>
      <w:r>
        <w:rPr>
          <w:rFonts w:ascii="Times New Roman" w:eastAsia="Times New Roman" w:hAnsi="Times New Roman" w:cs="Times New Roman"/>
          <w:b w:val="0"/>
          <w:i w:val="0"/>
          <w:color w:val="000000"/>
          <w:sz w:val="20"/>
          <w:u w:val="none"/>
        </w:rPr>
        <w:t>intangible assets, net</w:t>
      </w:r>
      <w:r>
        <w:rPr>
          <w:rFonts w:ascii="Times New Roman" w:eastAsia="Times New Roman" w:hAnsi="Times New Roman" w:cs="Times New Roman"/>
          <w:b w:val="0"/>
          <w:i w:val="0"/>
          <w:color w:val="000000"/>
          <w:sz w:val="20"/>
          <w:u w:val="none"/>
        </w:rPr>
        <w:t xml:space="preserve"> in the Company's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Intangible assets with finite lives are amortized over their estimated useful lives of primarily </w:t>
      </w:r>
      <w:r>
        <w:rPr>
          <w:rFonts w:ascii="Times New Roman" w:eastAsia="Times New Roman" w:hAnsi="Times New Roman" w:cs="Times New Roman"/>
          <w:b w:val="0"/>
          <w:i w:val="0"/>
          <w:color w:val="000000"/>
          <w:sz w:val="20"/>
          <w:u w:val="none"/>
        </w:rPr>
        <w:t>two</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seven years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using the straight-line method.</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Impairment of Long-lived Assets, Intangible Assets, and Goodwill</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reviews long-lived assets and identifiable intangible assets with finite lives for impairment whenever events or 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evaluates goodwill for impairment at least annually at the beginning of the fourth quarter of each fiscal year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the Company determines that a quantitative analysis is necessary, the Company performs a step one analysis, which consists of a comparison of the fair value of a reporting unit against its carrying amount, including the goodwill allocated to each reporting unit. In fiscal year</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t>024</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changes in facts and circumstances related to reduced demand </w:t>
      </w:r>
      <w:r>
        <w:rPr>
          <w:rFonts w:ascii="Times New Roman" w:eastAsia="Times New Roman" w:hAnsi="Times New Roman" w:cs="Times New Roman"/>
          <w:b w:val="0"/>
          <w:i w:val="0"/>
          <w:color w:val="000000"/>
          <w:sz w:val="20"/>
          <w:u w:val="none"/>
        </w:rPr>
        <w:t>for</w:t>
      </w:r>
      <w:r>
        <w:rPr>
          <w:rFonts w:ascii="Times New Roman" w:eastAsia="Times New Roman" w:hAnsi="Times New Roman" w:cs="Times New Roman"/>
          <w:b w:val="0"/>
          <w:i w:val="0"/>
          <w:color w:val="000000"/>
          <w:sz w:val="20"/>
          <w:u w:val="none"/>
        </w:rPr>
        <w:t xml:space="preserve"> the Company's medical products, coupled with a sustained decrease in the Company's stock price, resulted in the Company determining that an indicator of possible impairment existed within its reporting units. Accordingly, the Company performed a quantitative impairment analysis to determine the fair values of those reporting units, using both an income approach utilizing the discounted cash flow method and market approach utilizing the public company market multiple method. Based on the output of the analysis, the Company determined that the fair values of both the Medical and Industrial reporting units exceeded their carrying amounts</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Accordingly,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color w:val="000000"/>
          <w:sz w:val="20"/>
          <w:u w:val="none"/>
        </w:rPr>
        <w:t xml:space="preserve"> impairment charges were recorded during the year ended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w:t>
      </w:r>
    </w:p>
    <w:p>
      <w:pPr>
        <w:keepNext w:val="0"/>
        <w:keepLines w:val="0"/>
        <w:pageBreakBefore w:val="0"/>
        <w:widowControl/>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changes in facts and circumstances related </w:t>
      </w:r>
      <w:r>
        <w:rPr>
          <w:rFonts w:ascii="Times New Roman" w:eastAsia="Times New Roman" w:hAnsi="Times New Roman" w:cs="Times New Roman"/>
          <w:b w:val="0"/>
          <w:i w:val="0"/>
          <w:color w:val="000000"/>
          <w:sz w:val="20"/>
          <w:u w:val="none"/>
        </w:rPr>
        <w:t>to</w:t>
      </w:r>
      <w:r>
        <w:rPr>
          <w:rFonts w:ascii="Times New Roman" w:eastAsia="Times New Roman" w:hAnsi="Times New Roman" w:cs="Times New Roman"/>
          <w:b w:val="0"/>
          <w:i w:val="0"/>
          <w:color w:val="000000"/>
          <w:sz w:val="20"/>
          <w:u w:val="none"/>
        </w:rPr>
        <w:t xml:space="preserve"> a sustained decrease in the Company's stock price</w:t>
      </w:r>
      <w:r>
        <w:rPr>
          <w:rFonts w:ascii="Times New Roman" w:eastAsia="Times New Roman" w:hAnsi="Times New Roman" w:cs="Times New Roman"/>
          <w:b w:val="0"/>
          <w:i w:val="0"/>
          <w:color w:val="000000"/>
          <w:sz w:val="20"/>
          <w:u w:val="none"/>
        </w:rPr>
        <w:t>, a decrease in its</w:t>
      </w:r>
      <w:r>
        <w:rPr>
          <w:rFonts w:ascii="Times New Roman" w:eastAsia="Times New Roman" w:hAnsi="Times New Roman" w:cs="Times New Roman"/>
          <w:b w:val="0"/>
          <w:i w:val="0"/>
          <w:color w:val="000000"/>
          <w:sz w:val="20"/>
          <w:u w:val="none"/>
        </w:rPr>
        <w:t xml:space="preserve"> market </w:t>
      </w:r>
      <w:r>
        <w:rPr>
          <w:rFonts w:ascii="Times New Roman" w:eastAsia="Times New Roman" w:hAnsi="Times New Roman" w:cs="Times New Roman"/>
          <w:b w:val="0"/>
          <w:i w:val="0"/>
          <w:color w:val="000000"/>
          <w:sz w:val="20"/>
          <w:u w:val="none"/>
        </w:rPr>
        <w:t>capitalization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and </w:t>
      </w:r>
      <w:r>
        <w:rPr>
          <w:rFonts w:ascii="Times New Roman" w:eastAsia="Times New Roman" w:hAnsi="Times New Roman" w:cs="Times New Roman"/>
          <w:b w:val="0"/>
          <w:i w:val="0"/>
          <w:color w:val="000000"/>
          <w:sz w:val="20"/>
          <w:u w:val="none"/>
        </w:rPr>
        <w:t xml:space="preserve">downward revisions in its longer term forecast received during the quarter, which included the impact of tariffs and </w:t>
      </w:r>
      <w:r>
        <w:rPr>
          <w:rFonts w:ascii="Times New Roman" w:eastAsia="Times New Roman" w:hAnsi="Times New Roman" w:cs="Times New Roman"/>
          <w:b w:val="0"/>
          <w:i w:val="0"/>
          <w:color w:val="000000"/>
          <w:sz w:val="20"/>
          <w:u w:val="none"/>
        </w:rPr>
        <w:t xml:space="preserve">the </w:t>
      </w:r>
      <w:r>
        <w:rPr>
          <w:rFonts w:ascii="Times New Roman" w:eastAsia="Times New Roman" w:hAnsi="Times New Roman" w:cs="Times New Roman"/>
          <w:b w:val="0"/>
          <w:i w:val="0"/>
          <w:color w:val="000000"/>
          <w:sz w:val="20"/>
          <w:u w:val="none"/>
        </w:rPr>
        <w:t>China Ministry of Commerce (“MOFCOM”) initiat</w:t>
      </w:r>
      <w:r>
        <w:rPr>
          <w:rFonts w:ascii="Times New Roman" w:eastAsia="Times New Roman" w:hAnsi="Times New Roman" w:cs="Times New Roman"/>
          <w:b w:val="0"/>
          <w:i w:val="0"/>
          <w:color w:val="000000"/>
          <w:sz w:val="20"/>
          <w:u w:val="none"/>
        </w:rPr>
        <w:t>ing</w:t>
      </w:r>
      <w:r>
        <w:rPr>
          <w:rFonts w:ascii="Times New Roman" w:eastAsia="Times New Roman" w:hAnsi="Times New Roman" w:cs="Times New Roman"/>
          <w:b w:val="0"/>
          <w:i w:val="0"/>
          <w:color w:val="000000"/>
          <w:sz w:val="20"/>
          <w:u w:val="none"/>
        </w:rPr>
        <w:t xml:space="preserve"> two investigations related to medical products imported into China</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“MOFCOM Investigations”)</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resulted in the Company determining that an indicator of possible impairment existed within its reporting units. Accordingly, </w:t>
      </w:r>
      <w:r>
        <w:rPr>
          <w:rFonts w:ascii="Times New Roman" w:eastAsia="Times New Roman" w:hAnsi="Times New Roman" w:cs="Times New Roman"/>
          <w:b w:val="0"/>
          <w:i w:val="0"/>
          <w:color w:val="000000"/>
          <w:sz w:val="20"/>
          <w:u w:val="none"/>
        </w:rPr>
        <w:t xml:space="preserve">in connection with the preparation of its </w:t>
      </w:r>
      <w:r>
        <w:rPr>
          <w:rFonts w:ascii="Times New Roman" w:eastAsia="Times New Roman" w:hAnsi="Times New Roman" w:cs="Times New Roman"/>
          <w:b w:val="0"/>
          <w:i w:val="0"/>
          <w:color w:val="000000"/>
          <w:sz w:val="20"/>
          <w:u w:val="none"/>
        </w:rPr>
        <w:t xml:space="preserve">financial statements for the fiscal quarter ended </w:t>
      </w:r>
      <w:r>
        <w:rPr>
          <w:rFonts w:ascii="Times New Roman" w:eastAsia="Times New Roman" w:hAnsi="Times New Roman" w:cs="Times New Roman"/>
          <w:b w:val="0"/>
          <w:i w:val="0"/>
          <w:color w:val="000000"/>
          <w:sz w:val="20"/>
          <w:u w:val="none"/>
        </w:rPr>
        <w:t>July 4</w:t>
      </w:r>
      <w:r>
        <w:rPr>
          <w:rFonts w:ascii="Times New Roman" w:eastAsia="Times New Roman" w:hAnsi="Times New Roman" w:cs="Times New Roman"/>
          <w:b w:val="0"/>
          <w:i w:val="0"/>
          <w:color w:val="000000"/>
          <w:sz w:val="20"/>
          <w:u w:val="none"/>
        </w:rPr>
        <w:t>, 2025</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 xml:space="preserve">he Company performed a quantitative impairment analysis to determine the </w:t>
      </w:r>
      <w:r>
        <w:rPr>
          <w:rFonts w:ascii="Times New Roman" w:eastAsia="Times New Roman" w:hAnsi="Times New Roman" w:cs="Times New Roman"/>
          <w:b w:val="0"/>
          <w:i w:val="0"/>
          <w:color w:val="000000"/>
          <w:sz w:val="20"/>
          <w:u w:val="none"/>
        </w:rPr>
        <w:t>fair</w:t>
      </w:r>
      <w:r>
        <w:rPr>
          <w:rFonts w:ascii="Times New Roman" w:eastAsia="Times New Roman" w:hAnsi="Times New Roman" w:cs="Times New Roman"/>
          <w:b w:val="0"/>
          <w:i w:val="0"/>
          <w:color w:val="000000"/>
          <w:sz w:val="20"/>
          <w:u w:val="none"/>
        </w:rPr>
        <w:t xml:space="preserve"> values of those reporting units, using both an income approach utilizing the discounted cash flow method and </w:t>
      </w:r>
      <w:r>
        <w:rPr>
          <w:rFonts w:ascii="Times New Roman" w:eastAsia="Times New Roman" w:hAnsi="Times New Roman" w:cs="Times New Roman"/>
          <w:b w:val="0"/>
          <w:i w:val="0"/>
          <w:color w:val="000000"/>
          <w:sz w:val="20"/>
          <w:u w:val="none"/>
        </w:rPr>
        <w:t xml:space="preserve">a </w:t>
      </w:r>
      <w:r>
        <w:rPr>
          <w:rFonts w:ascii="Times New Roman" w:eastAsia="Times New Roman" w:hAnsi="Times New Roman" w:cs="Times New Roman"/>
          <w:b w:val="0"/>
          <w:i w:val="0"/>
          <w:color w:val="000000"/>
          <w:sz w:val="20"/>
          <w:u w:val="none"/>
        </w:rPr>
        <w:t xml:space="preserve">market approach utilizing the public company market multiple method. Based on the output of the analysis, the Company determined that the </w:t>
      </w:r>
      <w:r>
        <w:rPr>
          <w:rFonts w:ascii="Times New Roman" w:eastAsia="Times New Roman" w:hAnsi="Times New Roman" w:cs="Times New Roman"/>
          <w:b w:val="0"/>
          <w:i w:val="0"/>
          <w:color w:val="000000"/>
          <w:sz w:val="20"/>
          <w:u w:val="none"/>
        </w:rPr>
        <w:t xml:space="preserve">carrying amount </w:t>
      </w:r>
      <w:r>
        <w:rPr>
          <w:rFonts w:ascii="Times New Roman" w:eastAsia="Times New Roman" w:hAnsi="Times New Roman" w:cs="Times New Roman"/>
          <w:b w:val="0"/>
          <w:i w:val="0"/>
          <w:color w:val="000000"/>
          <w:sz w:val="20"/>
          <w:u w:val="none"/>
        </w:rPr>
        <w:t xml:space="preserve">of </w:t>
      </w:r>
      <w:r>
        <w:rPr>
          <w:rFonts w:ascii="Times New Roman" w:eastAsia="Times New Roman" w:hAnsi="Times New Roman" w:cs="Times New Roman"/>
          <w:b w:val="0"/>
          <w:i w:val="0"/>
          <w:color w:val="000000"/>
          <w:sz w:val="20"/>
          <w:u w:val="none"/>
        </w:rPr>
        <w:t>its</w:t>
      </w:r>
      <w:r>
        <w:rPr>
          <w:rFonts w:ascii="Times New Roman" w:eastAsia="Times New Roman" w:hAnsi="Times New Roman" w:cs="Times New Roman"/>
          <w:b w:val="0"/>
          <w:i w:val="0"/>
          <w:color w:val="000000"/>
          <w:sz w:val="20"/>
          <w:u w:val="none"/>
        </w:rPr>
        <w:t xml:space="preserve"> Medical </w:t>
      </w:r>
      <w:r>
        <w:rPr>
          <w:rFonts w:ascii="Times New Roman" w:eastAsia="Times New Roman" w:hAnsi="Times New Roman" w:cs="Times New Roman"/>
          <w:b w:val="0"/>
          <w:i w:val="0"/>
          <w:color w:val="000000"/>
          <w:sz w:val="20"/>
          <w:u w:val="none"/>
        </w:rPr>
        <w:t>reporting unit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exceeded its fair value</w:t>
      </w:r>
      <w:r>
        <w:rPr>
          <w:rFonts w:ascii="Times New Roman" w:eastAsia="Times New Roman" w:hAnsi="Times New Roman" w:cs="Times New Roman"/>
          <w:b w:val="0"/>
          <w:i w:val="0"/>
          <w:color w:val="000000"/>
          <w:sz w:val="20"/>
          <w:u w:val="none"/>
        </w:rPr>
        <w:t>. Accordingly,</w:t>
      </w:r>
      <w:r>
        <w:rPr>
          <w:rFonts w:ascii="Times New Roman" w:eastAsia="Times New Roman" w:hAnsi="Times New Roman" w:cs="Times New Roman"/>
          <w:b w:val="0"/>
          <w:i w:val="0"/>
          <w:color w:val="000000"/>
          <w:sz w:val="20"/>
          <w:u w:val="none"/>
        </w:rPr>
        <w:t xml:space="preserve"> the Company recorded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of impairment charge</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to its Medical reporting </w:t>
      </w:r>
      <w:r>
        <w:rPr>
          <w:rFonts w:ascii="Times New Roman" w:eastAsia="Times New Roman" w:hAnsi="Times New Roman" w:cs="Times New Roman"/>
          <w:b w:val="0"/>
          <w:i w:val="0"/>
          <w:color w:val="000000"/>
          <w:sz w:val="20"/>
          <w:u w:val="none"/>
        </w:rPr>
        <w:t>unit</w:t>
      </w:r>
      <w:r>
        <w:rPr>
          <w:rFonts w:ascii="Times New Roman" w:eastAsia="Times New Roman" w:hAnsi="Times New Roman" w:cs="Times New Roman"/>
          <w:b w:val="0"/>
          <w:i w:val="0"/>
          <w:color w:val="000000"/>
          <w:sz w:val="20"/>
          <w:u w:val="none"/>
        </w:rPr>
        <w:t xml:space="preserve"> within </w:t>
      </w:r>
      <w:r>
        <w:rPr>
          <w:rFonts w:ascii="Times New Roman" w:eastAsia="Times New Roman" w:hAnsi="Times New Roman" w:cs="Times New Roman"/>
          <w:b w:val="0"/>
          <w:i w:val="0"/>
          <w:color w:val="000000"/>
          <w:sz w:val="20"/>
          <w:u w:val="none"/>
        </w:rPr>
        <w:t>impairment of goodwill</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See Note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Goodwill and Intangible Assets</w:t>
      </w:r>
      <w:r>
        <w:rPr>
          <w:rFonts w:ascii="Times New Roman" w:eastAsia="Times New Roman" w:hAnsi="Times New Roman" w:cs="Times New Roman"/>
          <w:b w:val="0"/>
          <w:i w:val="0"/>
          <w:color w:val="000000"/>
          <w:sz w:val="20"/>
          <w:u w:val="none"/>
        </w:rPr>
        <w:t>, for further details.</w:t>
      </w:r>
    </w:p>
    <w:p>
      <w:pPr>
        <w:keepNext/>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 xml:space="preserve">Loss </w:t>
      </w:r>
      <w:r>
        <w:rPr>
          <w:rFonts w:ascii="Times New Roman" w:eastAsia="Times New Roman" w:hAnsi="Times New Roman" w:cs="Times New Roman"/>
          <w:b/>
          <w:i/>
          <w:color w:val="000000"/>
          <w:sz w:val="20"/>
          <w:u w:val="none"/>
        </w:rPr>
        <w:t>Contingencies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From time to time, the Company is involved in legal proceedings, claims, and government inspections or investigations, customs and duties audits, and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Supplier Finance Programs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participates in voluntary supply chain finance programs with a financial intermediary which provide participating suppliers the option to be paid by the intermediary earlier than the original invoice due date. The Company’s responsibility is limited to making payments on the terms originally negotiated with the suppliers, regardless of whether the intermediary pays the supplier in advance of the original due date. As part of participating in these arrangements, the Company generally receives more favorable payment terms from its suppliers. The Company does not receive fees, payments, extended payment terms, or other direct economic benefits from the intermediary.</w:t>
      </w:r>
      <w:r>
        <w:rPr>
          <w:rFonts w:ascii="Times New Roman" w:eastAsia="Times New Roman" w:hAnsi="Times New Roman" w:cs="Times New Roman"/>
          <w:b w:val="0"/>
          <w:i w:val="0"/>
          <w:color w:val="000000"/>
          <w:sz w:val="20"/>
          <w:u w:val="none"/>
        </w:rPr>
        <w:t xml:space="preserve"> The total amounts due to the financial intermediary to settle supplier invoices under supply chain finance programs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were </w:t>
      </w:r>
      <w:r>
        <w:rPr>
          <w:rFonts w:ascii="Times New Roman" w:eastAsia="Times New Roman" w:hAnsi="Times New Roman" w:cs="Times New Roman"/>
          <w:b w:val="0"/>
          <w:i w:val="0"/>
          <w:color w:val="000000"/>
          <w:sz w:val="20"/>
          <w:u w:val="none"/>
        </w:rPr>
        <w:t>$4.3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$2.6 million</w:t>
      </w:r>
      <w:r>
        <w:rPr>
          <w:rFonts w:ascii="Times New Roman" w:eastAsia="Times New Roman" w:hAnsi="Times New Roman" w:cs="Times New Roman"/>
          <w:b w:val="0"/>
          <w:i w:val="0"/>
          <w:color w:val="000000"/>
          <w:sz w:val="20"/>
          <w:u w:val="none"/>
        </w:rPr>
        <w:t xml:space="preserve">, respectively. These amounts are included within </w:t>
      </w:r>
      <w:r>
        <w:rPr>
          <w:rFonts w:ascii="Times New Roman" w:eastAsia="Times New Roman" w:hAnsi="Times New Roman" w:cs="Times New Roman"/>
          <w:b w:val="0"/>
          <w:i w:val="0"/>
          <w:color w:val="000000"/>
          <w:sz w:val="20"/>
          <w:u w:val="none"/>
        </w:rPr>
        <w:t>accounts payable</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Environmental Obligations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the Company is obligated to indemnify Varian Medical Systems, Inc. ("Varian") for the cleanup liabilities related to prior corporate restructuring activities. The Company anticipates that it will be obligated to reimburse Varian for </w:t>
      </w:r>
      <w:r>
        <w:rPr>
          <w:rFonts w:ascii="Times New Roman" w:eastAsia="Times New Roman" w:hAnsi="Times New Roman" w:cs="Times New Roman"/>
          <w:b w:val="0"/>
          <w:i w:val="0"/>
          <w:color w:val="000000"/>
          <w:sz w:val="20"/>
          <w:u w:val="none"/>
        </w:rPr>
        <w:t>20%</w:t>
      </w:r>
      <w:r>
        <w:rPr>
          <w:rFonts w:ascii="Times New Roman" w:eastAsia="Times New Roman" w:hAnsi="Times New Roman" w:cs="Times New Roman"/>
          <w:b w:val="0"/>
          <w:i w:val="0"/>
          <w:color w:val="000000"/>
          <w:sz w:val="20"/>
          <w:u w:val="none"/>
        </w:rPr>
        <w:t xml:space="preserve"> of the liabilities of Varian related to these sites (after adjusting for any insurance proceeds or tax benefits received by Varian).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our estimated environmental liability for these sites was </w:t>
      </w:r>
      <w:r>
        <w:rPr>
          <w:rFonts w:ascii="Times New Roman" w:eastAsia="Times New Roman" w:hAnsi="Times New Roman" w:cs="Times New Roman"/>
          <w:b w:val="0"/>
          <w:i w:val="0"/>
          <w:color w:val="000000"/>
          <w:sz w:val="20"/>
          <w:u w:val="none"/>
        </w:rPr>
        <w:t>$3.3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$3.9 million</w:t>
      </w:r>
      <w:r>
        <w:rPr>
          <w:rFonts w:ascii="Times New Roman" w:eastAsia="Times New Roman" w:hAnsi="Times New Roman" w:cs="Times New Roman"/>
          <w:b w:val="0"/>
          <w:i w:val="0"/>
          <w:color w:val="000000"/>
          <w:sz w:val="20"/>
          <w:u w:val="none"/>
        </w:rPr>
        <w:t>, net of expected insurance proceeds, respectively.</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Product Warranty</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warrants most of its products for a specific period of time, usually </w:t>
      </w:r>
      <w:r>
        <w:rPr>
          <w:rFonts w:ascii="Times New Roman" w:eastAsia="Times New Roman" w:hAnsi="Times New Roman" w:cs="Times New Roman"/>
          <w:b w:val="0"/>
          <w:i w:val="0"/>
          <w:color w:val="000000"/>
          <w:sz w:val="20"/>
          <w:u w:val="none"/>
        </w:rPr>
        <w:t>12</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27 months</w:t>
      </w:r>
      <w:r>
        <w:rPr>
          <w:rFonts w:ascii="Times New Roman" w:eastAsia="Times New Roman" w:hAnsi="Times New Roman" w:cs="Times New Roman"/>
          <w:b w:val="0"/>
          <w:i w:val="0"/>
          <w:color w:val="000000"/>
          <w:sz w:val="20"/>
          <w:u w:val="none"/>
        </w:rPr>
        <w:t xml:space="preserve"> from delivery or acceptance, against material defects. The Company provides for the estimated future costs of warranty obligations in </w:t>
      </w:r>
      <w:r>
        <w:rPr>
          <w:rFonts w:ascii="Times New Roman" w:eastAsia="Times New Roman" w:hAnsi="Times New Roman" w:cs="Times New Roman"/>
          <w:b w:val="0"/>
          <w:i w:val="0"/>
          <w:color w:val="000000"/>
          <w:sz w:val="20"/>
          <w:u w:val="none"/>
        </w:rPr>
        <w:t>cost of revenues</w:t>
      </w:r>
      <w:r>
        <w:rPr>
          <w:rFonts w:ascii="Times New Roman" w:eastAsia="Times New Roman" w:hAnsi="Times New Roman" w:cs="Times New Roman"/>
          <w:b w:val="0"/>
          <w:i w:val="0"/>
          <w:color w:val="000000"/>
          <w:sz w:val="20"/>
          <w:u w:val="none"/>
        </w:rPr>
        <w:t xml:space="preserve"> when the related revenues are recognized. The accrued warranty costs represent the best estimate at the time of sale of the total costs that the Company will incur to repair or replace product parts that fail while still under warranty.</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amount of the accrued estimated warranty costs obligation for established products is primarily based on historical experience of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reflects the changes in the Company’s accrued product warranty:</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300"/>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Accrued product warranty, at beginning of period</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7.7</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hanging="180"/>
              <w:jc w:val="left"/>
            </w:pPr>
            <w:r>
              <w:rPr>
                <w:rFonts w:ascii="Times New Roman" w:eastAsia="Times New Roman" w:hAnsi="Times New Roman" w:cs="Times New Roman"/>
                <w:b w:val="0"/>
                <w:i w:val="0"/>
                <w:color w:val="000000"/>
                <w:sz w:val="18"/>
                <w:u w:val="none"/>
              </w:rPr>
              <w:t>New accruals charged to cost of revenues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10.0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15.3</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hanging="180"/>
              <w:jc w:val="left"/>
            </w:pPr>
            <w:r>
              <w:rPr>
                <w:rFonts w:ascii="Times New Roman" w:eastAsia="Times New Roman" w:hAnsi="Times New Roman" w:cs="Times New Roman"/>
                <w:b w:val="0"/>
                <w:i w:val="0"/>
                <w:color w:val="000000"/>
                <w:sz w:val="18"/>
                <w:u w:val="none"/>
              </w:rPr>
              <w:t>Product warranty expenditures</w:t>
            </w: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(11.6)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(13.1)</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8"/>
                <w:u w:val="none"/>
              </w:rPr>
              <w:t>Accrued product warranty, at end of period</w:t>
            </w: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9.2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9.9</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Leases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w:t>
      </w:r>
      <w:r>
        <w:rPr>
          <w:rFonts w:ascii="Times New Roman" w:eastAsia="Times New Roman" w:hAnsi="Times New Roman" w:cs="Times New Roman"/>
          <w:b w:val="0"/>
          <w:i w:val="0"/>
          <w:color w:val="000000"/>
          <w:sz w:val="20"/>
          <w:u w:val="none"/>
        </w:rPr>
        <w:t>operating lease assets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current operating lease liabilities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operating lease liabilities</w:t>
      </w:r>
      <w:r>
        <w:rPr>
          <w:rFonts w:ascii="Times New Roman" w:eastAsia="Times New Roman" w:hAnsi="Times New Roman" w:cs="Times New Roman"/>
          <w:b w:val="0"/>
          <w:i w:val="0"/>
          <w:color w:val="000000"/>
          <w:sz w:val="20"/>
          <w:u w:val="none"/>
        </w:rPr>
        <w:t xml:space="preserve"> on its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The Company recognizes finance leases with lease terms of more than twelve months in </w:t>
      </w:r>
      <w:r>
        <w:rPr>
          <w:rFonts w:ascii="Times New Roman" w:eastAsia="Times New Roman" w:hAnsi="Times New Roman" w:cs="Times New Roman"/>
          <w:b w:val="0"/>
          <w:i w:val="0"/>
          <w:color w:val="000000"/>
          <w:sz w:val="20"/>
          <w:u w:val="none"/>
        </w:rPr>
        <w:t>property, plant, and equipment, net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accrued liabilities and other current liabilities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long-term liabilities</w:t>
      </w:r>
      <w:r>
        <w:rPr>
          <w:rFonts w:ascii="Times New Roman" w:eastAsia="Times New Roman" w:hAnsi="Times New Roman" w:cs="Times New Roman"/>
          <w:b w:val="0"/>
          <w:i w:val="0"/>
          <w:color w:val="000000"/>
          <w:sz w:val="20"/>
          <w:u w:val="none"/>
        </w:rPr>
        <w:t xml:space="preserve"> on its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For purposes of calculating lease liabilities and the corresponding ROU assets, the Company's lease term may include options to extend or terminate the lease when it is reasonably certain that it will exercise that option.</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Revenue Recognition</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revenues are derived primarily from the sale of hardware and services. The Company recognizes its revenues net of any value-added or sales tax and net of sales discounts. </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sells a high proportion of its X-ray products to a limited number of OEM customers. X-ray imaging components including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X-ray linear accelerators together with its image processing software and image detection products to OEM customers that incorporate them into their inspection or irradiation systems and processes. Service contracts are often sold with certain security and inspection products and computer-aided detection products.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determines revenue recognition through the following steps:</w:t>
      </w:r>
    </w:p>
    <w:p>
      <w:pPr>
        <w:keepNext w:val="0"/>
        <w:keepLines w:val="0"/>
        <w:pageBreakBefore w:val="0"/>
        <w:widowControl/>
        <w:numPr>
          <w:ilvl w:val="0"/>
          <w:numId w:val="14"/>
        </w:numPr>
        <w:spacing w:before="120" w:after="0" w:line="288" w:lineRule="auto"/>
        <w:ind w:left="1260" w:right="0" w:hanging="36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Identification of the contract, or contracts, with a customer</w:t>
      </w:r>
    </w:p>
    <w:p>
      <w:pPr>
        <w:keepNext w:val="0"/>
        <w:keepLines w:val="0"/>
        <w:pageBreakBefore w:val="0"/>
        <w:widowControl/>
        <w:numPr>
          <w:ilvl w:val="0"/>
          <w:numId w:val="15"/>
        </w:numPr>
        <w:spacing w:before="0" w:after="0" w:line="288" w:lineRule="auto"/>
        <w:ind w:left="1260" w:right="0" w:hanging="36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Identification of the performance obligations in the contract</w:t>
      </w:r>
    </w:p>
    <w:p>
      <w:pPr>
        <w:keepNext w:val="0"/>
        <w:keepLines w:val="0"/>
        <w:pageBreakBefore w:val="0"/>
        <w:widowControl/>
        <w:numPr>
          <w:ilvl w:val="0"/>
          <w:numId w:val="16"/>
        </w:numPr>
        <w:spacing w:before="0" w:after="0" w:line="288" w:lineRule="auto"/>
        <w:ind w:left="1260" w:right="0" w:hanging="36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Determination of the transaction price</w:t>
      </w:r>
    </w:p>
    <w:p>
      <w:pPr>
        <w:keepNext w:val="0"/>
        <w:keepLines w:val="0"/>
        <w:pageBreakBefore w:val="0"/>
        <w:widowControl/>
        <w:numPr>
          <w:ilvl w:val="0"/>
          <w:numId w:val="17"/>
        </w:numPr>
        <w:spacing w:before="0" w:after="0" w:line="288" w:lineRule="auto"/>
        <w:ind w:left="1260" w:right="0" w:hanging="36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Allocation of the transaction price to the performance obligations in the contract</w:t>
      </w:r>
    </w:p>
    <w:p>
      <w:pPr>
        <w:keepNext w:val="0"/>
        <w:keepLines w:val="0"/>
        <w:pageBreakBefore w:val="0"/>
        <w:widowControl/>
        <w:numPr>
          <w:ilvl w:val="0"/>
          <w:numId w:val="18"/>
        </w:numPr>
        <w:spacing w:before="0" w:after="0" w:line="288" w:lineRule="auto"/>
        <w:ind w:left="1260" w:right="0" w:hanging="36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Recognition of revenue when, or as, a performance obligation is satisfied</w:t>
      </w:r>
    </w:p>
    <w:p>
      <w:pPr>
        <w:keepNext/>
        <w:keepLines/>
        <w:pageBreakBefore w:val="0"/>
        <w:widowControl w:val="0"/>
        <w:numPr>
          <w:ilvl w:val="0"/>
          <w:numId w:val="0"/>
        </w:numPr>
        <w:spacing w:before="180" w:after="0" w:line="288" w:lineRule="auto"/>
        <w:ind w:left="0" w:right="0" w:firstLine="0"/>
        <w:jc w:val="both"/>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color w:val="000000"/>
          <w:sz w:val="20"/>
          <w:u w:val="none"/>
        </w:rPr>
        <w:t>Contracts and Performance Obligations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color w:val="000000"/>
          <w:sz w:val="20"/>
          <w:u w:val="none"/>
        </w:rPr>
        <w:t>Transaction Price and Allocation to Performance Obligations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allows customers to return specific parts of purchased X-ray tubes for a partial refund credit, which is identified as variable consideration. For sales with a right of return, revenue is reduced and a liability is recorded for expected returns, and an asset is recorded for the right to recover products from customers on settling the liability. The Company recognizes a reduction to revenue and cost of sales at the time of sale and a corresponding refund liability and right of return asset. The Company records this estimate based on the historical volume of product returns and adjusts the estimate on a quarterly basis based on the current quarter sales and current quarter returns.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pPr>
        <w:keepNext/>
        <w:keepLines/>
        <w:pageBreakBefore w:val="0"/>
        <w:widowControl w:val="0"/>
        <w:numPr>
          <w:ilvl w:val="0"/>
          <w:numId w:val="0"/>
        </w:numPr>
        <w:spacing w:before="180" w:after="0" w:line="288" w:lineRule="auto"/>
        <w:ind w:left="0" w:right="0" w:firstLine="0"/>
        <w:jc w:val="both"/>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color w:val="000000"/>
          <w:sz w:val="20"/>
          <w:u w:val="none"/>
        </w:rPr>
        <w:t>Recognition of Revenue</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Product revenue is generally recognized when the customer obtains control of the Company’s product, which occurs at a point in time, and may be upon shipment or upon delivery based on the contractual shipping terms of a contract.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pPr>
        <w:keepNext/>
        <w:keepLines/>
        <w:pageBreakBefore w:val="0"/>
        <w:widowControl w:val="0"/>
        <w:numPr>
          <w:ilvl w:val="0"/>
          <w:numId w:val="0"/>
        </w:numPr>
        <w:spacing w:before="180" w:after="0" w:line="288" w:lineRule="auto"/>
        <w:ind w:left="0" w:right="0" w:firstLine="0"/>
        <w:jc w:val="both"/>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color w:val="000000"/>
          <w:sz w:val="20"/>
          <w:u w:val="none"/>
        </w:rPr>
        <w:t>Disaggregation of Revenue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Revenue is disaggregated from contracts between geography and by reportable operating segment, which the Company believes best depicts how the nature, amount, timing, and uncertainty of revenues and cash flows are affected by economic factors. Refer to Note </w:t>
      </w:r>
      <w:r>
        <w:rPr>
          <w:rFonts w:ascii="Times New Roman" w:eastAsia="Times New Roman" w:hAnsi="Times New Roman" w:cs="Times New Roman"/>
          <w:b w:val="0"/>
          <w:i w:val="0"/>
          <w:color w:val="000000"/>
          <w:sz w:val="20"/>
          <w:u w:val="none"/>
        </w:rPr>
        <w:t>15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Segment Information</w:t>
      </w:r>
      <w:r>
        <w:rPr>
          <w:rFonts w:ascii="Times New Roman" w:eastAsia="Times New Roman" w:hAnsi="Times New Roman" w:cs="Times New Roman"/>
          <w:b w:val="0"/>
          <w:i/>
          <w:color w:val="000000"/>
          <w:sz w:val="20"/>
          <w:u w:val="none"/>
        </w:rPr>
        <w:t xml:space="preserve">, </w:t>
      </w:r>
      <w:r>
        <w:rPr>
          <w:rFonts w:ascii="Times New Roman" w:eastAsia="Times New Roman" w:hAnsi="Times New Roman" w:cs="Times New Roman"/>
          <w:b w:val="0"/>
          <w:i w:val="0"/>
          <w:color w:val="000000"/>
          <w:sz w:val="20"/>
          <w:u w:val="none"/>
        </w:rPr>
        <w:t xml:space="preserve">included in this report, for the disaggregation of the Company’s revenue based on reportable operating segments and Note </w:t>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Revenue Recognition</w:t>
      </w:r>
      <w:r>
        <w:rPr>
          <w:rFonts w:ascii="Times New Roman" w:eastAsia="Times New Roman" w:hAnsi="Times New Roman" w:cs="Times New Roman"/>
          <w:b w:val="0"/>
          <w:i/>
          <w:color w:val="000000"/>
          <w:sz w:val="20"/>
          <w:u w:val="none"/>
        </w:rPr>
        <w:t>,</w:t>
      </w:r>
      <w:r>
        <w:rPr>
          <w:rFonts w:ascii="Times New Roman" w:eastAsia="Times New Roman" w:hAnsi="Times New Roman" w:cs="Times New Roman"/>
          <w:b w:val="0"/>
          <w:i w:val="0"/>
          <w:color w:val="000000"/>
          <w:sz w:val="20"/>
          <w:u w:val="none"/>
        </w:rPr>
        <w:t xml:space="preserve"> for the disaggregation of revenue by geographic region and country.</w:t>
      </w:r>
    </w:p>
    <w:p>
      <w:pPr>
        <w:keepNext/>
        <w:keepLines/>
        <w:pageBreakBefore w:val="0"/>
        <w:widowControl w:val="0"/>
        <w:numPr>
          <w:ilvl w:val="0"/>
          <w:numId w:val="0"/>
        </w:numPr>
        <w:spacing w:before="180" w:after="0" w:line="288" w:lineRule="auto"/>
        <w:ind w:left="0" w:right="0" w:firstLine="0"/>
        <w:jc w:val="both"/>
        <w:outlineLvl w:val="9"/>
        <w:rPr>
          <w:rFonts w:ascii="Times New Roman" w:eastAsia="Times New Roman" w:hAnsi="Times New Roman" w:cs="Times New Roman"/>
          <w:b w:val="0"/>
          <w:i/>
          <w:color w:val="000000"/>
          <w:sz w:val="20"/>
          <w:u w:val="none"/>
        </w:rPr>
      </w:pPr>
      <w:r>
        <w:rPr>
          <w:rFonts w:ascii="Times New Roman" w:eastAsia="Times New Roman" w:hAnsi="Times New Roman" w:cs="Times New Roman"/>
          <w:b w:val="0"/>
          <w:i/>
          <w:color w:val="000000"/>
          <w:sz w:val="20"/>
          <w:u w:val="none"/>
        </w:rPr>
        <w:t>Contract Balances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Contract liabilities are included within the </w:t>
      </w:r>
      <w:r>
        <w:rPr>
          <w:rFonts w:ascii="Times New Roman" w:eastAsia="Times New Roman" w:hAnsi="Times New Roman" w:cs="Times New Roman"/>
          <w:b w:val="0"/>
          <w:i w:val="0"/>
          <w:color w:val="000000"/>
          <w:sz w:val="20"/>
          <w:u w:val="none"/>
        </w:rPr>
        <w:t>deferred revenues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long-term liabilities</w:t>
      </w:r>
      <w:r>
        <w:rPr>
          <w:rFonts w:ascii="Times New Roman" w:eastAsia="Times New Roman" w:hAnsi="Times New Roman" w:cs="Times New Roman"/>
          <w:b w:val="0"/>
          <w:i w:val="0"/>
          <w:color w:val="000000"/>
          <w:sz w:val="20"/>
          <w:u w:val="none"/>
        </w:rPr>
        <w:t xml:space="preserve"> balances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The Company does not have any material contract assets.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Deferred revenue represents the Company's obligation to transfer goods or services to its customers for which it has already received consideration (or the amount is due) from the customer. The Company's deferred revenue balance primarily relates to contract advances and billings for warranty contracts.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Deferred revenue that is estimated to be recognized during the following twelve-month period is recorded as </w:t>
      </w:r>
      <w:r>
        <w:rPr>
          <w:rFonts w:ascii="Times New Roman" w:eastAsia="Times New Roman" w:hAnsi="Times New Roman" w:cs="Times New Roman"/>
          <w:b w:val="0"/>
          <w:i w:val="0"/>
          <w:color w:val="000000"/>
          <w:sz w:val="20"/>
          <w:u w:val="none"/>
        </w:rPr>
        <w:t>deferred revenues</w:t>
      </w:r>
      <w:r>
        <w:rPr>
          <w:rFonts w:ascii="Times New Roman" w:eastAsia="Times New Roman" w:hAnsi="Times New Roman" w:cs="Times New Roman"/>
          <w:b w:val="0"/>
          <w:i w:val="0"/>
          <w:color w:val="000000"/>
          <w:sz w:val="20"/>
          <w:u w:val="none"/>
        </w:rPr>
        <w:t xml:space="preserve"> and the remaining portion is recorded as </w:t>
      </w:r>
      <w:r>
        <w:rPr>
          <w:rFonts w:ascii="Times New Roman" w:eastAsia="Times New Roman" w:hAnsi="Times New Roman" w:cs="Times New Roman"/>
          <w:b w:val="0"/>
          <w:i w:val="0"/>
          <w:color w:val="000000"/>
          <w:sz w:val="20"/>
          <w:u w:val="none"/>
        </w:rPr>
        <w:t>other long-term liabilities</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color w:val="000000"/>
          <w:sz w:val="20"/>
          <w:u w:val="none"/>
        </w:rPr>
        <w:t>Costs to Obtain or Fulfill a Customer Contract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w:t>
      </w:r>
      <w:r>
        <w:rPr>
          <w:rFonts w:ascii="Times New Roman" w:eastAsia="Times New Roman" w:hAnsi="Times New Roman" w:cs="Times New Roman"/>
          <w:b w:val="0"/>
          <w:i w:val="0"/>
          <w:color w:val="000000"/>
          <w:sz w:val="20"/>
          <w:u w:val="none"/>
        </w:rPr>
        <w:t xml:space="preserv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w:t>
      </w:r>
      <w:r>
        <w:rPr>
          <w:rFonts w:ascii="Times New Roman" w:eastAsia="Times New Roman" w:hAnsi="Times New Roman" w:cs="Times New Roman"/>
          <w:b w:val="0"/>
          <w:i w:val="0"/>
          <w:color w:val="000000"/>
          <w:sz w:val="20"/>
          <w:u w:val="none"/>
        </w:rPr>
        <w:t>cost of revenues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Recently Adopted Accounting Pronouncements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None.</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Recent Accounting Standards or Updates Not Yet Effective</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In November 2023, the Financial Accounting Standards Board ("FASB") issued Accounting Standard Updated ("ASU") 2023-07, Improvements to Reportable Segment Disclosures. ASU 2023-07 requires disclosure of significant segment expenses that are regularly provided to the chief operating decision maker (“CODM”) and included within the segment measure of profit or loss, an amount and description of its composition for other segment items to reconcile to segment profit or loss, and the title and position of the entity’s CODM. ASU 2023-07 will be applied retrospectively and is effective for annual reporting periods in fiscal years beginning after </w:t>
      </w:r>
      <w:r>
        <w:rPr>
          <w:rFonts w:ascii="Times New Roman" w:eastAsia="Times New Roman" w:hAnsi="Times New Roman" w:cs="Times New Roman"/>
          <w:b w:val="0"/>
          <w:i w:val="0"/>
          <w:color w:val="000000"/>
          <w:sz w:val="20"/>
          <w:u w:val="none"/>
        </w:rPr>
        <w:t>December 15, 2023</w:t>
      </w:r>
      <w:r>
        <w:rPr>
          <w:rFonts w:ascii="Times New Roman" w:eastAsia="Times New Roman" w:hAnsi="Times New Roman" w:cs="Times New Roman"/>
          <w:b w:val="0"/>
          <w:i w:val="0"/>
          <w:color w:val="000000"/>
          <w:sz w:val="20"/>
          <w:u w:val="none"/>
        </w:rPr>
        <w:t xml:space="preserve">, and interim reporting periods in fiscal years beginning after </w:t>
      </w:r>
      <w:r>
        <w:rPr>
          <w:rFonts w:ascii="Times New Roman" w:eastAsia="Times New Roman" w:hAnsi="Times New Roman" w:cs="Times New Roman"/>
          <w:b w:val="0"/>
          <w:i w:val="0"/>
          <w:color w:val="000000"/>
          <w:sz w:val="20"/>
          <w:u w:val="none"/>
        </w:rPr>
        <w:t>December 31, 2024</w:t>
      </w:r>
      <w:r>
        <w:rPr>
          <w:rFonts w:ascii="Times New Roman" w:eastAsia="Times New Roman" w:hAnsi="Times New Roman" w:cs="Times New Roman"/>
          <w:b w:val="0"/>
          <w:i w:val="0"/>
          <w:color w:val="000000"/>
          <w:sz w:val="20"/>
          <w:u w:val="none"/>
        </w:rPr>
        <w:t>. The Company is currently reviewing the impact that the adoption of ASU 2023-07 may have on its Condensed Consolidated Financial Statements and disclosures.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In December 2023, the FASB issued ASU 2023-09 Income Taxes (Topic 740): Improvements to Income Tax Disclosures. ASU 2023-09 requires public companies to annually (1) disclose specific categories in the rate reconciliation and (2) provide additional information for reconciling items that meet a quantitative threshold (if the effect of those reconciling items is equal to or greater than 5 percent of the amount computed by multiplying pretax income or loss by the applicable statutory income tax rate). ASU 2023-09 will be effective for the annual reporting periods in fiscal years beginning after </w:t>
      </w:r>
      <w:r>
        <w:rPr>
          <w:rFonts w:ascii="Times New Roman" w:eastAsia="Times New Roman" w:hAnsi="Times New Roman" w:cs="Times New Roman"/>
          <w:b w:val="0"/>
          <w:i w:val="0"/>
          <w:color w:val="000000"/>
          <w:sz w:val="20"/>
          <w:u w:val="none"/>
        </w:rPr>
        <w:t>December 15, 2024</w:t>
      </w:r>
      <w:r>
        <w:rPr>
          <w:rFonts w:ascii="Times New Roman" w:eastAsia="Times New Roman" w:hAnsi="Times New Roman" w:cs="Times New Roman"/>
          <w:b w:val="0"/>
          <w:i w:val="0"/>
          <w:color w:val="000000"/>
          <w:sz w:val="20"/>
          <w:u w:val="none"/>
        </w:rPr>
        <w:t>. The Company is currently evaluating ASU 2023-09 and does not expect it to have a material effect on its Condensed Consolidated Financial Statements and disclosures.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sectPr>
          <w:headerReference w:type="default" r:id="rId20"/>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both"/>
        <w:outlineLvl w:val="3"/>
        <w:rPr>
          <w:rFonts w:ascii="Times New Roman" w:eastAsia="Times New Roman" w:hAnsi="Times New Roman" w:cs="Times New Roman"/>
          <w:b/>
          <w:i w:val="0"/>
          <w:sz w:val="20"/>
        </w:rPr>
      </w:pPr>
      <w:bookmarkStart w:id="15" w:name="Section16"/>
      <w:bookmarkEnd w:id="15"/>
      <w:r>
        <w:rPr>
          <w:rFonts w:ascii="Times New Roman" w:eastAsia="Times New Roman" w:hAnsi="Times New Roman" w:cs="Times New Roman"/>
          <w:b/>
          <w:i w:val="0"/>
          <w:color w:val="000000"/>
          <w:sz w:val="20"/>
          <w:u w:val="none"/>
        </w:rPr>
        <w:t>2</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REVENUE RECOGNITION</w:t>
      </w:r>
    </w:p>
    <w:p>
      <w:pPr>
        <w:keepNext/>
        <w:keepLines/>
        <w:pageBreakBefore w:val="0"/>
        <w:widowControl w:val="0"/>
        <w:numPr>
          <w:ilvl w:val="0"/>
          <w:numId w:val="0"/>
        </w:numPr>
        <w:spacing w:before="240" w:after="0" w:line="288" w:lineRule="auto"/>
        <w:ind w:left="0" w:right="0" w:firstLine="0"/>
        <w:jc w:val="both"/>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Disaggregation of Revenue</w:t>
      </w:r>
    </w:p>
    <w:p>
      <w:pPr>
        <w:keepNext w:val="0"/>
        <w:keepLines/>
        <w:pageBreakBefore w:val="0"/>
        <w:widowControl w:val="0"/>
        <w:numPr>
          <w:ilvl w:val="0"/>
          <w:numId w:val="0"/>
        </w:numPr>
        <w:spacing w:before="120" w:after="0" w:line="288" w:lineRule="auto"/>
        <w:ind w:left="0" w:right="0" w:firstLine="0"/>
        <w:jc w:val="both"/>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Revenue is disaggregated from contracts by geographic region, country, and by reportable operating segment, which the Company believes best depicts how the nature, amount, timing, and uncertainty of revenues and cash flows are affected by economic factors.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Our products are sold in three geographic regions: the Americas, EMEA, and APAC. The Americas includes North America (primarily the United States) and Latin America. EMEA includes Europe, the Middle East, India, and Africa. APAC includes Asia (other than India) and Australia. Revenues by region and country are based on the known final destination of products sold.</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following table disaggregates the Company’s revenue </w:t>
      </w:r>
      <w:r>
        <w:rPr>
          <w:rFonts w:ascii="Times New Roman" w:eastAsia="Times New Roman" w:hAnsi="Times New Roman" w:cs="Times New Roman"/>
          <w:b w:val="0"/>
          <w:i w:val="0"/>
          <w:color w:val="000000"/>
          <w:sz w:val="20"/>
          <w:u w:val="none"/>
        </w:rPr>
        <w:t>by geographic region:</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80"/>
        <w:gridCol w:w="1560"/>
        <w:gridCol w:w="75"/>
        <w:gridCol w:w="1560"/>
        <w:gridCol w:w="180"/>
        <w:gridCol w:w="1485"/>
        <w:gridCol w:w="75"/>
        <w:gridCol w:w="1485"/>
      </w:tblGrid>
      <w:tr>
        <w:tblPrEx>
          <w:tblW w:w="10800" w:type="dxa"/>
          <w:tblInd w:w="0" w:type="dxa"/>
          <w:tblLayout w:type="fixed"/>
        </w:tblPrEx>
        <w:trPr>
          <w:cantSplit/>
          <w:trHeight w:hRule="exact" w:val="300"/>
        </w:trPr>
        <w:tc>
          <w:tcPr>
            <w:tcW w:w="43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438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Americas</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71.0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70.2</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204.8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200.8</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EMEA</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69.6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70.9</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201.7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208.6</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APAC</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62.4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68.0</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209.2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195.9</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120"/>
              <w:jc w:val="left"/>
            </w:pPr>
            <w:r>
              <w:rPr>
                <w:rFonts w:ascii="Times New Roman" w:eastAsia="Times New Roman" w:hAnsi="Times New Roman" w:cs="Times New Roman"/>
                <w:b w:val="0"/>
                <w:i w:val="0"/>
                <w:color w:val="000000"/>
                <w:sz w:val="18"/>
                <w:u w:val="none"/>
              </w:rPr>
              <w:t>Total revenues, net</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203.0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209.1</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615.7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605.3</w:t>
              <w:tab/>
            </w:r>
          </w:p>
        </w:tc>
      </w:tr>
    </w:tbl>
    <w:p>
      <w:pPr>
        <w:keepNext/>
        <w:keepLines w:val="0"/>
        <w:pageBreakBefore w:val="0"/>
        <w:widowControl/>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disaggregates t</w:t>
      </w:r>
      <w:r>
        <w:rPr>
          <w:rFonts w:ascii="Times New Roman" w:eastAsia="Times New Roman" w:hAnsi="Times New Roman" w:cs="Times New Roman"/>
          <w:b w:val="0"/>
          <w:i w:val="0"/>
          <w:color w:val="000000"/>
          <w:sz w:val="20"/>
          <w:u w:val="none"/>
        </w:rPr>
        <w:t xml:space="preserve">he Company’s revenue </w:t>
      </w:r>
      <w:r>
        <w:rPr>
          <w:rFonts w:ascii="Times New Roman" w:eastAsia="Times New Roman" w:hAnsi="Times New Roman" w:cs="Times New Roman"/>
          <w:b w:val="0"/>
          <w:i w:val="0"/>
          <w:color w:val="000000"/>
          <w:sz w:val="20"/>
          <w:u w:val="none"/>
        </w:rPr>
        <w:t>by country:</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80"/>
        <w:gridCol w:w="1560"/>
        <w:gridCol w:w="75"/>
        <w:gridCol w:w="1560"/>
        <w:gridCol w:w="180"/>
        <w:gridCol w:w="1485"/>
        <w:gridCol w:w="75"/>
        <w:gridCol w:w="1485"/>
      </w:tblGrid>
      <w:tr>
        <w:tblPrEx>
          <w:tblW w:w="10800" w:type="dxa"/>
          <w:tblInd w:w="0" w:type="dxa"/>
          <w:tblLayout w:type="fixed"/>
        </w:tblPrEx>
        <w:trPr>
          <w:cantSplit/>
          <w:trHeight w:hRule="exact" w:val="300"/>
        </w:trPr>
        <w:tc>
          <w:tcPr>
            <w:tcW w:w="43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300"/>
        </w:trPr>
        <w:tc>
          <w:tcPr>
            <w:tcW w:w="438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United States</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63.3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68.0</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189.4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192.7</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Japan</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30.0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36.4</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106.0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44"/>
                <w:tab w:val="left" w:pos="1417"/>
              </w:tabs>
              <w:spacing w:before="75" w:after="30" w:line="240" w:lineRule="auto"/>
              <w:jc w:val="right"/>
            </w:pPr>
            <w:r>
              <w:rPr>
                <w:rFonts w:ascii="Times New Roman" w:eastAsia="Times New Roman" w:hAnsi="Times New Roman" w:cs="Times New Roman"/>
                <w:b w:val="0"/>
                <w:i w:val="0"/>
                <w:color w:val="000000"/>
                <w:sz w:val="18"/>
                <w:u w:val="none"/>
              </w:rPr>
              <w:tab/>
              <w:t>99.2</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China</w:t>
            </w: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30.2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29.2</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44"/>
                <w:tab w:val="left" w:pos="1417"/>
              </w:tabs>
              <w:spacing w:before="75" w:after="30" w:line="240" w:lineRule="auto"/>
              <w:jc w:val="right"/>
            </w:pPr>
            <w:r>
              <w:rPr>
                <w:rFonts w:ascii="Times New Roman" w:eastAsia="Times New Roman" w:hAnsi="Times New Roman" w:cs="Times New Roman"/>
                <w:b w:val="0"/>
                <w:i w:val="0"/>
                <w:color w:val="000000"/>
                <w:sz w:val="18"/>
                <w:u w:val="none"/>
              </w:rPr>
              <w:tab/>
              <w:t>96.2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44"/>
                <w:tab w:val="left" w:pos="1417"/>
              </w:tabs>
              <w:spacing w:before="75" w:after="30" w:line="240" w:lineRule="auto"/>
              <w:jc w:val="right"/>
            </w:pPr>
            <w:r>
              <w:rPr>
                <w:rFonts w:ascii="Times New Roman" w:eastAsia="Times New Roman" w:hAnsi="Times New Roman" w:cs="Times New Roman"/>
                <w:b w:val="0"/>
                <w:i w:val="0"/>
                <w:color w:val="000000"/>
                <w:sz w:val="18"/>
                <w:u w:val="none"/>
              </w:rPr>
              <w:tab/>
              <w:t>86.7</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color w:val="000000"/>
                <w:sz w:val="18"/>
                <w:u w:val="none"/>
              </w:rPr>
              <w:t>Other</w:t>
            </w:r>
            <w:r>
              <w:rPr>
                <w:rFonts w:ascii="Times New Roman" w:eastAsia="Times New Roman" w:hAnsi="Times New Roman" w:cs="Times New Roman"/>
                <w:b w:val="0"/>
                <w:i w:val="0"/>
                <w:sz w:val="18"/>
                <w:vertAlign w:val="superscript"/>
              </w:rPr>
              <w:t>(1)</w:t>
            </w: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79.5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75.5</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224.1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54"/>
                <w:tab w:val="left" w:pos="1417"/>
              </w:tabs>
              <w:spacing w:before="75" w:after="30" w:line="240" w:lineRule="auto"/>
              <w:jc w:val="right"/>
            </w:pPr>
            <w:r>
              <w:rPr>
                <w:rFonts w:ascii="Times New Roman" w:eastAsia="Times New Roman" w:hAnsi="Times New Roman" w:cs="Times New Roman"/>
                <w:b w:val="0"/>
                <w:i w:val="0"/>
                <w:color w:val="000000"/>
                <w:sz w:val="18"/>
                <w:u w:val="none"/>
              </w:rPr>
              <w:tab/>
              <w:t>226.7</w:t>
              <w:tab/>
            </w:r>
          </w:p>
        </w:tc>
      </w:tr>
      <w:tr>
        <w:tblPrEx>
          <w:tblW w:w="10800" w:type="dxa"/>
          <w:tblInd w:w="0" w:type="dxa"/>
          <w:tblLayout w:type="fixed"/>
        </w:tblPrEx>
        <w:trPr>
          <w:cantSplit/>
          <w:trHeight w:hRule="exact" w:val="300"/>
        </w:trPr>
        <w:tc>
          <w:tcPr>
            <w:tcW w:w="438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120"/>
              <w:jc w:val="left"/>
            </w:pPr>
            <w:r>
              <w:rPr>
                <w:rFonts w:ascii="Times New Roman" w:eastAsia="Times New Roman" w:hAnsi="Times New Roman" w:cs="Times New Roman"/>
                <w:b w:val="0"/>
                <w:i w:val="0"/>
                <w:color w:val="000000"/>
                <w:sz w:val="18"/>
                <w:u w:val="none"/>
              </w:rPr>
              <w:t>Total revenues, net</w:t>
            </w: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209.1</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615.7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95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605.3</w:t>
              <w:tab/>
            </w:r>
          </w:p>
        </w:tc>
      </w:tr>
    </w:tbl>
    <w:p>
      <w:pPr>
        <w:keepNext w:val="0"/>
        <w:keepLines/>
        <w:pageBreakBefore w:val="0"/>
        <w:widowControl w:val="0"/>
        <w:numPr>
          <w:ilvl w:val="0"/>
          <w:numId w:val="0"/>
        </w:numPr>
        <w:spacing w:before="100" w:after="0" w:line="288" w:lineRule="auto"/>
        <w:ind w:left="0" w:right="0" w:firstLine="0"/>
        <w:jc w:val="left"/>
        <w:outlineLvl w:val="9"/>
        <w:rPr>
          <w:rFonts w:ascii="Times New Roman" w:eastAsia="Times New Roman" w:hAnsi="Times New Roman" w:cs="Times New Roman"/>
          <w:b/>
          <w:i w:val="0"/>
          <w:color w:val="000000"/>
          <w:sz w:val="18"/>
          <w:u w:val="none"/>
          <w:vertAlign w:val="superscript"/>
        </w:rPr>
      </w:pPr>
      <w:r>
        <w:rPr>
          <w:rFonts w:ascii="Times New Roman" w:eastAsia="Times New Roman" w:hAnsi="Times New Roman" w:cs="Times New Roman"/>
          <w:b w:val="0"/>
          <w:i w:val="0"/>
          <w:color w:val="000000"/>
          <w:sz w:val="18"/>
          <w:u w:val="none"/>
          <w:vertAlign w:val="superscript"/>
        </w:rPr>
        <w:t>(1)</w:t>
      </w:r>
      <w:r>
        <w:rPr>
          <w:rFonts w:ascii="Times New Roman" w:eastAsia="Times New Roman" w:hAnsi="Times New Roman" w:cs="Times New Roman"/>
          <w:b w:val="0"/>
          <w:i w:val="0"/>
          <w:color w:val="000000"/>
          <w:sz w:val="18"/>
          <w:u w:val="none"/>
        </w:rPr>
        <w:t xml:space="preserve"> No individual country included in the other category generated more than 10% of total </w:t>
      </w:r>
      <w:r>
        <w:rPr>
          <w:rFonts w:ascii="Times New Roman" w:eastAsia="Times New Roman" w:hAnsi="Times New Roman" w:cs="Times New Roman"/>
          <w:b w:val="0"/>
          <w:i w:val="0"/>
          <w:color w:val="000000"/>
          <w:sz w:val="18"/>
          <w:u w:val="none"/>
        </w:rPr>
        <w:t>revenues, net</w:t>
      </w:r>
      <w:r>
        <w:rPr>
          <w:rFonts w:ascii="Times New Roman" w:eastAsia="Times New Roman" w:hAnsi="Times New Roman" w:cs="Times New Roman"/>
          <w:b w:val="0"/>
          <w:i w:val="0"/>
          <w:color w:val="000000"/>
          <w:sz w:val="18"/>
          <w:u w:val="none"/>
        </w:rPr>
        <w: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Refer to Note </w:t>
      </w:r>
      <w:r>
        <w:rPr>
          <w:rFonts w:ascii="Times New Roman" w:eastAsia="Times New Roman" w:hAnsi="Times New Roman" w:cs="Times New Roman"/>
          <w:b w:val="0"/>
          <w:i w:val="0"/>
          <w:color w:val="000000"/>
          <w:sz w:val="20"/>
          <w:u w:val="none"/>
        </w:rPr>
        <w:t>15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Segment Information</w:t>
      </w:r>
      <w:r>
        <w:rPr>
          <w:rFonts w:ascii="Times New Roman" w:eastAsia="Times New Roman" w:hAnsi="Times New Roman" w:cs="Times New Roman"/>
          <w:b w:val="0"/>
          <w:i w:val="0"/>
          <w:color w:val="000000"/>
          <w:sz w:val="20"/>
          <w:u w:val="none"/>
        </w:rPr>
        <w:t>, for the disaggregation of the Company’s revenue based on reportable operating segments.</w:t>
      </w:r>
    </w:p>
    <w:p>
      <w:pPr>
        <w:keepNext/>
        <w:keepLines/>
        <w:pageBreakBefore w:val="0"/>
        <w:widowControl w:val="0"/>
        <w:numPr>
          <w:ilvl w:val="0"/>
          <w:numId w:val="0"/>
        </w:numPr>
        <w:spacing w:before="240" w:after="0" w:line="288" w:lineRule="auto"/>
        <w:ind w:left="0" w:right="0" w:firstLine="0"/>
        <w:jc w:val="both"/>
        <w:outlineLvl w:val="9"/>
        <w:rPr>
          <w:rFonts w:ascii="Times New Roman" w:eastAsia="Times New Roman" w:hAnsi="Times New Roman" w:cs="Times New Roman"/>
          <w:b/>
          <w:i/>
          <w:color w:val="000000"/>
          <w:sz w:val="20"/>
          <w:u w:val="none"/>
          <w:vertAlign w:val="superscript"/>
        </w:rPr>
      </w:pPr>
      <w:r>
        <w:rPr>
          <w:rFonts w:ascii="Times New Roman" w:eastAsia="Times New Roman" w:hAnsi="Times New Roman" w:cs="Times New Roman"/>
          <w:b/>
          <w:i/>
          <w:color w:val="000000"/>
          <w:sz w:val="20"/>
          <w:u w:val="none"/>
        </w:rPr>
        <w:t>Right of Return Assets and Refund Liabilities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shd w:val="clear" w:color="auto" w:fill="FFFF00"/>
          <w:vertAlign w:val="superscript"/>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Right of return assets are included within the </w:t>
      </w:r>
      <w:r>
        <w:rPr>
          <w:rFonts w:ascii="Times New Roman" w:eastAsia="Times New Roman" w:hAnsi="Times New Roman" w:cs="Times New Roman"/>
          <w:b w:val="0"/>
          <w:i w:val="0"/>
          <w:color w:val="000000"/>
          <w:sz w:val="20"/>
          <w:u w:val="none"/>
        </w:rPr>
        <w:t>prepaid expenses and other current assets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balances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Refund liabilities are included within the </w:t>
      </w:r>
      <w:r>
        <w:rPr>
          <w:rFonts w:ascii="Times New Roman" w:eastAsia="Times New Roman" w:hAnsi="Times New Roman" w:cs="Times New Roman"/>
          <w:b w:val="0"/>
          <w:i w:val="0"/>
          <w:color w:val="000000"/>
          <w:sz w:val="20"/>
          <w:u w:val="none"/>
        </w:rPr>
        <w:t>accrued liabilities and other current liabilities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long-term liabilities</w:t>
      </w:r>
      <w:r>
        <w:rPr>
          <w:rFonts w:ascii="Times New Roman" w:eastAsia="Times New Roman" w:hAnsi="Times New Roman" w:cs="Times New Roman"/>
          <w:b w:val="0"/>
          <w:i w:val="0"/>
          <w:color w:val="000000"/>
          <w:sz w:val="20"/>
          <w:u w:val="none"/>
        </w:rPr>
        <w:t xml:space="preserve"> balances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The following table summarizes the changes in the right of return assets and refund liabilities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Right of Return Assets</w:t>
            </w:r>
          </w:p>
        </w:tc>
      </w:tr>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90" w:hanging="90"/>
              <w:jc w:val="left"/>
            </w:pPr>
            <w:r>
              <w:rPr>
                <w:rFonts w:ascii="Times New Roman" w:eastAsia="Times New Roman" w:hAnsi="Times New Roman" w:cs="Times New Roman"/>
                <w:b w:val="0"/>
                <w:i w:val="0"/>
                <w:color w:val="000000"/>
                <w:sz w:val="18"/>
                <w:u w:val="none"/>
              </w:rPr>
              <w:t>Balance at beginning of period</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25.2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26.0</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40" w:hanging="90"/>
              <w:jc w:val="left"/>
            </w:pPr>
            <w:r>
              <w:rPr>
                <w:rFonts w:ascii="Times New Roman" w:eastAsia="Times New Roman" w:hAnsi="Times New Roman" w:cs="Times New Roman"/>
                <w:b w:val="0"/>
                <w:i w:val="0"/>
                <w:color w:val="000000"/>
                <w:sz w:val="18"/>
                <w:u w:val="none"/>
              </w:rPr>
              <w:t>Costs recovered from product returns during the period</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(5.2)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(5.3)</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hanging="90"/>
              <w:jc w:val="left"/>
            </w:pPr>
            <w:r>
              <w:rPr>
                <w:rFonts w:ascii="Times New Roman" w:eastAsia="Times New Roman" w:hAnsi="Times New Roman" w:cs="Times New Roman"/>
                <w:b w:val="0"/>
                <w:i w:val="0"/>
                <w:color w:val="000000"/>
                <w:sz w:val="18"/>
                <w:u w:val="none"/>
              </w:rPr>
              <w:t>Right of return assets from shipments of products subject to return during the period</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4.4</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90"/>
              <w:jc w:val="left"/>
            </w:pPr>
            <w:r>
              <w:rPr>
                <w:rFonts w:ascii="Times New Roman" w:eastAsia="Times New Roman" w:hAnsi="Times New Roman" w:cs="Times New Roman"/>
                <w:b w:val="0"/>
                <w:i w:val="0"/>
                <w:color w:val="000000"/>
                <w:sz w:val="18"/>
                <w:u w:val="none"/>
              </w:rPr>
              <w:t>Adjustment for actual vs. reserved product returns</w:t>
            </w: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0.5</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90" w:hanging="90"/>
              <w:jc w:val="left"/>
            </w:pPr>
            <w:r>
              <w:rPr>
                <w:rFonts w:ascii="Times New Roman" w:eastAsia="Times New Roman" w:hAnsi="Times New Roman" w:cs="Times New Roman"/>
                <w:b w:val="0"/>
                <w:i w:val="0"/>
                <w:color w:val="000000"/>
                <w:sz w:val="18"/>
                <w:u w:val="none"/>
              </w:rPr>
              <w:t>Balance at end of period</w:t>
            </w: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25.0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25.6</w:t>
              <w:tab/>
            </w:r>
          </w:p>
        </w:tc>
      </w:tr>
    </w:tbl>
    <w:p>
      <w:pPr>
        <w:keepNext w:val="0"/>
        <w:keepLines w:val="0"/>
        <w:pageBreakBefore w:val="0"/>
        <w:widowControl/>
        <w:numPr>
          <w:ilvl w:val="0"/>
          <w:numId w:val="0"/>
        </w:numPr>
        <w:spacing w:before="120" w:after="0" w:line="288" w:lineRule="auto"/>
        <w:ind w:left="0" w:right="0" w:firstLine="0"/>
        <w:jc w:val="center"/>
        <w:outlineLvl w:val="9"/>
        <w:rPr>
          <w:rFonts w:ascii="Times New Roman" w:eastAsia="Times New Roman" w:hAnsi="Times New Roman" w:cs="Times New Roman"/>
          <w:b w:val="0"/>
          <w:i w:val="0"/>
          <w:color w:val="000000"/>
          <w:sz w:val="10"/>
          <w:u w:val="non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Layout w:type="fixed"/>
        </w:tblPrEx>
        <w:trPr>
          <w:cantSplit/>
          <w:trHeight w:hRule="exact" w:val="300"/>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Refund Liabilities</w:t>
            </w:r>
          </w:p>
        </w:tc>
      </w:tr>
      <w:tr>
        <w:tblPrEx>
          <w:tblW w:w="10800" w:type="dxa"/>
          <w:tblLayout w:type="fixed"/>
        </w:tblPrEx>
        <w:trPr>
          <w:cantSplit/>
          <w:trHeight w:hRule="exact" w:val="300"/>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Layout w:type="fixed"/>
        </w:tblPrEx>
        <w:trPr>
          <w:cantSplit/>
          <w:trHeight w:hRule="exact" w:val="300"/>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90" w:hanging="90"/>
              <w:jc w:val="left"/>
            </w:pPr>
            <w:r>
              <w:rPr>
                <w:rFonts w:ascii="Times New Roman" w:eastAsia="Times New Roman" w:hAnsi="Times New Roman" w:cs="Times New Roman"/>
                <w:b w:val="0"/>
                <w:i w:val="0"/>
                <w:color w:val="000000"/>
                <w:sz w:val="18"/>
                <w:u w:val="none"/>
              </w:rPr>
              <w:t>Balance at beginning of period</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28.0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28.9</w:t>
              <w:tab/>
            </w:r>
          </w:p>
        </w:tc>
      </w:tr>
      <w:tr>
        <w:tblPrEx>
          <w:tblW w:w="1080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90"/>
              <w:jc w:val="left"/>
            </w:pPr>
            <w:r>
              <w:rPr>
                <w:rFonts w:ascii="Times New Roman" w:eastAsia="Times New Roman" w:hAnsi="Times New Roman" w:cs="Times New Roman"/>
                <w:b w:val="0"/>
                <w:i w:val="0"/>
                <w:color w:val="000000"/>
                <w:sz w:val="18"/>
                <w:u w:val="none"/>
              </w:rPr>
              <w:t>Release of refund liability included in beginning of year refund liability</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(5.8)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(5.9)</w:t>
            </w:r>
          </w:p>
        </w:tc>
      </w:tr>
      <w:tr>
        <w:tblPrEx>
          <w:tblW w:w="1080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hanging="90"/>
              <w:jc w:val="left"/>
            </w:pPr>
            <w:r>
              <w:rPr>
                <w:rFonts w:ascii="Times New Roman" w:eastAsia="Times New Roman" w:hAnsi="Times New Roman" w:cs="Times New Roman"/>
                <w:b w:val="0"/>
                <w:i w:val="0"/>
                <w:color w:val="000000"/>
                <w:sz w:val="18"/>
                <w:u w:val="none"/>
              </w:rPr>
              <w:t>Additions to refund liabilities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5.4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4.9</w:t>
              <w:tab/>
            </w:r>
          </w:p>
        </w:tc>
      </w:tr>
      <w:tr>
        <w:tblPrEx>
          <w:tblW w:w="1080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90"/>
              <w:jc w:val="left"/>
            </w:pPr>
            <w:r>
              <w:rPr>
                <w:rFonts w:ascii="Times New Roman" w:eastAsia="Times New Roman" w:hAnsi="Times New Roman" w:cs="Times New Roman"/>
                <w:b w:val="0"/>
                <w:i w:val="0"/>
                <w:color w:val="000000"/>
                <w:sz w:val="18"/>
                <w:u w:val="none"/>
              </w:rPr>
              <w:t>Adjustment for actual vs. reserved product returns</w:t>
            </w: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0.5</w:t>
              <w:tab/>
            </w:r>
          </w:p>
        </w:tc>
      </w:tr>
      <w:tr>
        <w:tblPrEx>
          <w:tblW w:w="1080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90" w:hanging="90"/>
              <w:jc w:val="left"/>
            </w:pPr>
            <w:r>
              <w:rPr>
                <w:rFonts w:ascii="Times New Roman" w:eastAsia="Times New Roman" w:hAnsi="Times New Roman" w:cs="Times New Roman"/>
                <w:b w:val="0"/>
                <w:i w:val="0"/>
                <w:color w:val="000000"/>
                <w:sz w:val="18"/>
                <w:u w:val="none"/>
              </w:rPr>
              <w:t>Balance at end of period</w:t>
            </w: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27.8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28.4</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Contract Balances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shd w:val="clear" w:color="auto" w:fill="FFFF00"/>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color w:val="000000"/>
          <w:sz w:val="20"/>
          <w:u w:val="none"/>
        </w:rPr>
        <w:t xml:space="preserve">, the </w:t>
      </w:r>
      <w:r>
        <w:rPr>
          <w:rFonts w:ascii="Times New Roman" w:eastAsia="Times New Roman" w:hAnsi="Times New Roman" w:cs="Times New Roman"/>
          <w:b w:val="0"/>
          <w:i w:val="0"/>
          <w:color w:val="000000"/>
          <w:sz w:val="20"/>
          <w:u w:val="none"/>
        </w:rPr>
        <w:t xml:space="preserve">Company </w:t>
      </w:r>
      <w:r>
        <w:rPr>
          <w:rFonts w:ascii="Times New Roman" w:eastAsia="Times New Roman" w:hAnsi="Times New Roman" w:cs="Times New Roman"/>
          <w:b w:val="0"/>
          <w:i w:val="0"/>
          <w:color w:val="000000"/>
          <w:sz w:val="20"/>
          <w:u w:val="none"/>
        </w:rPr>
        <w:t xml:space="preserve">recognized revenue of </w:t>
      </w:r>
      <w:r>
        <w:rPr>
          <w:rFonts w:ascii="Times New Roman" w:eastAsia="Times New Roman" w:hAnsi="Times New Roman" w:cs="Times New Roman"/>
          <w:b w:val="0"/>
          <w:i w:val="0"/>
          <w:color w:val="000000"/>
          <w:sz w:val="20"/>
          <w:u w:val="none"/>
        </w:rPr>
        <w:t>$0.4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$7.5 million</w:t>
      </w:r>
      <w:r>
        <w:rPr>
          <w:rFonts w:ascii="Times New Roman" w:eastAsia="Times New Roman" w:hAnsi="Times New Roman" w:cs="Times New Roman"/>
          <w:b w:val="0"/>
          <w:i w:val="0"/>
          <w:color w:val="000000"/>
          <w:sz w:val="20"/>
          <w:u w:val="none"/>
        </w:rPr>
        <w:t xml:space="preserve">, respectively, related to </w:t>
      </w:r>
      <w:r>
        <w:rPr>
          <w:rFonts w:ascii="Times New Roman" w:eastAsia="Times New Roman" w:hAnsi="Times New Roman" w:cs="Times New Roman"/>
          <w:b w:val="0"/>
          <w:i w:val="0"/>
          <w:color w:val="000000"/>
          <w:sz w:val="20"/>
          <w:u w:val="none"/>
        </w:rPr>
        <w:t>deferred revenues</w:t>
      </w:r>
      <w:r>
        <w:rPr>
          <w:rFonts w:ascii="Times New Roman" w:eastAsia="Times New Roman" w:hAnsi="Times New Roman" w:cs="Times New Roman"/>
          <w:b w:val="0"/>
          <w:i w:val="0"/>
          <w:color w:val="000000"/>
          <w:sz w:val="20"/>
          <w:u w:val="none"/>
        </w:rPr>
        <w:t xml:space="preserve"> which existed at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During the </w:t>
      </w:r>
      <w:r>
        <w:rPr>
          <w:rFonts w:ascii="Times New Roman" w:eastAsia="Times New Roman" w:hAnsi="Times New Roman" w:cs="Times New Roman"/>
          <w:b w:val="0"/>
          <w:i w:val="0"/>
          <w:color w:val="000000"/>
          <w:sz w:val="20"/>
          <w:u w:val="none"/>
        </w:rPr>
        <w:t>three and nine months ended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recognized revenue of </w:t>
      </w:r>
      <w:r>
        <w:rPr>
          <w:rFonts w:ascii="Times New Roman" w:eastAsia="Times New Roman" w:hAnsi="Times New Roman" w:cs="Times New Roman"/>
          <w:b w:val="0"/>
          <w:i w:val="0"/>
          <w:color w:val="000000"/>
          <w:sz w:val="20"/>
          <w:u w:val="none"/>
        </w:rPr>
        <w:t>$1.3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$9.4 million</w:t>
      </w:r>
      <w:r>
        <w:rPr>
          <w:rFonts w:ascii="Times New Roman" w:eastAsia="Times New Roman" w:hAnsi="Times New Roman" w:cs="Times New Roman"/>
          <w:b w:val="0"/>
          <w:i w:val="0"/>
          <w:color w:val="000000"/>
          <w:sz w:val="20"/>
          <w:u w:val="none"/>
        </w:rPr>
        <w:t>, respectively,</w:t>
      </w:r>
      <w:r>
        <w:rPr>
          <w:rFonts w:ascii="Times New Roman" w:eastAsia="Times New Roman" w:hAnsi="Times New Roman" w:cs="Times New Roman"/>
          <w:b w:val="0"/>
          <w:i w:val="0"/>
          <w:color w:val="000000"/>
          <w:sz w:val="20"/>
          <w:u w:val="none"/>
        </w:rPr>
        <w:t xml:space="preserve"> related to </w:t>
      </w:r>
      <w:r>
        <w:rPr>
          <w:rFonts w:ascii="Times New Roman" w:eastAsia="Times New Roman" w:hAnsi="Times New Roman" w:cs="Times New Roman"/>
          <w:b w:val="0"/>
          <w:i w:val="0"/>
          <w:color w:val="000000"/>
          <w:sz w:val="20"/>
          <w:u w:val="none"/>
        </w:rPr>
        <w:t>deferred revenues</w:t>
      </w:r>
      <w:r>
        <w:rPr>
          <w:rFonts w:ascii="Times New Roman" w:eastAsia="Times New Roman" w:hAnsi="Times New Roman" w:cs="Times New Roman"/>
          <w:b w:val="0"/>
          <w:i w:val="0"/>
          <w:color w:val="000000"/>
          <w:sz w:val="20"/>
          <w:u w:val="none"/>
        </w:rPr>
        <w:t xml:space="preserve"> that existed at </w:t>
      </w:r>
      <w:r>
        <w:rPr>
          <w:rFonts w:ascii="Times New Roman" w:eastAsia="Times New Roman" w:hAnsi="Times New Roman" w:cs="Times New Roman"/>
          <w:b w:val="0"/>
          <w:i w:val="0"/>
          <w:color w:val="000000"/>
          <w:sz w:val="20"/>
          <w:u w:val="none"/>
        </w:rPr>
        <w:t>September 29, 2023</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rPr>
        <w:sectPr>
          <w:headerReference w:type="default" r:id="rId21"/>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color w:val="000000"/>
          <w:sz w:val="20"/>
          <w:u w:val="none"/>
          <w:shd w:val="clear" w:color="auto" w:fill="FFFFFF"/>
        </w:rPr>
      </w:pPr>
      <w:bookmarkStart w:id="16" w:name="Section17"/>
      <w:bookmarkEnd w:id="16"/>
      <w:r>
        <w:rPr>
          <w:rFonts w:ascii="Times New Roman" w:eastAsia="Times New Roman" w:hAnsi="Times New Roman" w:cs="Times New Roman"/>
          <w:b/>
          <w:i w:val="0"/>
          <w:color w:val="000000"/>
          <w:sz w:val="20"/>
          <w:u w:val="none"/>
          <w:shd w:val="clear" w:color="auto" w:fill="FFFFFF"/>
        </w:rPr>
        <w:t>3</w:t>
      </w:r>
      <w:r>
        <w:rPr>
          <w:rFonts w:ascii="Times New Roman" w:eastAsia="Times New Roman" w:hAnsi="Times New Roman" w:cs="Times New Roman"/>
          <w:b/>
          <w:i w:val="0"/>
          <w:color w:val="000000"/>
          <w:sz w:val="20"/>
          <w:u w:val="none"/>
          <w:shd w:val="clear" w:color="auto" w:fill="FFFFFF"/>
        </w:rPr>
        <w:t xml:space="preserve">. </w:t>
      </w:r>
      <w:r>
        <w:rPr>
          <w:rFonts w:ascii="Times New Roman" w:eastAsia="Times New Roman" w:hAnsi="Times New Roman" w:cs="Times New Roman"/>
          <w:b/>
          <w:i w:val="0"/>
          <w:color w:val="000000"/>
          <w:sz w:val="20"/>
          <w:u w:val="none"/>
          <w:shd w:val="clear" w:color="auto" w:fill="FFFFFF"/>
        </w:rPr>
        <w:t>LEASES</w:t>
      </w:r>
    </w:p>
    <w:p>
      <w:pPr>
        <w:keepNext w:val="0"/>
        <w:keepLines/>
        <w:pageBreakBefore w:val="0"/>
        <w:widowControl w:val="0"/>
        <w:numPr>
          <w:ilvl w:val="0"/>
          <w:numId w:val="0"/>
        </w:numPr>
        <w:spacing w:before="120" w:after="0" w:line="288" w:lineRule="auto"/>
        <w:ind w:left="0" w:right="0" w:firstLine="0"/>
        <w:jc w:val="left"/>
        <w:outlineLvl w:val="9"/>
        <w:rPr>
          <w:rFonts w:ascii="Arial" w:eastAsia="Arial" w:hAnsi="Arial" w:cs="Arial"/>
          <w:b/>
          <w:i w:val="0"/>
          <w:color w:val="000000"/>
          <w:sz w:val="16"/>
          <w:u w:val="none"/>
          <w:shd w:val="clear" w:color="auto" w:fill="FFFF00"/>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has operating and finance leases for office space, warehouse and manufacturing space, vehicles, and equipment. </w:t>
      </w:r>
      <w:r>
        <w:rPr>
          <w:rFonts w:ascii="Times New Roman" w:eastAsia="Times New Roman" w:hAnsi="Times New Roman" w:cs="Times New Roman"/>
          <w:b w:val="0"/>
          <w:i w:val="0"/>
          <w:color w:val="000000"/>
          <w:sz w:val="20"/>
          <w:u w:val="none"/>
        </w:rPr>
        <w:t>The following table presents supplemental balance sheet information related to the Company's operating and finance leases: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420"/>
        <w:gridCol w:w="3630"/>
        <w:gridCol w:w="75"/>
        <w:gridCol w:w="1800"/>
        <w:gridCol w:w="75"/>
        <w:gridCol w:w="1800"/>
      </w:tblGrid>
      <w:tr>
        <w:tblPrEx>
          <w:tblW w:w="10800" w:type="dxa"/>
          <w:tblInd w:w="0" w:type="dxa"/>
          <w:tblLayout w:type="fixed"/>
        </w:tblPrEx>
        <w:trPr>
          <w:cantSplit/>
          <w:trHeight w:hRule="exact" w:val="300"/>
        </w:trPr>
        <w:tc>
          <w:tcPr>
            <w:tcW w:w="342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363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Balance Sheet Location</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Assets</w:t>
            </w:r>
          </w:p>
        </w:tc>
        <w:tc>
          <w:tcPr>
            <w:tcW w:w="363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Operating lease right-of-use assets</w:t>
            </w:r>
          </w:p>
        </w:tc>
        <w:tc>
          <w:tcPr>
            <w:tcW w:w="36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color w:val="000000"/>
                <w:sz w:val="18"/>
                <w:u w:val="none"/>
              </w:rPr>
              <w:t>Operating lease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24.1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28.3</w:t>
              <w:tab/>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Finance lease right-of-use assets</w:t>
            </w:r>
          </w:p>
        </w:tc>
        <w:tc>
          <w:tcPr>
            <w:tcW w:w="36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color w:val="000000"/>
                <w:sz w:val="18"/>
                <w:u w:val="none"/>
              </w:rPr>
              <w:t>Property, plant, and equipment,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6.6</w:t>
              <w:tab/>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Liabilities</w:t>
            </w:r>
          </w:p>
        </w:tc>
        <w:tc>
          <w:tcPr>
            <w:tcW w:w="363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 xml:space="preserve">Operating lease liabilities (current) </w:t>
            </w:r>
          </w:p>
        </w:tc>
        <w:tc>
          <w:tcPr>
            <w:tcW w:w="36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color w:val="000000"/>
                <w:sz w:val="18"/>
                <w:u w:val="none"/>
              </w:rPr>
              <w:t>Current operating lease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 xml:space="preserve">Finance lease liabilities (current) </w:t>
            </w:r>
          </w:p>
        </w:tc>
        <w:tc>
          <w:tcPr>
            <w:tcW w:w="36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color w:val="000000"/>
                <w:sz w:val="18"/>
                <w:u w:val="none"/>
              </w:rPr>
              <w:t>Accrued liabilities and other 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Operating lease liabilities (non-current)</w:t>
            </w:r>
          </w:p>
        </w:tc>
        <w:tc>
          <w:tcPr>
            <w:tcW w:w="36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color w:val="000000"/>
                <w:sz w:val="18"/>
                <w:u w:val="none"/>
              </w:rPr>
              <w:t>Operating lease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19.4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23.0</w:t>
              <w:tab/>
            </w:r>
          </w:p>
        </w:tc>
      </w:tr>
      <w:tr>
        <w:tblPrEx>
          <w:tblW w:w="10800" w:type="dxa"/>
          <w:tblInd w:w="0" w:type="dxa"/>
          <w:tblLayout w:type="fixed"/>
        </w:tblPrEx>
        <w:trPr>
          <w:cantSplit/>
          <w:trHeight w:hRule="exact" w:val="300"/>
        </w:trPr>
        <w:tc>
          <w:tcPr>
            <w:tcW w:w="342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Finance lease liabilities (non-current)</w:t>
            </w:r>
          </w:p>
        </w:tc>
        <w:tc>
          <w:tcPr>
            <w:tcW w:w="363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color w:val="000000"/>
                <w:sz w:val="18"/>
                <w:u w:val="none"/>
              </w:rPr>
              <w:t>Other long-term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5.7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5.9</w:t>
              <w:tab/>
            </w:r>
          </w:p>
        </w:tc>
      </w:tr>
    </w:tbl>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provides information related to the Company’s operating and finance leases: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485"/>
        <w:gridCol w:w="1485"/>
        <w:gridCol w:w="75"/>
        <w:gridCol w:w="1560"/>
        <w:gridCol w:w="75"/>
        <w:gridCol w:w="1485"/>
        <w:gridCol w:w="75"/>
        <w:gridCol w:w="1560"/>
      </w:tblGrid>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120"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120"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48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Total operating lease costs</w:t>
            </w:r>
            <w:r>
              <w:rPr>
                <w:rFonts w:ascii="Times New Roman" w:eastAsia="Times New Roman" w:hAnsi="Times New Roman" w:cs="Times New Roman"/>
                <w:b w:val="0"/>
                <w:i w:val="0"/>
                <w:sz w:val="18"/>
                <w:vertAlign w:val="superscript"/>
              </w:rPr>
              <w:t>(1)</w:t>
            </w:r>
          </w:p>
        </w:tc>
        <w:tc>
          <w:tcPr>
            <w:tcW w:w="14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27"/>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2"/>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4.7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4.7</w:t>
              <w:tab/>
            </w:r>
          </w:p>
        </w:tc>
      </w:tr>
      <w:tr>
        <w:tblPrEx>
          <w:tblW w:w="10800" w:type="dxa"/>
          <w:tblInd w:w="0" w:type="dxa"/>
          <w:tblLayout w:type="fixed"/>
        </w:tblPrEx>
        <w:trPr>
          <w:cantSplit/>
          <w:trHeight w:hRule="exact" w:val="315"/>
        </w:trPr>
        <w:tc>
          <w:tcPr>
            <w:tcW w:w="44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Total finance lease costs</w:t>
            </w: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27"/>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0.4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2"/>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1.1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0.2</w:t>
              <w:tab/>
            </w:r>
          </w:p>
        </w:tc>
      </w:tr>
      <w:tr>
        <w:tblPrEx>
          <w:tblW w:w="10800" w:type="dxa"/>
          <w:tblInd w:w="0" w:type="dxa"/>
          <w:tblLayout w:type="fixed"/>
        </w:tblPrEx>
        <w:trPr>
          <w:cantSplit/>
          <w:trHeight w:hRule="exact" w:val="315"/>
        </w:trPr>
        <w:tc>
          <w:tcPr>
            <w:tcW w:w="44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Operating cash flows from operating leases</w:t>
            </w: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27"/>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2"/>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4.5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4.4</w:t>
              <w:tab/>
            </w: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Operating cash flows from finance leases</w:t>
            </w: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7"/>
                <w:tab w:val="left" w:pos="1417"/>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47"/>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0.3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4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Financing cash flows from finance leases</w:t>
            </w: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27"/>
                <w:tab w:val="left" w:pos="1417"/>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2"/>
                <w:tab w:val="left" w:pos="1492"/>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0.5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465"/>
        </w:trPr>
        <w:tc>
          <w:tcPr>
            <w:tcW w:w="4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90"/>
              <w:jc w:val="left"/>
            </w:pPr>
            <w:r>
              <w:rPr>
                <w:rFonts w:ascii="Times New Roman" w:eastAsia="Times New Roman" w:hAnsi="Times New Roman" w:cs="Times New Roman"/>
                <w:b/>
                <w:i w:val="0"/>
                <w:color w:val="000000"/>
                <w:sz w:val="18"/>
                <w:u w:val="none"/>
              </w:rPr>
              <w:t>Total cash paid for amounts included in the measurement of lease liabilities</w:t>
            </w:r>
          </w:p>
        </w:tc>
        <w:tc>
          <w:tcPr>
            <w:tcW w:w="14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27"/>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2"/>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5.3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4.8</w:t>
              <w:tab/>
            </w:r>
          </w:p>
        </w:tc>
      </w:tr>
      <w:tr>
        <w:tblPrEx>
          <w:tblW w:w="10800" w:type="dxa"/>
          <w:tblInd w:w="0" w:type="dxa"/>
          <w:tblLayout w:type="fixed"/>
        </w:tblPrEx>
        <w:trPr>
          <w:cantSplit/>
          <w:trHeight w:hRule="exact" w:val="315"/>
        </w:trPr>
        <w:tc>
          <w:tcPr>
            <w:tcW w:w="44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465"/>
        </w:trPr>
        <w:tc>
          <w:tcPr>
            <w:tcW w:w="44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Noncash operating right-of-use assets obtained in exchange for new lease liabilities</w:t>
            </w: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7"/>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2"/>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w:t>
              <w:tab/>
              <w:t>1.0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4.7</w:t>
              <w:tab/>
            </w:r>
          </w:p>
        </w:tc>
      </w:tr>
      <w:tr>
        <w:tblPrEx>
          <w:tblW w:w="10800" w:type="dxa"/>
          <w:tblInd w:w="0" w:type="dxa"/>
          <w:tblLayout w:type="fixed"/>
        </w:tblPrEx>
        <w:trPr>
          <w:cantSplit/>
          <w:trHeight w:hRule="exact" w:val="465"/>
        </w:trPr>
        <w:tc>
          <w:tcPr>
            <w:tcW w:w="44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Noncash finance right-of-use assets obtained in exchange for new lease liabilities</w:t>
            </w: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72"/>
                <w:tab w:val="left" w:pos="141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2"/>
                <w:tab w:val="left" w:pos="1492"/>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34"/>
                <w:tab w:val="left" w:pos="1417"/>
              </w:tabs>
              <w:spacing w:before="75" w:after="30" w:line="240" w:lineRule="auto"/>
              <w:jc w:val="right"/>
            </w:pPr>
            <w:r>
              <w:rPr>
                <w:rFonts w:ascii="Times New Roman" w:eastAsia="Times New Roman" w:hAnsi="Times New Roman" w:cs="Times New Roman"/>
                <w:b w:val="0"/>
                <w:i w:val="0"/>
                <w:color w:val="000000"/>
                <w:sz w:val="18"/>
                <w:u w:val="none"/>
              </w:rPr>
              <w:tab/>
              <w:t>0.2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0.8</w:t>
              <w:tab/>
            </w:r>
          </w:p>
        </w:tc>
      </w:tr>
      <w:tr>
        <w:tblPrEx>
          <w:tblW w:w="10800" w:type="dxa"/>
          <w:tblInd w:w="0" w:type="dxa"/>
          <w:tblLayout w:type="fixed"/>
        </w:tblPrEx>
        <w:trPr>
          <w:cantSplit/>
          <w:trHeight w:hRule="exact" w:val="465"/>
        </w:trPr>
        <w:tc>
          <w:tcPr>
            <w:tcW w:w="448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90"/>
              <w:jc w:val="left"/>
            </w:pPr>
            <w:r>
              <w:rPr>
                <w:rFonts w:ascii="Times New Roman" w:eastAsia="Times New Roman" w:hAnsi="Times New Roman" w:cs="Times New Roman"/>
                <w:b/>
                <w:i w:val="0"/>
                <w:color w:val="000000"/>
                <w:sz w:val="18"/>
                <w:u w:val="none"/>
              </w:rPr>
              <w:t>Total right-of-use assets obtained in exchange for new lease liabilities</w:t>
            </w: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127"/>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2"/>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0.9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8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134"/>
                <w:tab w:val="left" w:pos="1417"/>
              </w:tabs>
              <w:spacing w:before="55" w:after="30" w:line="240" w:lineRule="auto"/>
              <w:jc w:val="right"/>
            </w:pPr>
            <w:r>
              <w:rPr>
                <w:rFonts w:ascii="Times New Roman" w:eastAsia="Times New Roman" w:hAnsi="Times New Roman" w:cs="Times New Roman"/>
                <w:b w:val="0"/>
                <w:i w:val="0"/>
                <w:color w:val="000000"/>
                <w:sz w:val="18"/>
                <w:u w:val="none"/>
              </w:rPr>
              <w:t>$</w:t>
              <w:tab/>
              <w:t>1.2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5.5</w:t>
              <w:tab/>
            </w:r>
          </w:p>
        </w:tc>
      </w:tr>
    </w:tbl>
    <w:p>
      <w:pPr>
        <w:keepNext w:val="0"/>
        <w:keepLines/>
        <w:pageBreakBefore w:val="0"/>
        <w:widowControl w:val="0"/>
        <w:numPr>
          <w:ilvl w:val="0"/>
          <w:numId w:val="0"/>
        </w:numPr>
        <w:spacing w:before="100" w:after="0" w:line="216" w:lineRule="exact"/>
        <w:ind w:left="0" w:right="0" w:firstLine="0"/>
        <w:jc w:val="left"/>
        <w:outlineLvl w:val="9"/>
        <w:rPr>
          <w:rFonts w:ascii="Times New Roman" w:eastAsia="Times New Roman" w:hAnsi="Times New Roman" w:cs="Times New Roman"/>
          <w:b/>
          <w:i w:val="0"/>
          <w:color w:val="000000"/>
          <w:sz w:val="18"/>
          <w:u w:val="none"/>
          <w:vertAlign w:val="superscript"/>
        </w:rPr>
      </w:pPr>
      <w:r>
        <w:rPr>
          <w:rFonts w:ascii="Times New Roman" w:eastAsia="Times New Roman" w:hAnsi="Times New Roman" w:cs="Times New Roman"/>
          <w:b w:val="0"/>
          <w:i w:val="0"/>
          <w:color w:val="000000"/>
          <w:sz w:val="18"/>
          <w:u w:val="none"/>
          <w:vertAlign w:val="superscript"/>
        </w:rPr>
        <w:t xml:space="preserve">(1) </w:t>
      </w:r>
      <w:r>
        <w:rPr>
          <w:rFonts w:ascii="Times New Roman" w:eastAsia="Times New Roman" w:hAnsi="Times New Roman" w:cs="Times New Roman"/>
          <w:b w:val="0"/>
          <w:i w:val="0"/>
          <w:color w:val="000000"/>
          <w:sz w:val="18"/>
          <w:u w:val="none"/>
        </w:rPr>
        <w:t xml:space="preserve">Includes variable and short-term lease expense which were immaterial for the </w:t>
      </w:r>
      <w:r>
        <w:rPr>
          <w:rFonts w:ascii="Times New Roman" w:eastAsia="Times New Roman" w:hAnsi="Times New Roman" w:cs="Times New Roman"/>
          <w:b w:val="0"/>
          <w:i w:val="0"/>
          <w:color w:val="000000"/>
          <w:sz w:val="18"/>
          <w:u w:val="none"/>
        </w:rPr>
        <w:t>three and nine months ended July 4, 2025</w:t>
      </w:r>
      <w:r>
        <w:rPr>
          <w:rFonts w:ascii="Times New Roman" w:eastAsia="Times New Roman" w:hAnsi="Times New Roman" w:cs="Times New Roman"/>
          <w:b w:val="0"/>
          <w:i w:val="0"/>
          <w:color w:val="000000"/>
          <w:sz w:val="18"/>
          <w:u w:val="none"/>
        </w:rPr>
        <w:t xml:space="preserve"> and </w:t>
      </w:r>
      <w:r>
        <w:rPr>
          <w:rFonts w:ascii="Times New Roman" w:eastAsia="Times New Roman" w:hAnsi="Times New Roman" w:cs="Times New Roman"/>
          <w:b w:val="0"/>
          <w:i w:val="0"/>
          <w:color w:val="000000"/>
          <w:sz w:val="18"/>
          <w:u w:val="none"/>
        </w:rPr>
        <w:t>June 28, 2024</w:t>
      </w:r>
      <w:r>
        <w:rPr>
          <w:rFonts w:ascii="Times New Roman" w:eastAsia="Times New Roman" w:hAnsi="Times New Roman" w:cs="Times New Roman"/>
          <w:b w:val="0"/>
          <w:i w:val="0"/>
          <w:color w:val="000000"/>
          <w:sz w:val="18"/>
          <w:u w:val="none"/>
        </w:rPr>
        <w:t>.</w:t>
      </w:r>
    </w:p>
    <w:p>
      <w:pPr>
        <w:keepNext w:val="0"/>
        <w:keepLines/>
        <w:pageBreakBefore w:val="0"/>
        <w:widowControl w:val="0"/>
        <w:numPr>
          <w:ilvl w:val="0"/>
          <w:numId w:val="0"/>
        </w:numPr>
        <w:spacing w:before="100" w:after="0" w:line="216" w:lineRule="exact"/>
        <w:ind w:left="0" w:right="0" w:firstLine="0"/>
        <w:jc w:val="left"/>
        <w:outlineLvl w:val="9"/>
        <w:rPr>
          <w:rFonts w:ascii="Times New Roman" w:eastAsia="Times New Roman" w:hAnsi="Times New Roman" w:cs="Times New Roman"/>
          <w:b/>
          <w:i w:val="0"/>
          <w:color w:val="000000"/>
          <w:sz w:val="18"/>
          <w:u w:val="none"/>
          <w:vertAlign w:val="superscript"/>
        </w:rPr>
        <w:sectPr>
          <w:headerReference w:type="default" r:id="rId22"/>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7" w:name="Section18"/>
      <w:bookmarkEnd w:id="17"/>
      <w:r>
        <w:rPr>
          <w:rFonts w:ascii="Times New Roman" w:eastAsia="Times New Roman" w:hAnsi="Times New Roman" w:cs="Times New Roman"/>
          <w:b/>
          <w:i w:val="0"/>
          <w:color w:val="000000"/>
          <w:sz w:val="20"/>
          <w:u w:val="none"/>
        </w:rPr>
        <w:t>4</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RELATED-PARTY TRANSACTIONS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Investments in Privately-Held Companies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has a </w:t>
      </w:r>
      <w:r>
        <w:rPr>
          <w:rFonts w:ascii="Times New Roman" w:eastAsia="Times New Roman" w:hAnsi="Times New Roman" w:cs="Times New Roman"/>
          <w:b w:val="0"/>
          <w:i w:val="0"/>
          <w:color w:val="000000"/>
          <w:sz w:val="20"/>
          <w:u w:val="none"/>
        </w:rPr>
        <w:t>40%</w:t>
      </w:r>
      <w:r>
        <w:rPr>
          <w:rFonts w:ascii="Times New Roman" w:eastAsia="Times New Roman" w:hAnsi="Times New Roman" w:cs="Times New Roman"/>
          <w:b w:val="0"/>
          <w:i w:val="0"/>
          <w:color w:val="000000"/>
          <w:sz w:val="20"/>
          <w:u w:val="none"/>
        </w:rPr>
        <w:t xml:space="preserve"> ownership interest in dpiX Holding Company LLC (“dpiX Holding”), a holding company that has a </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color w:val="000000"/>
          <w:sz w:val="20"/>
          <w:u w:val="none"/>
        </w:rPr>
        <w:t xml:space="preserve"> ownership interest in dpiX LLC (“dpiX”), a supplier of amorphous silicon-based thin film transistor arrays for flat panels used in the Company's digital image detectors. In accordance with the dpiX Holding operating agreement, net profits or losses are allocated to the members in accordance with their ownership interests.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investment in dpiX Holding is accounted for under the equity method of accounting. When the Company recognizes its share of net profits or losses of dpiX Holding, profits or losses in inventory purchased from dpiX are eliminated. 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recorded </w:t>
      </w:r>
      <w:r>
        <w:rPr>
          <w:rFonts w:ascii="Times New Roman" w:eastAsia="Times New Roman" w:hAnsi="Times New Roman" w:cs="Times New Roman"/>
          <w:b w:val="0"/>
          <w:i w:val="0"/>
          <w:color w:val="000000"/>
          <w:sz w:val="20"/>
          <w:u w:val="none"/>
        </w:rPr>
        <w:t>income (loss)</w:t>
      </w:r>
      <w:r>
        <w:rPr>
          <w:rFonts w:ascii="Times New Roman" w:eastAsia="Times New Roman" w:hAnsi="Times New Roman" w:cs="Times New Roman"/>
          <w:b w:val="0"/>
          <w:i w:val="0"/>
          <w:color w:val="000000"/>
          <w:sz w:val="20"/>
          <w:u w:val="none"/>
        </w:rPr>
        <w:t xml:space="preserve"> on the equity investment in dpiX Holding of </w:t>
      </w:r>
      <w:r>
        <w:rPr>
          <w:rFonts w:ascii="Times New Roman" w:eastAsia="Times New Roman" w:hAnsi="Times New Roman" w:cs="Times New Roman"/>
          <w:b w:val="0"/>
          <w:i w:val="0"/>
          <w:color w:val="000000"/>
          <w:sz w:val="20"/>
          <w:u w:val="none"/>
        </w:rPr>
        <w:t>$1.4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$(1.8) million</w:t>
      </w:r>
      <w:r>
        <w:rPr>
          <w:rFonts w:ascii="Times New Roman" w:eastAsia="Times New Roman" w:hAnsi="Times New Roman" w:cs="Times New Roman"/>
          <w:b w:val="0"/>
          <w:i w:val="0"/>
          <w:color w:val="000000"/>
          <w:sz w:val="20"/>
          <w:u w:val="none"/>
        </w:rPr>
        <w:t xml:space="preserve">, respectively.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recorded </w:t>
      </w:r>
      <w:r>
        <w:rPr>
          <w:rFonts w:ascii="Times New Roman" w:eastAsia="Times New Roman" w:hAnsi="Times New Roman" w:cs="Times New Roman"/>
          <w:b w:val="0"/>
          <w:i w:val="0"/>
          <w:color w:val="000000"/>
          <w:sz w:val="20"/>
          <w:u w:val="none"/>
        </w:rPr>
        <w:t>loss</w:t>
      </w:r>
      <w:r>
        <w:rPr>
          <w:rFonts w:ascii="Times New Roman" w:eastAsia="Times New Roman" w:hAnsi="Times New Roman" w:cs="Times New Roman"/>
          <w:b w:val="0"/>
          <w:i w:val="0"/>
          <w:color w:val="000000"/>
          <w:sz w:val="20"/>
          <w:u w:val="none"/>
        </w:rPr>
        <w:t xml:space="preserve"> on the equity investment in dpiX Holding of </w:t>
      </w:r>
      <w:r>
        <w:rPr>
          <w:rFonts w:ascii="Times New Roman" w:eastAsia="Times New Roman" w:hAnsi="Times New Roman" w:cs="Times New Roman"/>
          <w:b w:val="0"/>
          <w:i w:val="0"/>
          <w:color w:val="000000"/>
          <w:sz w:val="20"/>
          <w:u w:val="none"/>
        </w:rPr>
        <w:t>$2.2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$0.7 million</w:t>
      </w:r>
      <w:r>
        <w:rPr>
          <w:rFonts w:ascii="Times New Roman" w:eastAsia="Times New Roman" w:hAnsi="Times New Roman" w:cs="Times New Roman"/>
          <w:b w:val="0"/>
          <w:i w:val="0"/>
          <w:color w:val="000000"/>
          <w:sz w:val="20"/>
          <w:u w:val="none"/>
        </w:rPr>
        <w:t>, respectively. The income and loss on the</w:t>
      </w:r>
      <w:r>
        <w:rPr>
          <w:rFonts w:ascii="Times New Roman" w:eastAsia="Times New Roman" w:hAnsi="Times New Roman" w:cs="Times New Roman"/>
          <w:b w:val="0"/>
          <w:i w:val="0"/>
          <w:color w:val="000000"/>
          <w:sz w:val="20"/>
          <w:u w:val="none"/>
        </w:rPr>
        <w:t xml:space="preserve"> equity</w:t>
      </w:r>
      <w:r>
        <w:rPr>
          <w:rFonts w:ascii="Times New Roman" w:eastAsia="Times New Roman" w:hAnsi="Times New Roman" w:cs="Times New Roman"/>
          <w:b w:val="0"/>
          <w:i w:val="0"/>
          <w:color w:val="000000"/>
          <w:sz w:val="20"/>
          <w:u w:val="none"/>
        </w:rPr>
        <w:t xml:space="preserve"> investment in dpiX Holding are included in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The carrying value of the equity investment in dpiX Holding was </w:t>
      </w:r>
      <w:r>
        <w:rPr>
          <w:rFonts w:ascii="Times New Roman" w:eastAsia="Times New Roman" w:hAnsi="Times New Roman" w:cs="Times New Roman"/>
          <w:b w:val="0"/>
          <w:i w:val="0"/>
          <w:color w:val="000000"/>
          <w:sz w:val="20"/>
          <w:u w:val="none"/>
        </w:rPr>
        <w:t>$22.6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$24.8 million</w:t>
      </w:r>
      <w:r>
        <w:rPr>
          <w:rFonts w:ascii="Times New Roman" w:eastAsia="Times New Roman" w:hAnsi="Times New Roman" w:cs="Times New Roman"/>
          <w:b w:val="0"/>
          <w:i w:val="0"/>
          <w:color w:val="000000"/>
          <w:sz w:val="20"/>
          <w:u w:val="none"/>
        </w:rPr>
        <w:t xml:space="preserve"> at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respectively.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purchased glass transistor arrays from dpiX totaling </w:t>
      </w:r>
      <w:r>
        <w:rPr>
          <w:rFonts w:ascii="Times New Roman" w:eastAsia="Times New Roman" w:hAnsi="Times New Roman" w:cs="Times New Roman"/>
          <w:b w:val="0"/>
          <w:i w:val="0"/>
          <w:color w:val="000000"/>
          <w:sz w:val="20"/>
          <w:u w:val="none"/>
        </w:rPr>
        <w:t>$4.9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$4.8 million</w:t>
      </w:r>
      <w:r>
        <w:rPr>
          <w:rFonts w:ascii="Times New Roman" w:eastAsia="Times New Roman" w:hAnsi="Times New Roman" w:cs="Times New Roman"/>
          <w:b w:val="0"/>
          <w:i w:val="0"/>
          <w:color w:val="000000"/>
          <w:sz w:val="20"/>
          <w:u w:val="none"/>
        </w:rPr>
        <w:t xml:space="preserve">, respectively.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purchased glass transistor arrays from dpiX totaling </w:t>
      </w:r>
      <w:r>
        <w:rPr>
          <w:rFonts w:ascii="Times New Roman" w:eastAsia="Times New Roman" w:hAnsi="Times New Roman" w:cs="Times New Roman"/>
          <w:b w:val="0"/>
          <w:i w:val="0"/>
          <w:color w:val="000000"/>
          <w:sz w:val="20"/>
          <w:u w:val="none"/>
        </w:rPr>
        <w:t>$14.7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$13.8 million</w:t>
      </w:r>
      <w:r>
        <w:rPr>
          <w:rFonts w:ascii="Times New Roman" w:eastAsia="Times New Roman" w:hAnsi="Times New Roman" w:cs="Times New Roman"/>
          <w:b w:val="0"/>
          <w:i w:val="0"/>
          <w:color w:val="000000"/>
          <w:sz w:val="20"/>
          <w:u w:val="none"/>
        </w:rPr>
        <w:t xml:space="preserve">, respectively. These purchases </w:t>
      </w:r>
      <w:r>
        <w:rPr>
          <w:rFonts w:ascii="Times New Roman" w:eastAsia="Times New Roman" w:hAnsi="Times New Roman" w:cs="Times New Roman"/>
          <w:b w:val="0"/>
          <w:i w:val="0"/>
          <w:color w:val="000000"/>
          <w:sz w:val="20"/>
          <w:u w:val="none"/>
        </w:rPr>
        <w:t>of</w:t>
      </w:r>
      <w:r>
        <w:rPr>
          <w:rFonts w:ascii="Times New Roman" w:eastAsia="Times New Roman" w:hAnsi="Times New Roman" w:cs="Times New Roman"/>
          <w:b w:val="0"/>
          <w:i w:val="0"/>
          <w:color w:val="000000"/>
          <w:sz w:val="20"/>
          <w:u w:val="none"/>
        </w:rPr>
        <w:t xml:space="preserve"> glass transistor arrays are included as a component of </w:t>
      </w:r>
      <w:r>
        <w:rPr>
          <w:rFonts w:ascii="Times New Roman" w:eastAsia="Times New Roman" w:hAnsi="Times New Roman" w:cs="Times New Roman"/>
          <w:b w:val="0"/>
          <w:i w:val="0"/>
          <w:color w:val="000000"/>
          <w:sz w:val="20"/>
          <w:u w:val="none"/>
        </w:rPr>
        <w:t>inventories, net</w:t>
      </w:r>
      <w:r>
        <w:rPr>
          <w:rFonts w:ascii="Times New Roman" w:eastAsia="Times New Roman" w:hAnsi="Times New Roman" w:cs="Times New Roman"/>
          <w:b w:val="0"/>
          <w:i w:val="0"/>
          <w:color w:val="000000"/>
          <w:sz w:val="20"/>
          <w:u w:val="none"/>
        </w:rPr>
        <w:t xml:space="preserve"> on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or </w:t>
      </w:r>
      <w:r>
        <w:rPr>
          <w:rFonts w:ascii="Times New Roman" w:eastAsia="Times New Roman" w:hAnsi="Times New Roman" w:cs="Times New Roman"/>
          <w:b w:val="0"/>
          <w:i w:val="0"/>
          <w:color w:val="000000"/>
          <w:sz w:val="20"/>
          <w:u w:val="none"/>
        </w:rPr>
        <w:t>cost of revenues</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the Company had accounts payable to dpiX totaling </w:t>
      </w:r>
      <w:r>
        <w:rPr>
          <w:rFonts w:ascii="Times New Roman" w:eastAsia="Times New Roman" w:hAnsi="Times New Roman" w:cs="Times New Roman"/>
          <w:b w:val="0"/>
          <w:i w:val="0"/>
          <w:color w:val="000000"/>
          <w:sz w:val="20"/>
          <w:u w:val="none"/>
        </w:rPr>
        <w:t>$1.8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$3.0 million</w:t>
      </w:r>
      <w:r>
        <w:rPr>
          <w:rFonts w:ascii="Times New Roman" w:eastAsia="Times New Roman" w:hAnsi="Times New Roman" w:cs="Times New Roman"/>
          <w:b w:val="0"/>
          <w:i w:val="0"/>
          <w:color w:val="000000"/>
          <w:sz w:val="20"/>
          <w:u w:val="none"/>
        </w:rPr>
        <w:t>, respectively.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In </w:t>
      </w:r>
      <w:r>
        <w:rPr>
          <w:rFonts w:ascii="Times New Roman" w:eastAsia="Times New Roman" w:hAnsi="Times New Roman" w:cs="Times New Roman"/>
          <w:b w:val="0"/>
          <w:i w:val="0"/>
          <w:color w:val="000000"/>
          <w:sz w:val="20"/>
          <w:u w:val="none"/>
        </w:rPr>
        <w:t>October 2013</w:t>
      </w:r>
      <w:r>
        <w:rPr>
          <w:rFonts w:ascii="Times New Roman" w:eastAsia="Times New Roman" w:hAnsi="Times New Roman" w:cs="Times New Roman"/>
          <w:b w:val="0"/>
          <w:i w:val="0"/>
          <w:color w:val="000000"/>
          <w:sz w:val="20"/>
          <w:u w:val="none"/>
        </w:rPr>
        <w:t xml:space="preserve">, the Company entered into an amended agreement with dpiX and other parties that, among other things, provides it with the right to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color w:val="000000"/>
          <w:sz w:val="20"/>
          <w:u w:val="none"/>
        </w:rPr>
        <w:t xml:space="preserve"> of dpiX's total manufacturing capacity. In addition, the Company is required to pay for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color w:val="000000"/>
          <w:sz w:val="20"/>
          <w:u w:val="none"/>
        </w:rPr>
        <w:t xml:space="preserve"> of dpiX's fixed costs, as determined at the beginning of each calendar year. In January 2025, the Company's fixed cost commitment was determined and approved by the dpiX board of directors to be </w:t>
      </w:r>
      <w:r>
        <w:rPr>
          <w:rFonts w:ascii="Times New Roman" w:eastAsia="Times New Roman" w:hAnsi="Times New Roman" w:cs="Times New Roman"/>
          <w:b w:val="0"/>
          <w:i w:val="0"/>
          <w:color w:val="000000"/>
          <w:sz w:val="20"/>
          <w:u w:val="none"/>
        </w:rPr>
        <w:t>$13.7 million</w:t>
      </w:r>
      <w:r>
        <w:rPr>
          <w:rFonts w:ascii="Times New Roman" w:eastAsia="Times New Roman" w:hAnsi="Times New Roman" w:cs="Times New Roman"/>
          <w:b w:val="0"/>
          <w:i w:val="0"/>
          <w:color w:val="000000"/>
          <w:sz w:val="20"/>
          <w:u w:val="none"/>
        </w:rPr>
        <w:t xml:space="preserve"> for calendar </w:t>
      </w:r>
      <w:r>
        <w:rPr>
          <w:rFonts w:ascii="Times New Roman" w:eastAsia="Times New Roman" w:hAnsi="Times New Roman" w:cs="Times New Roman"/>
          <w:b w:val="0"/>
          <w:i w:val="0"/>
          <w:color w:val="000000"/>
          <w:sz w:val="20"/>
          <w:u w:val="none"/>
        </w:rPr>
        <w:t xml:space="preserve">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color w:val="000000"/>
          <w:sz w:val="20"/>
          <w:u w:val="none"/>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the Company estimated it has fixed cost commitments of </w:t>
      </w:r>
      <w:r>
        <w:rPr>
          <w:rFonts w:ascii="Times New Roman" w:eastAsia="Times New Roman" w:hAnsi="Times New Roman" w:cs="Times New Roman"/>
          <w:b w:val="0"/>
          <w:i w:val="0"/>
          <w:color w:val="000000"/>
          <w:sz w:val="20"/>
          <w:u w:val="none"/>
        </w:rPr>
        <w:t>$6.8 million</w:t>
      </w:r>
      <w:r>
        <w:rPr>
          <w:rFonts w:ascii="Times New Roman" w:eastAsia="Times New Roman" w:hAnsi="Times New Roman" w:cs="Times New Roman"/>
          <w:b w:val="0"/>
          <w:i w:val="0"/>
          <w:color w:val="000000"/>
          <w:sz w:val="20"/>
          <w:u w:val="none"/>
        </w:rPr>
        <w:t xml:space="preserve"> related to the amended agreement with dpiX through the remainder of the calendar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color w:val="000000"/>
          <w:sz w:val="20"/>
          <w:u w:val="none"/>
        </w:rPr>
        <w:t>. The amended agreement will continue unless the ownership structure of dpiX changes (as defined in the amended agreement).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has determined that dpiX Holding is a variable interest entity because the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unilaterally direct the activities of dpiX Holding, and therefore, is not the primary beneficiary of dpiX Holding. The Company’s exposure to loss as a result of its involvement with dpiX Holding is limited to the carrying value of the Company’s investment of </w:t>
      </w:r>
      <w:r>
        <w:rPr>
          <w:rFonts w:ascii="Times New Roman" w:eastAsia="Times New Roman" w:hAnsi="Times New Roman" w:cs="Times New Roman"/>
          <w:b w:val="0"/>
          <w:i w:val="0"/>
          <w:color w:val="000000"/>
          <w:sz w:val="20"/>
          <w:u w:val="none"/>
        </w:rPr>
        <w:t>$22.6 million</w:t>
      </w:r>
      <w:r>
        <w:rPr>
          <w:rFonts w:ascii="Times New Roman" w:eastAsia="Times New Roman" w:hAnsi="Times New Roman" w:cs="Times New Roman"/>
          <w:b w:val="0"/>
          <w:i w:val="0"/>
          <w:color w:val="000000"/>
          <w:sz w:val="20"/>
          <w:u w:val="none"/>
        </w:rPr>
        <w:t xml:space="preserve"> and fixed cost commitments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The Company has determined that VEC is a variable interest entity.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the Company re</w:t>
      </w:r>
      <w:r>
        <w:rPr>
          <w:rFonts w:ascii="Times New Roman" w:eastAsia="Times New Roman" w:hAnsi="Times New Roman" w:cs="Times New Roman"/>
          <w:b w:val="0"/>
          <w:i w:val="0"/>
          <w:color w:val="000000"/>
          <w:sz w:val="20"/>
          <w:u w:val="none"/>
        </w:rPr>
        <w:t xml:space="preserve">corded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income</w:t>
      </w:r>
      <w:r>
        <w:rPr>
          <w:rFonts w:ascii="Times New Roman" w:eastAsia="Times New Roman" w:hAnsi="Times New Roman" w:cs="Times New Roman"/>
          <w:b w:val="0"/>
          <w:i w:val="0"/>
          <w:color w:val="000000"/>
          <w:sz w:val="20"/>
          <w:u w:val="none"/>
        </w:rPr>
        <w:t xml:space="preserve"> on the equity investment in VEC</w:t>
      </w:r>
      <w:r>
        <w:rPr>
          <w:rFonts w:ascii="Times New Roman" w:eastAsia="Times New Roman" w:hAnsi="Times New Roman" w:cs="Times New Roman"/>
          <w:b w:val="0"/>
          <w:i w:val="0"/>
          <w:color w:val="000000"/>
          <w:sz w:val="20"/>
          <w:u w:val="none"/>
        </w:rPr>
        <w:t xml:space="preserve">.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the Company recorded </w:t>
      </w:r>
      <w:r>
        <w:rPr>
          <w:rFonts w:ascii="Times New Roman" w:eastAsia="Times New Roman" w:hAnsi="Times New Roman" w:cs="Times New Roman"/>
          <w:b w:val="0"/>
          <w:i w:val="0"/>
          <w:color w:val="000000"/>
          <w:sz w:val="20"/>
          <w:u w:val="none"/>
        </w:rPr>
        <w:t>income (loss)</w:t>
      </w:r>
      <w:r>
        <w:rPr>
          <w:rFonts w:ascii="Times New Roman" w:eastAsia="Times New Roman" w:hAnsi="Times New Roman" w:cs="Times New Roman"/>
          <w:b w:val="0"/>
          <w:i w:val="0"/>
          <w:color w:val="000000"/>
          <w:sz w:val="20"/>
          <w:u w:val="none"/>
        </w:rPr>
        <w:t xml:space="preserve"> on the equity investment in VEC of </w:t>
      </w:r>
      <w:r>
        <w:rPr>
          <w:rFonts w:ascii="Times New Roman" w:eastAsia="Times New Roman" w:hAnsi="Times New Roman" w:cs="Times New Roman"/>
          <w:b w:val="0"/>
          <w:i w:val="0"/>
          <w:color w:val="000000"/>
          <w:sz w:val="20"/>
          <w:u w:val="none"/>
        </w:rPr>
        <w:t>$0.0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$(0.1) million</w:t>
      </w:r>
      <w:r>
        <w:rPr>
          <w:rFonts w:ascii="Times New Roman" w:eastAsia="Times New Roman" w:hAnsi="Times New Roman" w:cs="Times New Roman"/>
          <w:b w:val="0"/>
          <w:i w:val="0"/>
          <w:color w:val="000000"/>
          <w:sz w:val="20"/>
          <w:u w:val="none"/>
        </w:rPr>
        <w:t xml:space="preserve">, respectively. </w:t>
      </w:r>
      <w:r>
        <w:rPr>
          <w:rFonts w:ascii="Times New Roman" w:eastAsia="Times New Roman" w:hAnsi="Times New Roman" w:cs="Times New Roman"/>
          <w:b w:val="0"/>
          <w:i w:val="0"/>
          <w:color w:val="000000"/>
          <w:sz w:val="20"/>
          <w:u w:val="none"/>
        </w:rPr>
        <w:t>The</w:t>
      </w:r>
      <w:r>
        <w:rPr>
          <w:rFonts w:ascii="Times New Roman" w:eastAsia="Times New Roman" w:hAnsi="Times New Roman" w:cs="Times New Roman"/>
          <w:b w:val="0"/>
          <w:i w:val="0"/>
          <w:color w:val="000000"/>
          <w:sz w:val="20"/>
          <w:u w:val="none"/>
        </w:rPr>
        <w:t xml:space="preserve"> Company's investment in VEC was </w:t>
      </w:r>
      <w:r>
        <w:rPr>
          <w:rFonts w:ascii="Times New Roman" w:eastAsia="Times New Roman" w:hAnsi="Times New Roman" w:cs="Times New Roman"/>
          <w:b w:val="0"/>
          <w:i w:val="0"/>
          <w:color w:val="000000"/>
          <w:sz w:val="20"/>
          <w:u w:val="none"/>
        </w:rPr>
        <w:t>$2.0 million</w:t>
      </w:r>
      <w:r>
        <w:rPr>
          <w:rFonts w:ascii="Times New Roman" w:eastAsia="Times New Roman" w:hAnsi="Times New Roman" w:cs="Times New Roman"/>
          <w:b w:val="0"/>
          <w:i w:val="0"/>
          <w:color w:val="000000"/>
          <w:sz w:val="20"/>
          <w:u w:val="none"/>
        </w:rPr>
        <w:t xml:space="preserve"> at</w:t>
      </w:r>
      <w:r>
        <w:rPr>
          <w:rFonts w:ascii="Times New Roman" w:eastAsia="Times New Roman" w:hAnsi="Times New Roman" w:cs="Times New Roman"/>
          <w:b w:val="0"/>
          <w:i w:val="0"/>
          <w:color w:val="000000"/>
          <w:sz w:val="20"/>
          <w:u w:val="none"/>
        </w:rPr>
        <w:t xml:space="preserve"> both</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the Company had loans and other receivables outstanding from VEC of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$0.7 million</w:t>
      </w:r>
      <w:r>
        <w:rPr>
          <w:rFonts w:ascii="Times New Roman" w:eastAsia="Times New Roman" w:hAnsi="Times New Roman" w:cs="Times New Roman"/>
          <w:b w:val="0"/>
          <w:i w:val="0"/>
          <w:color w:val="000000"/>
          <w:sz w:val="20"/>
          <w:u w:val="none"/>
        </w:rPr>
        <w:t xml:space="preserve">, respectively, which are recorded in </w:t>
      </w:r>
      <w:r>
        <w:rPr>
          <w:rFonts w:ascii="Times New Roman" w:eastAsia="Times New Roman" w:hAnsi="Times New Roman" w:cs="Times New Roman"/>
          <w:b w:val="0"/>
          <w:i w:val="0"/>
          <w:color w:val="000000"/>
          <w:sz w:val="20"/>
          <w:u w:val="none"/>
        </w:rPr>
        <w:t>prepaid expenses and other current assets</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40" w:lineRule="exact"/>
        <w:ind w:left="0" w:right="0" w:firstLine="0"/>
        <w:jc w:val="left"/>
        <w:outlineLvl w:val="9"/>
        <w:sectPr>
          <w:headerReference w:type="default" r:id="rId23"/>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8" w:name="Section19"/>
      <w:bookmarkEnd w:id="18"/>
      <w:r>
        <w:rPr>
          <w:rFonts w:ascii="Times New Roman" w:eastAsia="Times New Roman" w:hAnsi="Times New Roman" w:cs="Times New Roman"/>
          <w:b/>
          <w:i w:val="0"/>
          <w:color w:val="000000"/>
          <w:sz w:val="20"/>
          <w:u w:val="none"/>
        </w:rPr>
        <w:t>5</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FINANCIAL DERIVATIVES AND HEDGING ACTIVITIES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As part of the Company’s overall risk management practices, the Company enters into financial derivatives to </w:t>
      </w:r>
      <w:r>
        <w:rPr>
          <w:rFonts w:ascii="Times New Roman" w:eastAsia="Times New Roman" w:hAnsi="Times New Roman" w:cs="Times New Roman"/>
          <w:b w:val="0"/>
          <w:i w:val="0"/>
          <w:color w:val="000000"/>
          <w:sz w:val="20"/>
          <w:u w:val="none"/>
        </w:rPr>
        <w:t>manage</w:t>
      </w:r>
      <w:r>
        <w:rPr>
          <w:rFonts w:ascii="Times New Roman" w:eastAsia="Times New Roman" w:hAnsi="Times New Roman" w:cs="Times New Roman"/>
          <w:b w:val="0"/>
          <w:i w:val="0"/>
          <w:color w:val="000000"/>
          <w:sz w:val="20"/>
          <w:u w:val="none"/>
        </w:rPr>
        <w:t xml:space="preserve"> its financial exposures to foreign currency exchange rates and interest rates.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records all derivatives on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 The changes in fair value for all trades that are not designated for hedge accounting are recognized in current period income. The Company does not offset fair value amounts recognized for derivative instruments in its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for presentation purposes.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Credit risk related to derivative transactions reflect</w:t>
      </w:r>
      <w:r>
        <w:rPr>
          <w:rFonts w:ascii="Times New Roman" w:eastAsia="Times New Roman" w:hAnsi="Times New Roman" w:cs="Times New Roman"/>
          <w:b w:val="0"/>
          <w:i w:val="0"/>
          <w:color w:val="000000"/>
          <w:sz w:val="20"/>
          <w:u w:val="none"/>
        </w:rPr>
        <w:t xml:space="preserve"> the risk that a party to the transaction could fail to meet its obligation under the derivative contracts. Therefore, the Company’s exposure to the counterparty’s credit risk is generally limited to the amounts, if any, by which the </w:t>
      </w:r>
      <w:r>
        <w:rPr>
          <w:rFonts w:ascii="Times New Roman" w:eastAsia="Times New Roman" w:hAnsi="Times New Roman" w:cs="Times New Roman"/>
          <w:b w:val="0"/>
          <w:i w:val="0"/>
          <w:color w:val="000000"/>
          <w:sz w:val="20"/>
          <w:u w:val="none"/>
        </w:rPr>
        <w:t>counterparty’s obligations to the Company exceed the Company’s obligations to the counterparty. The Company’s policy is to enter into contracts only with financial institutions that meet certain minimum credit ratings to help mitigate counterparty credit risk.</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Derivatives Designated as Hedging Instruments - Net Investment Hedges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uses cross currency swap contracts as net investment hedges to manage its risk of variability in foreign currency-denominated net investments in wholly-owned international operations. All changes in fair value of the derivatives designated as net investment hedges are reported in </w:t>
      </w:r>
      <w:r>
        <w:rPr>
          <w:rFonts w:ascii="Times New Roman" w:eastAsia="Times New Roman" w:hAnsi="Times New Roman" w:cs="Times New Roman"/>
          <w:b w:val="0"/>
          <w:i w:val="0"/>
          <w:color w:val="000000"/>
          <w:sz w:val="20"/>
          <w:u w:val="none"/>
        </w:rPr>
        <w:t>accumulated other comprehensive loss</w:t>
      </w:r>
      <w:r>
        <w:rPr>
          <w:rFonts w:ascii="Times New Roman" w:eastAsia="Times New Roman" w:hAnsi="Times New Roman" w:cs="Times New Roman"/>
          <w:b w:val="0"/>
          <w:i w:val="0"/>
          <w:color w:val="000000"/>
          <w:sz w:val="20"/>
          <w:u w:val="none"/>
        </w:rPr>
        <w:t xml:space="preserve"> along with the foreign currency translation adjustments on those investments.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w:t>
      </w:r>
      <w:r>
        <w:rPr>
          <w:rFonts w:ascii="Times New Roman" w:eastAsia="Times New Roman" w:hAnsi="Times New Roman" w:cs="Times New Roman"/>
          <w:b w:val="0"/>
          <w:i w:val="0"/>
          <w:color w:val="000000"/>
          <w:sz w:val="20"/>
          <w:u w:val="none"/>
        </w:rPr>
        <w:t>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the Company had the following outstanding derivatives designated as net investment hedging instruments: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465"/>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ind w:left="45"/>
              <w:jc w:val="left"/>
            </w:pPr>
            <w:r>
              <w:rPr>
                <w:rFonts w:ascii="Times New Roman" w:eastAsia="Times New Roman" w:hAnsi="Times New Roman" w:cs="Times New Roman"/>
                <w:b/>
                <w:i w:val="0"/>
                <w:color w:val="000000"/>
                <w:sz w:val="18"/>
                <w:u w:val="none"/>
              </w:rPr>
              <w:t>(In millions, except number of instruments)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Number of Instruments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Notional Value</w:t>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45"/>
              <w:jc w:val="left"/>
            </w:pPr>
            <w:r>
              <w:rPr>
                <w:rFonts w:ascii="Times New Roman" w:eastAsia="Times New Roman" w:hAnsi="Times New Roman" w:cs="Times New Roman"/>
                <w:b w:val="0"/>
                <w:i w:val="0"/>
                <w:color w:val="000000"/>
                <w:sz w:val="18"/>
                <w:u w:val="none"/>
              </w:rPr>
              <w:t>Cross currency swap contracts</w:t>
            </w:r>
          </w:p>
        </w:tc>
        <w:tc>
          <w:tcPr>
            <w:tcW w:w="1800"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pageBreakBefore w:val="0"/>
              <w:spacing w:before="55" w:after="30" w:line="240" w:lineRule="auto"/>
              <w:jc w:val="right"/>
            </w:pPr>
            <w:r>
              <w:rPr>
                <w:rFonts w:ascii="Times New Roman" w:eastAsia="Times New Roman" w:hAnsi="Times New Roman" w:cs="Times New Roman"/>
                <w:b w:val="0"/>
                <w:i w:val="0"/>
                <w:color w:val="000000"/>
                <w:sz w:val="18"/>
                <w:u w:val="none"/>
              </w:rPr>
              <w:t>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51.8</w:t>
              <w:tab/>
            </w:r>
          </w:p>
        </w:tc>
      </w:tr>
    </w:tbl>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he following table summarizes the amount of pre-tax income recognized from derivative instruments for the periods indicated and the line items in the accompanying statements of operations where the results are recorded for net investment hedges:</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135"/>
        <w:gridCol w:w="1305"/>
        <w:gridCol w:w="75"/>
        <w:gridCol w:w="1305"/>
        <w:gridCol w:w="75"/>
        <w:gridCol w:w="2055"/>
        <w:gridCol w:w="75"/>
        <w:gridCol w:w="1305"/>
        <w:gridCol w:w="75"/>
        <w:gridCol w:w="1305"/>
      </w:tblGrid>
      <w:tr>
        <w:tblPrEx>
          <w:tblW w:w="10710" w:type="dxa"/>
          <w:tblLayout w:type="fixed"/>
        </w:tblPrEx>
        <w:trPr>
          <w:cantSplit/>
          <w:trHeight w:hRule="exact" w:val="1005"/>
        </w:trPr>
        <w:tc>
          <w:tcPr>
            <w:tcW w:w="31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Amount of (Loss) Gain Recognized in OCI on Derivative</w:t>
            </w:r>
          </w:p>
          <w:p>
            <w:pPr>
              <w:spacing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5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Location of Gain Recognized in Income on Derivative (Amount Excluded from Effectiveness Testing)</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Amount of Gain Recognized in Income on Derivative (Amount Excluded from Effectiveness Testing)</w:t>
            </w:r>
          </w:p>
          <w:p>
            <w:pPr>
              <w:spacing w:after="30" w:line="240" w:lineRule="auto"/>
              <w:jc w:val="center"/>
            </w:pPr>
            <w:r>
              <w:rPr>
                <w:rFonts w:ascii="Times New Roman" w:eastAsia="Times New Roman" w:hAnsi="Times New Roman" w:cs="Times New Roman"/>
                <w:b/>
                <w:i w:val="0"/>
                <w:color w:val="000000"/>
                <w:sz w:val="18"/>
                <w:u w:val="none"/>
              </w:rPr>
              <w:t>Three Months Ended</w:t>
            </w:r>
          </w:p>
        </w:tc>
      </w:tr>
      <w:tr>
        <w:tblPrEx>
          <w:tblW w:w="10710" w:type="dxa"/>
          <w:tblLayout w:type="fixed"/>
        </w:tblPrEx>
        <w:trPr>
          <w:cantSplit/>
          <w:trHeight w:hRule="exact" w:val="465"/>
        </w:trPr>
        <w:tc>
          <w:tcPr>
            <w:tcW w:w="31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45"/>
              <w:jc w:val="left"/>
            </w:pPr>
            <w:r>
              <w:rPr>
                <w:rFonts w:ascii="Times New Roman" w:eastAsia="Times New Roman" w:hAnsi="Times New Roman" w:cs="Times New Roman"/>
                <w:b/>
                <w:i w:val="0"/>
                <w:color w:val="000000"/>
                <w:sz w:val="18"/>
                <w:u w:val="none"/>
              </w:rPr>
              <w:t>(In millions)</w:t>
            </w: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55" w:type="dxa"/>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710" w:type="dxa"/>
          <w:tblLayout w:type="fixed"/>
        </w:tblPrEx>
        <w:trPr>
          <w:cantSplit/>
          <w:trHeight w:hRule="exact" w:val="285"/>
        </w:trPr>
        <w:tc>
          <w:tcPr>
            <w:tcW w:w="31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45"/>
              <w:jc w:val="left"/>
            </w:pPr>
            <w:r>
              <w:rPr>
                <w:rFonts w:ascii="Times New Roman" w:eastAsia="Times New Roman" w:hAnsi="Times New Roman" w:cs="Times New Roman"/>
                <w:b w:val="0"/>
                <w:i w:val="0"/>
                <w:color w:val="000000"/>
                <w:sz w:val="18"/>
                <w:u w:val="none"/>
              </w:rPr>
              <w:t>Cross currency swap contracts</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(4.0)</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205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ind w:left="22" w:right="22"/>
              <w:jc w:val="center"/>
            </w:pPr>
            <w:r>
              <w:rPr>
                <w:rFonts w:ascii="Times New Roman" w:eastAsia="Times New Roman" w:hAnsi="Times New Roman" w:cs="Times New Roman"/>
                <w:b w:val="0"/>
                <w:i w:val="0"/>
                <w:color w:val="000000"/>
                <w:sz w:val="18"/>
                <w:u w:val="none"/>
              </w:rPr>
              <w:t>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0.2</w:t>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5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0.2</w:t>
              <w:tab/>
            </w:r>
          </w:p>
        </w:tc>
      </w:tr>
      <w:tr>
        <w:tblPrEx>
          <w:tblW w:w="10710" w:type="dxa"/>
          <w:tblLayout w:type="fixed"/>
        </w:tblPrEx>
        <w:trPr>
          <w:cantSplit/>
          <w:trHeight w:hRule="exact" w:val="315"/>
        </w:trPr>
        <w:tc>
          <w:tcPr>
            <w:tcW w:w="31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205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710" w:type="dxa"/>
          <w:tblLayout w:type="fixed"/>
        </w:tblPrEx>
        <w:trPr>
          <w:cantSplit/>
          <w:trHeight w:hRule="exact" w:val="1005"/>
        </w:trPr>
        <w:tc>
          <w:tcPr>
            <w:tcW w:w="31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Amount of Loss Recognized in OCI on Derivative</w:t>
            </w:r>
          </w:p>
          <w:p>
            <w:pPr>
              <w:spacing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5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Location of Gain Recognized in Income on Derivative (Amount Excluded from Effectiveness Testing)</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Amount of Gain Recognized in Income on Derivative (Amount Excluded from Effectiveness Testing)</w:t>
            </w:r>
          </w:p>
          <w:p>
            <w:pPr>
              <w:spacing w:after="30" w:line="240" w:lineRule="auto"/>
              <w:jc w:val="center"/>
            </w:pPr>
            <w:r>
              <w:rPr>
                <w:rFonts w:ascii="Times New Roman" w:eastAsia="Times New Roman" w:hAnsi="Times New Roman" w:cs="Times New Roman"/>
                <w:b/>
                <w:i w:val="0"/>
                <w:color w:val="000000"/>
                <w:sz w:val="18"/>
                <w:u w:val="none"/>
              </w:rPr>
              <w:t>Nine Months Ended</w:t>
            </w:r>
          </w:p>
        </w:tc>
      </w:tr>
      <w:tr>
        <w:tblPrEx>
          <w:tblW w:w="10710" w:type="dxa"/>
          <w:tblLayout w:type="fixed"/>
        </w:tblPrEx>
        <w:trPr>
          <w:cantSplit/>
          <w:trHeight w:hRule="exact" w:val="465"/>
        </w:trPr>
        <w:tc>
          <w:tcPr>
            <w:tcW w:w="31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ind w:left="45"/>
              <w:jc w:val="left"/>
            </w:pPr>
            <w:r>
              <w:rPr>
                <w:rFonts w:ascii="Times New Roman" w:eastAsia="Times New Roman" w:hAnsi="Times New Roman" w:cs="Times New Roman"/>
                <w:b/>
                <w:i w:val="0"/>
                <w:color w:val="000000"/>
                <w:sz w:val="18"/>
                <w:u w:val="none"/>
              </w:rPr>
              <w:t>(In millions)</w:t>
            </w: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55" w:type="dxa"/>
            <w:vMerge/>
            <w:tcBorders>
              <w:top w:val="nil"/>
              <w:left w:val="nil"/>
              <w:bottom w:val="single" w:sz="8" w:space="0" w:color="000000"/>
              <w:right w:val="nil"/>
            </w:tcBorders>
          </w:tcPr>
          <w:p>
            <w:pPr>
              <w:keepNext/>
              <w:pageBreakBefore w:val="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710" w:type="dxa"/>
          <w:tblLayout w:type="fixed"/>
        </w:tblPrEx>
        <w:trPr>
          <w:cantSplit/>
          <w:trHeight w:hRule="exact" w:val="285"/>
        </w:trPr>
        <w:tc>
          <w:tcPr>
            <w:tcW w:w="31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45"/>
              <w:jc w:val="left"/>
            </w:pPr>
            <w:r>
              <w:rPr>
                <w:rFonts w:ascii="Times New Roman" w:eastAsia="Times New Roman" w:hAnsi="Times New Roman" w:cs="Times New Roman"/>
                <w:b w:val="0"/>
                <w:i w:val="0"/>
                <w:color w:val="000000"/>
                <w:sz w:val="18"/>
                <w:u w:val="none"/>
              </w:rPr>
              <w:t>Cross currency swap contracts</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(2.9)</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874"/>
              </w:tabs>
              <w:spacing w:before="55" w:after="30" w:line="240" w:lineRule="auto"/>
              <w:jc w:val="right"/>
            </w:pPr>
            <w:r>
              <w:rPr>
                <w:rFonts w:ascii="Times New Roman" w:eastAsia="Times New Roman" w:hAnsi="Times New Roman" w:cs="Times New Roman"/>
                <w:b w:val="0"/>
                <w:i w:val="0"/>
                <w:color w:val="000000"/>
                <w:sz w:val="18"/>
                <w:u w:val="none"/>
              </w:rPr>
              <w:t>$</w:t>
              <w:tab/>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205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center"/>
            </w:pPr>
            <w:r>
              <w:rPr>
                <w:rFonts w:ascii="Times New Roman" w:eastAsia="Times New Roman" w:hAnsi="Times New Roman" w:cs="Times New Roman"/>
                <w:b w:val="0"/>
                <w:i w:val="0"/>
                <w:color w:val="000000"/>
                <w:sz w:val="18"/>
                <w:u w:val="none"/>
              </w:rPr>
              <w:t>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95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0.6</w:t>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95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0.7</w:t>
              <w:tab/>
            </w:r>
          </w:p>
        </w:tc>
      </w:tr>
    </w:tbl>
    <w:p>
      <w:pPr>
        <w:keepNext w:val="0"/>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where the instruments are recorded:</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990"/>
        <w:gridCol w:w="75"/>
        <w:gridCol w:w="3195"/>
        <w:gridCol w:w="75"/>
        <w:gridCol w:w="1695"/>
        <w:gridCol w:w="75"/>
        <w:gridCol w:w="1695"/>
      </w:tblGrid>
      <w:tr>
        <w:tblPrEx>
          <w:tblW w:w="10800" w:type="dxa"/>
          <w:tblInd w:w="0" w:type="dxa"/>
          <w:tblLayout w:type="fixed"/>
        </w:tblPrEx>
        <w:trPr>
          <w:cantSplit/>
          <w:trHeight w:hRule="exact" w:val="300"/>
        </w:trPr>
        <w:tc>
          <w:tcPr>
            <w:tcW w:w="399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4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Derivative Assets and Liabilities</w:t>
            </w:r>
          </w:p>
        </w:tc>
      </w:tr>
      <w:tr>
        <w:tblPrEx>
          <w:tblW w:w="10800" w:type="dxa"/>
          <w:tblInd w:w="0" w:type="dxa"/>
          <w:tblLayout w:type="fixed"/>
        </w:tblPrEx>
        <w:trPr>
          <w:cantSplit/>
          <w:trHeight w:hRule="exact" w:val="300"/>
        </w:trPr>
        <w:tc>
          <w:tcPr>
            <w:tcW w:w="399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ind w:left="90"/>
              <w:jc w:val="left"/>
            </w:pPr>
            <w:r>
              <w:rPr>
                <w:rFonts w:ascii="Times New Roman" w:eastAsia="Times New Roman" w:hAnsi="Times New Roman" w:cs="Times New Roman"/>
                <w:b/>
                <w:i w:val="0"/>
                <w:color w:val="000000"/>
                <w:sz w:val="18"/>
                <w:u w:val="none"/>
              </w:rPr>
              <w:t>Derivatives Designated as Net Investment Hedges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Balance Sheet Location</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300"/>
        </w:trPr>
        <w:tc>
          <w:tcPr>
            <w:tcW w:w="399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Cross currency swap contracts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319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Prepaid expenses and other current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89"/>
                <w:tab w:val="left" w:pos="1627"/>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44"/>
                <w:tab w:val="left" w:pos="1627"/>
              </w:tabs>
              <w:spacing w:before="55" w:after="30" w:line="240" w:lineRule="auto"/>
              <w:jc w:val="right"/>
            </w:pPr>
            <w:r>
              <w:rPr>
                <w:rFonts w:ascii="Times New Roman" w:eastAsia="Times New Roman" w:hAnsi="Times New Roman" w:cs="Times New Roman"/>
                <w:b w:val="0"/>
                <w:i w:val="0"/>
                <w:color w:val="000000"/>
                <w:sz w:val="18"/>
                <w:u w:val="none"/>
              </w:rPr>
              <w:t>$</w:t>
              <w:tab/>
              <w:t>1.0</w:t>
              <w:tab/>
            </w:r>
          </w:p>
        </w:tc>
      </w:tr>
      <w:tr>
        <w:tblPrEx>
          <w:tblW w:w="10800" w:type="dxa"/>
          <w:tblInd w:w="0" w:type="dxa"/>
          <w:tblLayout w:type="fixed"/>
        </w:tblPrEx>
        <w:trPr>
          <w:cantSplit/>
          <w:trHeight w:hRule="exact" w:val="465"/>
        </w:trPr>
        <w:tc>
          <w:tcPr>
            <w:tcW w:w="399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Cross currency swap contracts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1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Accrued liabilities and other 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54"/>
                <w:tab w:val="left" w:pos="1627"/>
              </w:tabs>
              <w:spacing w:before="75" w:after="30" w:line="240" w:lineRule="auto"/>
              <w:jc w:val="right"/>
            </w:pPr>
            <w:r>
              <w:rPr>
                <w:rFonts w:ascii="Times New Roman" w:eastAsia="Times New Roman" w:hAnsi="Times New Roman" w:cs="Times New Roman"/>
                <w:b w:val="0"/>
                <w:i w:val="0"/>
                <w:color w:val="000000"/>
                <w:sz w:val="18"/>
                <w:u w:val="none"/>
              </w:rPr>
              <w:tab/>
              <w:t>10.5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89"/>
                <w:tab w:val="left" w:pos="162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300"/>
        </w:trPr>
        <w:tc>
          <w:tcPr>
            <w:tcW w:w="399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Cross currency swap contracts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319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Other long-term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389"/>
                <w:tab w:val="left" w:pos="16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344"/>
                <w:tab w:val="left" w:pos="1627"/>
              </w:tabs>
              <w:spacing w:before="75" w:after="30" w:line="240" w:lineRule="auto"/>
              <w:jc w:val="right"/>
            </w:pPr>
            <w:r>
              <w:rPr>
                <w:rFonts w:ascii="Times New Roman" w:eastAsia="Times New Roman" w:hAnsi="Times New Roman" w:cs="Times New Roman"/>
                <w:b w:val="0"/>
                <w:i w:val="0"/>
                <w:color w:val="000000"/>
                <w:sz w:val="18"/>
                <w:u w:val="none"/>
              </w:rPr>
              <w:tab/>
              <w:t>8.6</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Derivatives not Designated as Hedging Instruments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three months ended </w:t>
      </w:r>
      <w:r>
        <w:rPr>
          <w:rFonts w:ascii="Times New Roman" w:eastAsia="Times New Roman" w:hAnsi="Times New Roman" w:cs="Times New Roman"/>
          <w:b w:val="0"/>
          <w:i w:val="0"/>
          <w:color w:val="000000"/>
          <w:sz w:val="20"/>
          <w:u w:val="none"/>
        </w:rPr>
        <w:t>April 4, 2025</w:t>
      </w:r>
      <w:r>
        <w:rPr>
          <w:rFonts w:ascii="Times New Roman" w:eastAsia="Times New Roman" w:hAnsi="Times New Roman" w:cs="Times New Roman"/>
          <w:b w:val="0"/>
          <w:i w:val="0"/>
          <w:color w:val="000000"/>
          <w:sz w:val="20"/>
          <w:u w:val="none"/>
        </w:rPr>
        <w:t xml:space="preserve">, the Company elected to partially dedesignate </w:t>
      </w:r>
      <w:r>
        <w:rPr>
          <w:rFonts w:ascii="Times New Roman" w:eastAsia="Times New Roman" w:hAnsi="Times New Roman" w:cs="Times New Roman"/>
          <w:b w:val="0"/>
          <w:i w:val="0"/>
          <w:color w:val="000000"/>
          <w:sz w:val="20"/>
          <w:u w:val="none"/>
        </w:rPr>
        <w:t>$6.9 million</w:t>
      </w:r>
      <w:r>
        <w:rPr>
          <w:rFonts w:ascii="Times New Roman" w:eastAsia="Times New Roman" w:hAnsi="Times New Roman" w:cs="Times New Roman"/>
          <w:b w:val="0"/>
          <w:i w:val="0"/>
          <w:color w:val="000000"/>
          <w:sz w:val="20"/>
          <w:u w:val="none"/>
        </w:rPr>
        <w:t xml:space="preserve"> of the cross currency swap contracts that ceased to meet the effectiveness criteria and hedge accounting was discontinued. At the time of dedesignation, the total amount recorded for the</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dedesignated portion as a cumulative fair value basis adjustment on the cross currency swap was a loss of </w:t>
      </w:r>
      <w:r>
        <w:rPr>
          <w:rFonts w:ascii="Times New Roman" w:eastAsia="Times New Roman" w:hAnsi="Times New Roman" w:cs="Times New Roman"/>
          <w:b w:val="0"/>
          <w:i w:val="0"/>
          <w:color w:val="000000"/>
          <w:sz w:val="20"/>
          <w:u w:val="none"/>
        </w:rPr>
        <w:t>$0.4 million</w:t>
      </w:r>
      <w:r>
        <w:rPr>
          <w:rFonts w:ascii="Times New Roman" w:eastAsia="Times New Roman" w:hAnsi="Times New Roman" w:cs="Times New Roman"/>
          <w:b w:val="0"/>
          <w:i w:val="0"/>
          <w:color w:val="000000"/>
          <w:sz w:val="20"/>
          <w:u w:val="none"/>
        </w:rPr>
        <w:t xml:space="preserve">. The loss on the cross currency swap dedesignation is recorded in </w:t>
      </w:r>
      <w:r>
        <w:rPr>
          <w:rFonts w:ascii="Times New Roman" w:eastAsia="Times New Roman" w:hAnsi="Times New Roman" w:cs="Times New Roman"/>
          <w:b w:val="0"/>
          <w:i w:val="0"/>
          <w:color w:val="000000"/>
          <w:sz w:val="20"/>
          <w:u w:val="none"/>
        </w:rPr>
        <w:t>accumulated other comprehensive loss</w:t>
      </w:r>
      <w:r>
        <w:rPr>
          <w:rFonts w:ascii="Times New Roman" w:eastAsia="Times New Roman" w:hAnsi="Times New Roman" w:cs="Times New Roman"/>
          <w:b w:val="0"/>
          <w:i w:val="0"/>
          <w:color w:val="000000"/>
          <w:sz w:val="20"/>
          <w:u w:val="none"/>
        </w:rPr>
        <w:t xml:space="preserve"> where it will remain until such time that substantial liquidation of the international operations should occur. The dedesignated cross currency swap contract is considered an economic hedge of the Company's investments in wholly-owned international operations. As such, changes in the fair value of the dedesignated cross currency swap after the date of dedesignation have been reported in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 xml:space="preserve">three months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the Company </w:t>
      </w:r>
      <w:r>
        <w:rPr>
          <w:rFonts w:ascii="Times New Roman" w:eastAsia="Times New Roman" w:hAnsi="Times New Roman" w:cs="Times New Roman"/>
          <w:b w:val="0"/>
          <w:i w:val="0"/>
          <w:color w:val="000000"/>
          <w:sz w:val="20"/>
          <w:u w:val="none"/>
        </w:rPr>
        <w:t>unwound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dede</w:t>
      </w:r>
      <w:r>
        <w:rPr>
          <w:rFonts w:ascii="Times New Roman" w:eastAsia="Times New Roman" w:hAnsi="Times New Roman" w:cs="Times New Roman"/>
          <w:b w:val="0"/>
          <w:i w:val="0"/>
          <w:color w:val="000000"/>
          <w:sz w:val="20"/>
          <w:u w:val="none"/>
        </w:rPr>
        <w:t>si</w:t>
      </w:r>
      <w:r>
        <w:rPr>
          <w:rFonts w:ascii="Times New Roman" w:eastAsia="Times New Roman" w:hAnsi="Times New Roman" w:cs="Times New Roman"/>
          <w:b w:val="0"/>
          <w:i w:val="0"/>
          <w:color w:val="000000"/>
          <w:sz w:val="20"/>
          <w:u w:val="none"/>
        </w:rPr>
        <w:t>gnated portion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of its </w:t>
      </w:r>
      <w:r>
        <w:rPr>
          <w:rFonts w:ascii="Times New Roman" w:eastAsia="Times New Roman" w:hAnsi="Times New Roman" w:cs="Times New Roman"/>
          <w:b w:val="0"/>
          <w:i w:val="0"/>
          <w:color w:val="000000"/>
          <w:sz w:val="20"/>
          <w:u w:val="none"/>
        </w:rPr>
        <w:t>outstanding cross currency swap contract</w:t>
      </w:r>
      <w:r>
        <w:rPr>
          <w:rFonts w:ascii="Times New Roman" w:eastAsia="Times New Roman" w:hAnsi="Times New Roman" w:cs="Times New Roman"/>
          <w:b w:val="0"/>
          <w:i w:val="0"/>
          <w:color w:val="000000"/>
          <w:sz w:val="20"/>
          <w:u w:val="none"/>
        </w:rPr>
        <w:t xml:space="preserve"> which resulted in cash </w:t>
      </w:r>
      <w:r>
        <w:rPr>
          <w:rFonts w:ascii="Times New Roman" w:eastAsia="Times New Roman" w:hAnsi="Times New Roman" w:cs="Times New Roman"/>
          <w:b w:val="0"/>
          <w:i w:val="0"/>
          <w:color w:val="000000"/>
          <w:sz w:val="20"/>
          <w:u w:val="none"/>
        </w:rPr>
        <w:t>paid</w:t>
      </w:r>
      <w:r>
        <w:rPr>
          <w:rFonts w:ascii="Times New Roman" w:eastAsia="Times New Roman" w:hAnsi="Times New Roman" w:cs="Times New Roman"/>
          <w:b w:val="0"/>
          <w:i w:val="0"/>
          <w:color w:val="000000"/>
          <w:sz w:val="20"/>
          <w:u w:val="none"/>
        </w:rPr>
        <w:t xml:space="preserve"> upon settlement of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T</w:t>
      </w:r>
      <w:r>
        <w:rPr>
          <w:rFonts w:ascii="Times New Roman" w:eastAsia="Times New Roman" w:hAnsi="Times New Roman" w:cs="Times New Roman"/>
          <w:b w:val="0"/>
          <w:i w:val="0"/>
          <w:color w:val="000000"/>
          <w:sz w:val="20"/>
          <w:u w:val="none"/>
        </w:rPr>
        <w:t xml:space="preserve">he </w:t>
      </w:r>
      <w:r>
        <w:rPr>
          <w:rFonts w:ascii="Times New Roman" w:eastAsia="Times New Roman" w:hAnsi="Times New Roman" w:cs="Times New Roman"/>
          <w:b w:val="0"/>
          <w:i w:val="0"/>
          <w:color w:val="000000"/>
          <w:sz w:val="20"/>
          <w:u w:val="none"/>
        </w:rPr>
        <w:t>C</w:t>
      </w:r>
      <w:r>
        <w:rPr>
          <w:rFonts w:ascii="Times New Roman" w:eastAsia="Times New Roman" w:hAnsi="Times New Roman" w:cs="Times New Roman"/>
          <w:b w:val="0"/>
          <w:i w:val="0"/>
          <w:color w:val="000000"/>
          <w:sz w:val="20"/>
          <w:u w:val="none"/>
        </w:rPr>
        <w:t>ompan</w:t>
      </w:r>
      <w:r>
        <w:rPr>
          <w:rFonts w:ascii="Times New Roman" w:eastAsia="Times New Roman" w:hAnsi="Times New Roman" w:cs="Times New Roman"/>
          <w:b w:val="0"/>
          <w:i w:val="0"/>
          <w:color w:val="000000"/>
          <w:sz w:val="20"/>
          <w:u w:val="none"/>
        </w:rPr>
        <w:t xml:space="preserve">y </w:t>
      </w:r>
      <w:r>
        <w:rPr>
          <w:rFonts w:ascii="Times New Roman" w:eastAsia="Times New Roman" w:hAnsi="Times New Roman" w:cs="Times New Roman"/>
          <w:b w:val="0"/>
          <w:i w:val="0"/>
          <w:color w:val="000000"/>
          <w:sz w:val="20"/>
          <w:u w:val="none"/>
        </w:rPr>
        <w:t>recognized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$0.1 million</w:t>
      </w:r>
      <w:r>
        <w:rPr>
          <w:rFonts w:ascii="Times New Roman" w:eastAsia="Times New Roman" w:hAnsi="Times New Roman" w:cs="Times New Roman"/>
          <w:b w:val="0"/>
          <w:i w:val="0"/>
          <w:color w:val="000000"/>
          <w:sz w:val="20"/>
          <w:u w:val="none"/>
        </w:rPr>
        <w:t xml:space="preserve"> of loss on the unwinding </w:t>
      </w:r>
      <w:r>
        <w:rPr>
          <w:rFonts w:ascii="Times New Roman" w:eastAsia="Times New Roman" w:hAnsi="Times New Roman" w:cs="Times New Roman"/>
          <w:b w:val="0"/>
          <w:i w:val="0"/>
          <w:color w:val="000000"/>
          <w:sz w:val="20"/>
          <w:u w:val="none"/>
        </w:rPr>
        <w:t>of the dedesignated portion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which was reported in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Balance Sheet Hedges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also enters into foreign currency forward contracts to hedge fluctuations associated with foreign currency-denominated monetary assets and liabilities, primarily cash, lease contracts, third-party accounts receivable and payable, and intercompany accounts receivable and payable. These forward contracts are generally entered into at the end of one fiscal period and expire by the end of the next fiscal period. These forward contracts are not designated for hedge accounting treatment; therefore, the change in fair value of these derivatives is recorded as a component of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and offsets the change in fair value of the foreign currency-denominated assets and liabilities, which are also recorded as a component of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The Company has not and does not intend to use derivative financial instruments for speculative or trading purposes.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following table shows the notional amounts of outstanding foreign currency contracts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660"/>
        <w:gridCol w:w="75"/>
        <w:gridCol w:w="1995"/>
        <w:gridCol w:w="75"/>
        <w:gridCol w:w="1995"/>
      </w:tblGrid>
      <w:tr>
        <w:tblPrEx>
          <w:tblW w:w="10800" w:type="dxa"/>
          <w:tblInd w:w="0" w:type="dxa"/>
          <w:tblLayout w:type="fixed"/>
        </w:tblPrEx>
        <w:trPr>
          <w:cantSplit/>
          <w:trHeight w:hRule="exact" w:val="465"/>
        </w:trPr>
        <w:tc>
          <w:tcPr>
            <w:tcW w:w="66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06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Notional Value of Derivatives not Designated as Hedging Instruments:</w:t>
            </w:r>
          </w:p>
        </w:tc>
      </w:tr>
      <w:tr>
        <w:tblPrEx>
          <w:tblW w:w="10800" w:type="dxa"/>
          <w:tblInd w:w="0" w:type="dxa"/>
          <w:tblLayout w:type="fixed"/>
        </w:tblPrEx>
        <w:trPr>
          <w:cantSplit/>
          <w:trHeight w:hRule="exact" w:val="285"/>
        </w:trPr>
        <w:tc>
          <w:tcPr>
            <w:tcW w:w="66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 of equivalent USD)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Buy Contracts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9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Sell Contracts</w:t>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Australian Dollar</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89"/>
                <w:tab w:val="left" w:pos="1927"/>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44"/>
                <w:tab w:val="left" w:pos="1927"/>
              </w:tabs>
              <w:spacing w:before="55" w:after="30" w:line="240" w:lineRule="auto"/>
              <w:jc w:val="right"/>
            </w:pPr>
            <w:r>
              <w:rPr>
                <w:rFonts w:ascii="Times New Roman" w:eastAsia="Times New Roman" w:hAnsi="Times New Roman" w:cs="Times New Roman"/>
                <w:b w:val="0"/>
                <w:i w:val="0"/>
                <w:color w:val="000000"/>
                <w:sz w:val="18"/>
                <w:u w:val="none"/>
              </w:rPr>
              <w:t>$</w:t>
              <w:tab/>
              <w:t>1.8</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Chinese Renminbi</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554"/>
                <w:tab w:val="left" w:pos="1927"/>
              </w:tabs>
              <w:spacing w:before="75" w:after="30" w:line="240" w:lineRule="auto"/>
              <w:jc w:val="right"/>
            </w:pPr>
            <w:r>
              <w:rPr>
                <w:rFonts w:ascii="Times New Roman" w:eastAsia="Times New Roman" w:hAnsi="Times New Roman" w:cs="Times New Roman"/>
                <w:b w:val="0"/>
                <w:i w:val="0"/>
                <w:color w:val="000000"/>
                <w:sz w:val="18"/>
                <w:u w:val="none"/>
              </w:rPr>
              <w:tab/>
              <w:t>11.6</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Euro</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554"/>
                <w:tab w:val="left" w:pos="1927"/>
              </w:tabs>
              <w:spacing w:before="75" w:after="30" w:line="240" w:lineRule="auto"/>
              <w:jc w:val="right"/>
            </w:pPr>
            <w:r>
              <w:rPr>
                <w:rFonts w:ascii="Times New Roman" w:eastAsia="Times New Roman" w:hAnsi="Times New Roman" w:cs="Times New Roman"/>
                <w:b w:val="0"/>
                <w:i w:val="0"/>
                <w:color w:val="000000"/>
                <w:sz w:val="18"/>
                <w:u w:val="none"/>
              </w:rPr>
              <w:tab/>
              <w:t>40.5</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Indian Rupee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44"/>
                <w:tab w:val="left" w:pos="1927"/>
              </w:tabs>
              <w:spacing w:before="75" w:after="30" w:line="240" w:lineRule="auto"/>
              <w:jc w:val="right"/>
            </w:pPr>
            <w:r>
              <w:rPr>
                <w:rFonts w:ascii="Times New Roman" w:eastAsia="Times New Roman" w:hAnsi="Times New Roman" w:cs="Times New Roman"/>
                <w:b w:val="0"/>
                <w:i w:val="0"/>
                <w:color w:val="000000"/>
                <w:sz w:val="18"/>
                <w:u w:val="none"/>
              </w:rPr>
              <w:tab/>
              <w:t>3.9</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Japanese Yen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44"/>
                <w:tab w:val="left" w:pos="1927"/>
              </w:tabs>
              <w:spacing w:before="75" w:after="30" w:line="240" w:lineRule="auto"/>
              <w:jc w:val="right"/>
            </w:pPr>
            <w:r>
              <w:rPr>
                <w:rFonts w:ascii="Times New Roman" w:eastAsia="Times New Roman" w:hAnsi="Times New Roman" w:cs="Times New Roman"/>
                <w:b w:val="0"/>
                <w:i w:val="0"/>
                <w:color w:val="000000"/>
                <w:sz w:val="18"/>
                <w:u w:val="none"/>
              </w:rPr>
              <w:tab/>
              <w:t>5.8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Mexican Peso</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44"/>
                <w:tab w:val="left" w:pos="1927"/>
              </w:tabs>
              <w:spacing w:before="75" w:after="30" w:line="240" w:lineRule="auto"/>
              <w:jc w:val="right"/>
            </w:pPr>
            <w:r>
              <w:rPr>
                <w:rFonts w:ascii="Times New Roman" w:eastAsia="Times New Roman" w:hAnsi="Times New Roman" w:cs="Times New Roman"/>
                <w:b w:val="0"/>
                <w:i w:val="0"/>
                <w:color w:val="000000"/>
                <w:sz w:val="18"/>
                <w:u w:val="none"/>
              </w:rPr>
              <w:tab/>
              <w:t>1.2</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Philippine Peso</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554"/>
                <w:tab w:val="left" w:pos="1927"/>
              </w:tabs>
              <w:spacing w:before="75" w:after="30" w:line="240" w:lineRule="auto"/>
              <w:jc w:val="right"/>
            </w:pPr>
            <w:r>
              <w:rPr>
                <w:rFonts w:ascii="Times New Roman" w:eastAsia="Times New Roman" w:hAnsi="Times New Roman" w:cs="Times New Roman"/>
                <w:b w:val="0"/>
                <w:i w:val="0"/>
                <w:color w:val="000000"/>
                <w:sz w:val="18"/>
                <w:u w:val="none"/>
              </w:rPr>
              <w:tab/>
              <w:t>11.8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Swiss Franc</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644"/>
                <w:tab w:val="left" w:pos="1927"/>
              </w:tabs>
              <w:spacing w:before="75" w:after="30" w:line="240" w:lineRule="auto"/>
              <w:jc w:val="right"/>
            </w:pPr>
            <w:r>
              <w:rPr>
                <w:rFonts w:ascii="Times New Roman" w:eastAsia="Times New Roman" w:hAnsi="Times New Roman" w:cs="Times New Roman"/>
                <w:b w:val="0"/>
                <w:i w:val="0"/>
                <w:color w:val="000000"/>
                <w:sz w:val="18"/>
                <w:u w:val="none"/>
              </w:rPr>
              <w:tab/>
              <w:t>2.1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9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689"/>
                <w:tab w:val="left" w:pos="192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66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120"/>
              <w:jc w:val="left"/>
            </w:pPr>
            <w:r>
              <w:rPr>
                <w:rFonts w:ascii="Times New Roman" w:eastAsia="Times New Roman" w:hAnsi="Times New Roman" w:cs="Times New Roman"/>
                <w:b/>
                <w:i w:val="0"/>
                <w:color w:val="000000"/>
                <w:sz w:val="18"/>
                <w:u w:val="none"/>
              </w:rPr>
              <w:t>Total notional value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554"/>
                <w:tab w:val="left" w:pos="1927"/>
              </w:tabs>
              <w:spacing w:before="55" w:after="30" w:line="240" w:lineRule="auto"/>
              <w:jc w:val="right"/>
            </w:pPr>
            <w:r>
              <w:rPr>
                <w:rFonts w:ascii="Times New Roman" w:eastAsia="Times New Roman" w:hAnsi="Times New Roman" w:cs="Times New Roman"/>
                <w:b/>
                <w:i w:val="0"/>
                <w:color w:val="000000"/>
                <w:sz w:val="18"/>
                <w:u w:val="none"/>
              </w:rPr>
              <w:t>$</w:t>
              <w:tab/>
              <w:t>19.7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9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554"/>
                <w:tab w:val="left" w:pos="1927"/>
              </w:tabs>
              <w:spacing w:before="55" w:after="30" w:line="240" w:lineRule="auto"/>
              <w:jc w:val="right"/>
            </w:pPr>
            <w:r>
              <w:rPr>
                <w:rFonts w:ascii="Times New Roman" w:eastAsia="Times New Roman" w:hAnsi="Times New Roman" w:cs="Times New Roman"/>
                <w:b/>
                <w:i w:val="0"/>
                <w:color w:val="000000"/>
                <w:sz w:val="18"/>
                <w:u w:val="none"/>
              </w:rPr>
              <w:t>$</w:t>
              <w:tab/>
              <w:t>59.0</w:t>
              <w:tab/>
            </w:r>
          </w:p>
        </w:tc>
      </w:tr>
    </w:tbl>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i/>
          <w:color w:val="000000"/>
          <w:sz w:val="2"/>
          <w:u w:val="none"/>
        </w:rPr>
      </w:pPr>
    </w:p>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i/>
          <w:color w:val="000000"/>
          <w:sz w:val="2"/>
          <w:u w:val="none"/>
        </w:rPr>
        <w:sectPr>
          <w:headerReference w:type="default" r:id="rId24"/>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9" w:name="Section20"/>
      <w:bookmarkEnd w:id="19"/>
      <w:r>
        <w:rPr>
          <w:rFonts w:ascii="Times New Roman" w:eastAsia="Times New Roman" w:hAnsi="Times New Roman" w:cs="Times New Roman"/>
          <w:b/>
          <w:i w:val="0"/>
          <w:color w:val="000000"/>
          <w:sz w:val="20"/>
          <w:u w:val="none"/>
        </w:rPr>
        <w:t>6</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FAIR VALUE</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Assets and Liabilities Measured at Fair Value on a Recurring Basis</w:t>
      </w:r>
    </w:p>
    <w:p>
      <w:pPr>
        <w:keepNext w:val="0"/>
        <w:keepLines w:val="0"/>
        <w:pageBreakBefore w:val="0"/>
        <w:widowControl/>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fair values of certain of the Company’s financial instruments, including bank deposits included in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restricted cash</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accounts receivable, net</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accounts payable</w:t>
      </w:r>
      <w:r>
        <w:rPr>
          <w:rFonts w:ascii="Times New Roman" w:eastAsia="Times New Roman" w:hAnsi="Times New Roman" w:cs="Times New Roman"/>
          <w:b w:val="0"/>
          <w:i w:val="0"/>
          <w:color w:val="000000"/>
          <w:sz w:val="20"/>
          <w:u w:val="none"/>
        </w:rPr>
        <w:t>, approximate their fair values due to their short maturities.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he fair value</w:t>
      </w:r>
      <w:r>
        <w:rPr>
          <w:rFonts w:ascii="Times New Roman" w:eastAsia="Times New Roman" w:hAnsi="Times New Roman" w:cs="Times New Roman"/>
          <w:b w:val="0"/>
          <w:i w:val="0"/>
          <w:color w:val="000000"/>
          <w:sz w:val="20"/>
          <w:u w:val="none"/>
        </w:rPr>
        <w:t xml:space="preserve"> of the Company’s </w:t>
      </w:r>
      <w:r>
        <w:rPr>
          <w:rFonts w:ascii="Times New Roman" w:eastAsia="Times New Roman" w:hAnsi="Times New Roman" w:cs="Times New Roman"/>
          <w:b w:val="0"/>
          <w:i w:val="0"/>
          <w:color w:val="000000"/>
          <w:sz w:val="20"/>
          <w:u w:val="none"/>
        </w:rPr>
        <w:t xml:space="preserve">Senior Secured Notes, as defined in Note </w:t>
      </w:r>
      <w:r>
        <w:rPr>
          <w:rFonts w:ascii="Times New Roman" w:eastAsia="Times New Roman" w:hAnsi="Times New Roman" w:cs="Times New Roman"/>
          <w:b w:val="0"/>
          <w:i w:val="0"/>
          <w:color w:val="000000"/>
          <w:sz w:val="20"/>
          <w:u w:val="none"/>
        </w:rPr>
        <w:t>9</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Borrowings</w:t>
      </w:r>
      <w:r>
        <w:rPr>
          <w:rFonts w:ascii="Times New Roman" w:eastAsia="Times New Roman" w:hAnsi="Times New Roman" w:cs="Times New Roman"/>
          <w:b w:val="0"/>
          <w:i/>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is </w:t>
      </w:r>
      <w:r>
        <w:rPr>
          <w:rFonts w:ascii="Times New Roman" w:eastAsia="Times New Roman" w:hAnsi="Times New Roman" w:cs="Times New Roman"/>
          <w:b w:val="0"/>
          <w:i w:val="0"/>
          <w:color w:val="000000"/>
          <w:sz w:val="20"/>
          <w:u w:val="none"/>
        </w:rPr>
        <w:t>measured using Level 1 inputs,</w:t>
      </w:r>
      <w:r>
        <w:rPr>
          <w:rFonts w:ascii="Times New Roman" w:eastAsia="Times New Roman" w:hAnsi="Times New Roman" w:cs="Times New Roman"/>
          <w:b w:val="0"/>
          <w:i w:val="0"/>
          <w:color w:val="000000"/>
          <w:sz w:val="20"/>
          <w:u w:val="none"/>
        </w:rPr>
        <w:t xml:space="preserve"> and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w:t>
      </w:r>
      <w:r>
        <w:rPr>
          <w:rFonts w:ascii="Times New Roman" w:eastAsia="Times New Roman" w:hAnsi="Times New Roman" w:cs="Times New Roman"/>
          <w:b w:val="0"/>
          <w:i w:val="0"/>
          <w:color w:val="000000"/>
          <w:sz w:val="20"/>
          <w:u w:val="none"/>
        </w:rPr>
        <w:t xml:space="preserve">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w</w:t>
      </w:r>
      <w:r>
        <w:rPr>
          <w:rFonts w:ascii="Times New Roman" w:eastAsia="Times New Roman" w:hAnsi="Times New Roman" w:cs="Times New Roman"/>
          <w:b w:val="0"/>
          <w:i w:val="0"/>
          <w:color w:val="000000"/>
          <w:sz w:val="20"/>
          <w:u w:val="none"/>
        </w:rPr>
        <w:t>as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$373.1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and </w:t>
      </w:r>
      <w:r>
        <w:rPr>
          <w:rFonts w:ascii="Times New Roman" w:eastAsia="Times New Roman" w:hAnsi="Times New Roman" w:cs="Times New Roman"/>
          <w:b w:val="0"/>
          <w:i w:val="0"/>
          <w:color w:val="000000"/>
          <w:sz w:val="20"/>
          <w:u w:val="none"/>
        </w:rPr>
        <w:t>$247.6 million</w:t>
      </w:r>
      <w:r>
        <w:rPr>
          <w:rFonts w:ascii="Times New Roman" w:eastAsia="Times New Roman" w:hAnsi="Times New Roman" w:cs="Times New Roman"/>
          <w:b w:val="0"/>
          <w:i w:val="0"/>
          <w:color w:val="000000"/>
          <w:sz w:val="20"/>
          <w:u w:val="none"/>
        </w:rPr>
        <w:t>, respectively. The Company has elected to use the income approach to value its derivative instruments using standard valuation techniques and Level 2 inputs, such as currency spot rates, forward points and credit default swap spreads.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In the tables below, the Company has segregated all assets and liabilities that are measured at fair value on a recurring basis into the most appropriate level within the fair value hierarchy based on the inputs used to determine the fair value at the measurement date.</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375"/>
        <w:gridCol w:w="1800"/>
        <w:gridCol w:w="75"/>
        <w:gridCol w:w="1800"/>
        <w:gridCol w:w="75"/>
        <w:gridCol w:w="1800"/>
        <w:gridCol w:w="75"/>
        <w:gridCol w:w="1800"/>
      </w:tblGrid>
      <w:tr>
        <w:tblPrEx>
          <w:tblW w:w="10800" w:type="dxa"/>
          <w:tblInd w:w="0" w:type="dxa"/>
          <w:tblLayout w:type="fixed"/>
        </w:tblPrEx>
        <w:trPr>
          <w:cantSplit/>
          <w:trHeight w:hRule="exact" w:val="285"/>
        </w:trPr>
        <w:tc>
          <w:tcPr>
            <w:tcW w:w="33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4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Fair Value at July 4, 2025</w:t>
            </w:r>
          </w:p>
        </w:tc>
      </w:tr>
      <w:tr>
        <w:tblPrEx>
          <w:tblW w:w="10800" w:type="dxa"/>
          <w:tblInd w:w="0" w:type="dxa"/>
          <w:tblLayout w:type="fixed"/>
        </w:tblPrEx>
        <w:trPr>
          <w:cantSplit/>
          <w:trHeight w:hRule="exact" w:val="705"/>
        </w:trPr>
        <w:tc>
          <w:tcPr>
            <w:tcW w:w="337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Quoted Prices in Active Markets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Significant Other</w:t>
            </w:r>
          </w:p>
          <w:p>
            <w:pPr>
              <w:pageBreakBefore w:val="0"/>
              <w:numPr>
                <w:ilvl w:val="0"/>
                <w:numId w:val="0"/>
              </w:numPr>
              <w:spacing w:before="0" w:after="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Observable Inputs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Significant Unobservable Inputs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3)</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w:t>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88" w:lineRule="auto"/>
              <w:ind w:left="180" w:hanging="180"/>
              <w:jc w:val="left"/>
            </w:pPr>
            <w:r>
              <w:rPr>
                <w:rFonts w:ascii="Times New Roman" w:eastAsia="Times New Roman" w:hAnsi="Times New Roman" w:cs="Times New Roman"/>
                <w:b/>
                <w:i w:val="0"/>
                <w:color w:val="000000"/>
                <w:sz w:val="18"/>
                <w:u w:val="none"/>
              </w:rPr>
              <w:t>Assets:</w:t>
            </w: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Money market funds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7.3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7.3</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Commercial paper</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3.1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3.1</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Corporate notes/bonds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6.0</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Government agencies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U.S. treasury bills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3.1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3.1</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31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Deferred compensation plan</w:t>
            </w:r>
            <w:r>
              <w:rPr>
                <w:rFonts w:ascii="Times New Roman" w:eastAsia="Times New Roman" w:hAnsi="Times New Roman" w:cs="Times New Roman"/>
                <w:b w:val="0"/>
                <w:i w:val="0"/>
                <w:sz w:val="18"/>
                <w:vertAlign w:val="superscript"/>
              </w:rPr>
              <w:t>(1)</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7.9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7.9</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Marketable equity securities</w:t>
            </w: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1.6</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assets measured at fair value</w:t>
            </w: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55" w:after="30" w:line="240" w:lineRule="auto"/>
              <w:jc w:val="right"/>
            </w:pPr>
            <w:r>
              <w:rPr>
                <w:rFonts w:ascii="Times New Roman" w:eastAsia="Times New Roman" w:hAnsi="Times New Roman" w:cs="Times New Roman"/>
                <w:b/>
                <w:i w:val="0"/>
                <w:color w:val="000000"/>
                <w:sz w:val="18"/>
                <w:u w:val="none"/>
              </w:rPr>
              <w:t>$</w:t>
              <w:tab/>
              <w:t>9.5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23.5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33.0</w:t>
              <w:tab/>
            </w:r>
          </w:p>
        </w:tc>
      </w:tr>
      <w:tr>
        <w:tblPrEx>
          <w:tblW w:w="10800" w:type="dxa"/>
          <w:tblInd w:w="0" w:type="dxa"/>
          <w:tblLayout w:type="fixed"/>
        </w:tblPrEx>
        <w:trPr>
          <w:cantSplit/>
          <w:trHeight w:hRule="exact" w:val="165"/>
        </w:trPr>
        <w:tc>
          <w:tcPr>
            <w:tcW w:w="33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88" w:lineRule="auto"/>
              <w:ind w:left="180" w:right="0" w:hanging="18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Liabilities:</w:t>
            </w:r>
          </w:p>
        </w:tc>
        <w:tc>
          <w:tcPr>
            <w:tcW w:w="1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315"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Derivative liabilities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11.0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11.0</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liabilities measured at fair value</w:t>
            </w: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11.0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11.0</w:t>
              <w:tab/>
            </w:r>
          </w:p>
        </w:tc>
      </w:tr>
    </w:tbl>
    <w:p>
      <w:pPr>
        <w:keepNext w:val="0"/>
        <w:keepLines/>
        <w:pageBreakBefore w:val="0"/>
        <w:widowControl w:val="0"/>
        <w:numPr>
          <w:ilvl w:val="0"/>
          <w:numId w:val="0"/>
        </w:numPr>
        <w:spacing w:before="100" w:after="120" w:line="288" w:lineRule="auto"/>
        <w:ind w:left="0" w:right="0" w:firstLine="0"/>
        <w:jc w:val="left"/>
        <w:outlineLvl w:val="9"/>
        <w:rPr>
          <w:rFonts w:ascii="Times New Roman" w:eastAsia="Times New Roman" w:hAnsi="Times New Roman" w:cs="Times New Roman"/>
          <w:b w:val="0"/>
          <w:i w:val="0"/>
          <w:color w:val="000000"/>
          <w:sz w:val="18"/>
          <w:u w:val="none"/>
        </w:rPr>
      </w:pPr>
      <w:r>
        <w:rPr>
          <w:rFonts w:ascii="Times New Roman" w:eastAsia="Times New Roman" w:hAnsi="Times New Roman" w:cs="Times New Roman"/>
          <w:b w:val="0"/>
          <w:i w:val="0"/>
          <w:color w:val="000000"/>
          <w:sz w:val="18"/>
          <w:u w:val="none"/>
          <w:vertAlign w:val="superscript"/>
        </w:rPr>
        <w:t xml:space="preserve">(1) </w:t>
      </w:r>
      <w:r>
        <w:rPr>
          <w:rFonts w:ascii="Times New Roman" w:eastAsia="Times New Roman" w:hAnsi="Times New Roman" w:cs="Times New Roman"/>
          <w:b w:val="0"/>
          <w:i w:val="0"/>
          <w:color w:val="000000"/>
          <w:sz w:val="18"/>
          <w:u w:val="none"/>
        </w:rPr>
        <w:t>The assets held under the Company’s deferred compensation plan are classified in Level 1, as they relate primarily to publicly traded mutual funds for which there are observable market prices in active markets.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375"/>
        <w:gridCol w:w="1800"/>
        <w:gridCol w:w="75"/>
        <w:gridCol w:w="1800"/>
        <w:gridCol w:w="75"/>
        <w:gridCol w:w="1800"/>
        <w:gridCol w:w="75"/>
        <w:gridCol w:w="1800"/>
      </w:tblGrid>
      <w:tr>
        <w:tblPrEx>
          <w:tblW w:w="10800" w:type="dxa"/>
          <w:tblInd w:w="0" w:type="dxa"/>
          <w:tblLayout w:type="fixed"/>
        </w:tblPrEx>
        <w:trPr>
          <w:cantSplit/>
          <w:trHeight w:hRule="exact" w:val="285"/>
        </w:trPr>
        <w:tc>
          <w:tcPr>
            <w:tcW w:w="33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425" w:type="dxa"/>
            <w:gridSpan w:val="7"/>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Fair Value at September 27, 2024</w:t>
            </w:r>
          </w:p>
        </w:tc>
      </w:tr>
      <w:tr>
        <w:tblPrEx>
          <w:tblW w:w="10800" w:type="dxa"/>
          <w:tblInd w:w="0" w:type="dxa"/>
          <w:tblLayout w:type="fixed"/>
        </w:tblPrEx>
        <w:trPr>
          <w:cantSplit/>
          <w:trHeight w:hRule="exact" w:val="705"/>
        </w:trPr>
        <w:tc>
          <w:tcPr>
            <w:tcW w:w="337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Quoted Prices in Active Markets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Significant Other</w:t>
            </w:r>
          </w:p>
          <w:p>
            <w:pPr>
              <w:pageBreakBefore w:val="0"/>
              <w:numPr>
                <w:ilvl w:val="0"/>
                <w:numId w:val="0"/>
              </w:numPr>
              <w:spacing w:before="0" w:after="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Observable Inputs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2)</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Significant Unobservable Inputs</w:t>
            </w:r>
          </w:p>
          <w:p>
            <w:pPr>
              <w:pageBreakBefore w:val="0"/>
              <w:numPr>
                <w:ilvl w:val="0"/>
                <w:numId w:val="0"/>
              </w:numPr>
              <w:spacing w:before="0" w:after="30" w:line="240"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(Level 3)</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Total</w:t>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88" w:lineRule="auto"/>
              <w:ind w:left="180" w:right="0" w:hanging="18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Assets:</w:t>
            </w: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Money market funds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24.4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24.4</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Corporate notes/bonds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16.5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16.5</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Government agencies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18.3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18.3</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U.S. treasury bills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6.1</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Certificates of deposit</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0.9</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Derivative assets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1.0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1.0</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35"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Deferred compensation plan</w:t>
            </w:r>
            <w:r>
              <w:rPr>
                <w:rFonts w:ascii="Times New Roman" w:eastAsia="Times New Roman" w:hAnsi="Times New Roman" w:cs="Times New Roman"/>
                <w:b w:val="0"/>
                <w:i w:val="0"/>
                <w:sz w:val="18"/>
                <w:vertAlign w:val="superscript"/>
              </w:rPr>
              <w:t>(1)</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7.5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7.5</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Marketable equity securities</w:t>
            </w: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2.6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2.6</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assets measured at fair value</w:t>
            </w: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10.1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67.2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77.3</w:t>
              <w:tab/>
            </w:r>
          </w:p>
        </w:tc>
      </w:tr>
      <w:tr>
        <w:tblPrEx>
          <w:tblW w:w="10800" w:type="dxa"/>
          <w:tblInd w:w="0" w:type="dxa"/>
          <w:tblLayout w:type="fixed"/>
        </w:tblPrEx>
        <w:trPr>
          <w:cantSplit/>
          <w:trHeight w:hRule="exact" w:val="165"/>
        </w:trPr>
        <w:tc>
          <w:tcPr>
            <w:tcW w:w="33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88" w:lineRule="auto"/>
              <w:ind w:left="180" w:hanging="180"/>
              <w:jc w:val="left"/>
            </w:pPr>
            <w:r>
              <w:rPr>
                <w:rFonts w:ascii="Times New Roman" w:eastAsia="Times New Roman" w:hAnsi="Times New Roman" w:cs="Times New Roman"/>
                <w:b/>
                <w:i w:val="0"/>
                <w:color w:val="000000"/>
                <w:sz w:val="18"/>
                <w:u w:val="none"/>
              </w:rPr>
              <w:t>Liabilities:</w:t>
            </w: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35"/>
              <w:jc w:val="left"/>
            </w:pPr>
            <w:r>
              <w:rPr>
                <w:rFonts w:ascii="Times New Roman" w:eastAsia="Times New Roman" w:hAnsi="Times New Roman" w:cs="Times New Roman"/>
                <w:b w:val="0"/>
                <w:i w:val="0"/>
                <w:color w:val="000000"/>
                <w:sz w:val="18"/>
                <w:u w:val="none"/>
              </w:rPr>
              <w:t>Derivative liabilities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8.6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8.6</w:t>
              <w:tab/>
            </w:r>
          </w:p>
        </w:tc>
      </w:tr>
      <w:tr>
        <w:tblPrEx>
          <w:tblW w:w="10800" w:type="dxa"/>
          <w:tblInd w:w="0" w:type="dxa"/>
          <w:tblLayout w:type="fixed"/>
        </w:tblPrEx>
        <w:trPr>
          <w:cantSplit/>
          <w:trHeight w:hRule="exact" w:val="285"/>
        </w:trPr>
        <w:tc>
          <w:tcPr>
            <w:tcW w:w="337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liabilities measured at fair value</w:t>
            </w: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55" w:after="30" w:line="240" w:lineRule="auto"/>
              <w:jc w:val="right"/>
            </w:pPr>
            <w:r>
              <w:rPr>
                <w:rFonts w:ascii="Times New Roman" w:eastAsia="Times New Roman" w:hAnsi="Times New Roman" w:cs="Times New Roman"/>
                <w:b/>
                <w:i w:val="0"/>
                <w:color w:val="000000"/>
                <w:sz w:val="18"/>
                <w:u w:val="none"/>
              </w:rPr>
              <w:t>$</w:t>
              <w:tab/>
              <w:t>8.6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94"/>
                <w:tab w:val="left" w:pos="1732"/>
              </w:tabs>
              <w:spacing w:before="55" w:after="30" w:line="240" w:lineRule="auto"/>
              <w:jc w:val="right"/>
            </w:pPr>
            <w:r>
              <w:rPr>
                <w:rFonts w:ascii="Times New Roman" w:eastAsia="Times New Roman" w:hAnsi="Times New Roman" w:cs="Times New Roman"/>
                <w:b/>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449"/>
                <w:tab w:val="left" w:pos="1732"/>
              </w:tabs>
              <w:spacing w:before="55" w:after="30" w:line="240" w:lineRule="auto"/>
              <w:jc w:val="right"/>
            </w:pPr>
            <w:r>
              <w:rPr>
                <w:rFonts w:ascii="Times New Roman" w:eastAsia="Times New Roman" w:hAnsi="Times New Roman" w:cs="Times New Roman"/>
                <w:b/>
                <w:i w:val="0"/>
                <w:color w:val="000000"/>
                <w:sz w:val="18"/>
                <w:u w:val="none"/>
              </w:rPr>
              <w:t>$</w:t>
              <w:tab/>
              <w:t>8.6</w:t>
              <w:tab/>
            </w:r>
          </w:p>
        </w:tc>
      </w:tr>
    </w:tbl>
    <w:p>
      <w:pPr>
        <w:keepNext w:val="0"/>
        <w:keepLines/>
        <w:pageBreakBefore w:val="0"/>
        <w:widowControl w:val="0"/>
        <w:numPr>
          <w:ilvl w:val="0"/>
          <w:numId w:val="0"/>
        </w:numPr>
        <w:spacing w:before="100" w:after="0" w:line="288" w:lineRule="auto"/>
        <w:ind w:left="0" w:right="0" w:firstLine="0"/>
        <w:jc w:val="left"/>
        <w:outlineLvl w:val="9"/>
        <w:rPr>
          <w:rFonts w:ascii="Times New Roman" w:eastAsia="Times New Roman" w:hAnsi="Times New Roman" w:cs="Times New Roman"/>
          <w:b w:val="0"/>
          <w:i w:val="0"/>
          <w:color w:val="000000"/>
          <w:sz w:val="18"/>
          <w:u w:val="none"/>
        </w:rPr>
      </w:pPr>
      <w:r>
        <w:rPr>
          <w:rFonts w:ascii="Times New Roman" w:eastAsia="Times New Roman" w:hAnsi="Times New Roman" w:cs="Times New Roman"/>
          <w:b w:val="0"/>
          <w:i w:val="0"/>
          <w:color w:val="000000"/>
          <w:sz w:val="18"/>
          <w:u w:val="none"/>
          <w:vertAlign w:val="superscript"/>
        </w:rPr>
        <w:t xml:space="preserve">(1) </w:t>
      </w:r>
      <w:r>
        <w:rPr>
          <w:rFonts w:ascii="Times New Roman" w:eastAsia="Times New Roman" w:hAnsi="Times New Roman" w:cs="Times New Roman"/>
          <w:b w:val="0"/>
          <w:i w:val="0"/>
          <w:color w:val="000000"/>
          <w:sz w:val="18"/>
          <w:u w:val="none"/>
        </w:rPr>
        <w:t>The assets held under the Company’s deferred compensation plan are classified in Level 1, as they relate primarily to publicly traded mutual funds for which there are observable market prices in active markets.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 xml:space="preserve">Nonrecurring </w:t>
      </w:r>
      <w:r>
        <w:rPr>
          <w:rFonts w:ascii="Times New Roman" w:eastAsia="Times New Roman" w:hAnsi="Times New Roman" w:cs="Times New Roman"/>
          <w:b/>
          <w:i/>
          <w:color w:val="000000"/>
          <w:sz w:val="20"/>
          <w:u w:val="none"/>
        </w:rPr>
        <w:t>F</w:t>
      </w:r>
      <w:r>
        <w:rPr>
          <w:rFonts w:ascii="Times New Roman" w:eastAsia="Times New Roman" w:hAnsi="Times New Roman" w:cs="Times New Roman"/>
          <w:b/>
          <w:i/>
          <w:color w:val="000000"/>
          <w:sz w:val="20"/>
          <w:u w:val="none"/>
        </w:rPr>
        <w:t>air Value Measurements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18"/>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In the third quarter of fiscal year 2025, </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he Company</w:t>
      </w:r>
      <w:r>
        <w:rPr>
          <w:rFonts w:ascii="Times New Roman" w:eastAsia="Times New Roman" w:hAnsi="Times New Roman" w:cs="Times New Roman"/>
          <w:b w:val="0"/>
          <w:i w:val="0"/>
          <w:color w:val="000000"/>
          <w:sz w:val="20"/>
          <w:u w:val="none"/>
        </w:rPr>
        <w:t xml:space="preserve"> assessed </w:t>
      </w:r>
      <w:r>
        <w:rPr>
          <w:rFonts w:ascii="Times New Roman" w:eastAsia="Times New Roman" w:hAnsi="Times New Roman" w:cs="Times New Roman"/>
          <w:b w:val="0"/>
          <w:i w:val="0"/>
          <w:color w:val="000000"/>
          <w:sz w:val="20"/>
          <w:u w:val="none"/>
        </w:rPr>
        <w:t xml:space="preserve">its goodwill for impairment and concluded that the carrying value of </w:t>
      </w:r>
      <w:r>
        <w:rPr>
          <w:rFonts w:ascii="Times New Roman" w:eastAsia="Times New Roman" w:hAnsi="Times New Roman" w:cs="Times New Roman"/>
          <w:b w:val="0"/>
          <w:i w:val="0"/>
          <w:color w:val="000000"/>
          <w:sz w:val="20"/>
          <w:u w:val="none"/>
        </w:rPr>
        <w:t>the Medical reporting unit</w:t>
      </w:r>
      <w:r>
        <w:rPr>
          <w:rFonts w:ascii="Times New Roman" w:eastAsia="Times New Roman" w:hAnsi="Times New Roman" w:cs="Times New Roman"/>
          <w:b w:val="0"/>
          <w:i w:val="0"/>
          <w:color w:val="000000"/>
          <w:sz w:val="20"/>
          <w:u w:val="none"/>
        </w:rPr>
        <w:t xml:space="preserve"> was greater than its fair value. The nonrecurring fair value measurements used by</w:t>
      </w:r>
      <w:r>
        <w:rPr>
          <w:rFonts w:ascii="Times New Roman" w:eastAsia="Times New Roman" w:hAnsi="Times New Roman" w:cs="Times New Roman"/>
          <w:b w:val="0"/>
          <w:i w:val="0"/>
          <w:color w:val="000000"/>
          <w:sz w:val="20"/>
          <w:u w:val="none"/>
        </w:rPr>
        <w:t xml:space="preserve"> the Company to </w:t>
      </w:r>
      <w:r>
        <w:rPr>
          <w:rFonts w:ascii="Times New Roman" w:eastAsia="Times New Roman" w:hAnsi="Times New Roman" w:cs="Times New Roman"/>
          <w:b w:val="0"/>
          <w:i w:val="0"/>
          <w:color w:val="000000"/>
          <w:sz w:val="20"/>
          <w:u w:val="none"/>
        </w:rPr>
        <w:t xml:space="preserve">determine the </w:t>
      </w:r>
      <w:r>
        <w:rPr>
          <w:rFonts w:ascii="Times New Roman" w:eastAsia="Times New Roman" w:hAnsi="Times New Roman" w:cs="Times New Roman"/>
          <w:b w:val="0"/>
          <w:i w:val="0"/>
          <w:color w:val="000000"/>
          <w:sz w:val="20"/>
          <w:u w:val="none"/>
        </w:rPr>
        <w:t>impair</w:t>
      </w:r>
      <w:r>
        <w:rPr>
          <w:rFonts w:ascii="Times New Roman" w:eastAsia="Times New Roman" w:hAnsi="Times New Roman" w:cs="Times New Roman"/>
          <w:b w:val="0"/>
          <w:i w:val="0"/>
          <w:color w:val="000000"/>
          <w:sz w:val="20"/>
          <w:u w:val="none"/>
        </w:rPr>
        <w:t xml:space="preserve">ment of the </w:t>
      </w:r>
      <w:r>
        <w:rPr>
          <w:rFonts w:ascii="Times New Roman" w:eastAsia="Times New Roman" w:hAnsi="Times New Roman" w:cs="Times New Roman"/>
          <w:b w:val="0"/>
          <w:i w:val="0"/>
          <w:color w:val="000000"/>
          <w:sz w:val="20"/>
          <w:u w:val="none"/>
        </w:rPr>
        <w:t>Medical reporting unit</w:t>
      </w:r>
      <w:r>
        <w:rPr>
          <w:rFonts w:ascii="Times New Roman" w:eastAsia="Times New Roman" w:hAnsi="Times New Roman" w:cs="Times New Roman"/>
          <w:b w:val="0"/>
          <w:i w:val="0"/>
          <w:color w:val="000000"/>
          <w:sz w:val="20"/>
          <w:u w:val="none"/>
        </w:rPr>
        <w:t xml:space="preserve"> goodwill was calculated by equal weighting of the income approach based on estimated discounted future cash flow</w:t>
      </w:r>
      <w:r>
        <w:rPr>
          <w:rFonts w:ascii="Times New Roman" w:eastAsia="Times New Roman" w:hAnsi="Times New Roman" w:cs="Times New Roman"/>
          <w:b w:val="0"/>
          <w:i w:val="0"/>
          <w:color w:val="000000"/>
          <w:sz w:val="20"/>
          <w:u w:val="none"/>
        </w:rPr>
        <w:t>s and the market approach based on comparable publicly traded companies in s</w:t>
      </w:r>
      <w:r>
        <w:rPr>
          <w:rFonts w:ascii="Times New Roman" w:eastAsia="Times New Roman" w:hAnsi="Times New Roman" w:cs="Times New Roman"/>
          <w:b w:val="0"/>
          <w:i w:val="0"/>
          <w:color w:val="000000"/>
          <w:sz w:val="20"/>
          <w:u w:val="none"/>
        </w:rPr>
        <w:t xml:space="preserve">imilar lines of </w:t>
      </w:r>
      <w:r>
        <w:rPr>
          <w:rFonts w:ascii="Times New Roman" w:eastAsia="Times New Roman" w:hAnsi="Times New Roman" w:cs="Times New Roman"/>
          <w:b w:val="0"/>
          <w:i w:val="0"/>
          <w:color w:val="000000"/>
          <w:sz w:val="20"/>
          <w:u w:val="none"/>
        </w:rPr>
        <w:t xml:space="preserve">businesses. Under the income approach, </w:t>
      </w:r>
      <w:r>
        <w:rPr>
          <w:rFonts w:ascii="Times New Roman" w:eastAsia="Times New Roman" w:hAnsi="Times New Roman" w:cs="Times New Roman"/>
          <w:b w:val="0"/>
          <w:i w:val="0"/>
          <w:color w:val="000000"/>
          <w:sz w:val="20"/>
          <w:u w:val="none"/>
        </w:rPr>
        <w:t>fair value is determined based on a discounted cash flow technique that uses est</w:t>
      </w:r>
      <w:r>
        <w:rPr>
          <w:rFonts w:ascii="Times New Roman" w:eastAsia="Times New Roman" w:hAnsi="Times New Roman" w:cs="Times New Roman"/>
          <w:b w:val="0"/>
          <w:i w:val="0"/>
          <w:color w:val="000000"/>
          <w:sz w:val="20"/>
          <w:u w:val="none"/>
        </w:rPr>
        <w:t>imates of cash flows discounted to present value using rates comm</w:t>
      </w:r>
      <w:r>
        <w:rPr>
          <w:rFonts w:ascii="Times New Roman" w:eastAsia="Times New Roman" w:hAnsi="Times New Roman" w:cs="Times New Roman"/>
          <w:b w:val="0"/>
          <w:i w:val="0"/>
          <w:color w:val="000000"/>
          <w:sz w:val="20"/>
          <w:u w:val="none"/>
        </w:rPr>
        <w:t>ensurate</w:t>
      </w:r>
      <w:r>
        <w:rPr>
          <w:rFonts w:ascii="Times New Roman" w:eastAsia="Times New Roman" w:hAnsi="Times New Roman" w:cs="Times New Roman"/>
          <w:b w:val="0"/>
          <w:i w:val="0"/>
          <w:color w:val="000000"/>
          <w:sz w:val="20"/>
          <w:u w:val="none"/>
        </w:rPr>
        <w:t xml:space="preserve"> with the risks associated with those cash flows. Under the market approach, a market-based value is derived by relating multiples for earnings and cash flow </w:t>
      </w:r>
      <w:r>
        <w:rPr>
          <w:rFonts w:ascii="Times New Roman" w:eastAsia="Times New Roman" w:hAnsi="Times New Roman" w:cs="Times New Roman"/>
          <w:b w:val="0"/>
          <w:i w:val="0"/>
          <w:color w:val="000000"/>
          <w:sz w:val="20"/>
          <w:u w:val="none"/>
        </w:rPr>
        <w:t xml:space="preserve">measures for a group of comparable public companies to the same measure for each reporting unit to estimate fair value. This valuation resulted in a Level 3 nonrecurring fair value measurement. See Note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Goodwill and Intangible Assets</w:t>
      </w:r>
      <w:r>
        <w:rPr>
          <w:rFonts w:ascii="Times New Roman" w:eastAsia="Times New Roman" w:hAnsi="Times New Roman" w:cs="Times New Roman"/>
          <w:b w:val="0"/>
          <w:i w:val="0"/>
          <w:color w:val="000000"/>
          <w:sz w:val="20"/>
          <w:u w:val="none"/>
        </w:rPr>
        <w:t xml:space="preserve">, for </w:t>
      </w:r>
      <w:r>
        <w:rPr>
          <w:rFonts w:ascii="Times New Roman" w:eastAsia="Times New Roman" w:hAnsi="Times New Roman" w:cs="Times New Roman"/>
          <w:b w:val="0"/>
          <w:i w:val="0"/>
          <w:color w:val="000000"/>
          <w:sz w:val="20"/>
          <w:u w:val="none"/>
        </w:rPr>
        <w:t>further information</w:t>
      </w:r>
      <w:r>
        <w:rPr>
          <w:rFonts w:ascii="Times New Roman" w:eastAsia="Times New Roman" w:hAnsi="Times New Roman" w:cs="Times New Roman"/>
          <w:b w:val="0"/>
          <w:i w:val="0"/>
          <w:color w:val="000000"/>
          <w:sz w:val="20"/>
          <w:u w:val="none"/>
        </w:rPr>
        <w:t xml:space="preserve"> on the nature of the impairment.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Marketable Debt Securities</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i/>
          <w:color w:val="000000"/>
          <w:sz w:val="18"/>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following is a summary of marketable debt securities, which are included within the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marketable securities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balances on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165"/>
        <w:gridCol w:w="1500"/>
        <w:gridCol w:w="60"/>
        <w:gridCol w:w="1500"/>
        <w:gridCol w:w="75"/>
        <w:gridCol w:w="1500"/>
      </w:tblGrid>
      <w:tr>
        <w:tblPrEx>
          <w:tblW w:w="10800" w:type="dxa"/>
          <w:tblInd w:w="0" w:type="dxa"/>
          <w:tblLayout w:type="fixed"/>
        </w:tblPrEx>
        <w:trPr>
          <w:cantSplit/>
          <w:trHeight w:hRule="exact" w:val="285"/>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635" w:type="dxa"/>
            <w:gridSpan w:val="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r>
      <w:tr>
        <w:tblPrEx>
          <w:tblW w:w="10800" w:type="dxa"/>
          <w:tblInd w:w="0" w:type="dxa"/>
          <w:tblLayout w:type="fixed"/>
        </w:tblPrEx>
        <w:trPr>
          <w:cantSplit/>
          <w:trHeight w:hRule="exact" w:val="285"/>
        </w:trPr>
        <w:tc>
          <w:tcPr>
            <w:tcW w:w="616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Amortized Costs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Unrealized Losses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Fair Value</w:t>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195" w:hanging="180"/>
              <w:jc w:val="left"/>
            </w:pPr>
            <w:r>
              <w:rPr>
                <w:rFonts w:ascii="Times New Roman" w:eastAsia="Times New Roman" w:hAnsi="Times New Roman" w:cs="Times New Roman"/>
                <w:b w:val="0"/>
                <w:i w:val="0"/>
                <w:color w:val="000000"/>
                <w:sz w:val="18"/>
                <w:u w:val="none"/>
              </w:rPr>
              <w:t>Commercial paper</w:t>
            </w: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94"/>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3.1</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95" w:hanging="180"/>
              <w:jc w:val="left"/>
            </w:pPr>
            <w:r>
              <w:rPr>
                <w:rFonts w:ascii="Times New Roman" w:eastAsia="Times New Roman" w:hAnsi="Times New Roman" w:cs="Times New Roman"/>
                <w:b w:val="0"/>
                <w:i w:val="0"/>
                <w:color w:val="000000"/>
                <w:sz w:val="18"/>
                <w:u w:val="none"/>
              </w:rPr>
              <w:t>Corporate notes/bonds</w:t>
            </w: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6.1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69"/>
              </w:tabs>
              <w:spacing w:before="75" w:after="30" w:line="240" w:lineRule="auto"/>
              <w:jc w:val="right"/>
            </w:pPr>
            <w:r>
              <w:rPr>
                <w:rFonts w:ascii="Times New Roman" w:eastAsia="Times New Roman" w:hAnsi="Times New Roman" w:cs="Times New Roman"/>
                <w:b w:val="0"/>
                <w:i w:val="0"/>
                <w:color w:val="000000"/>
                <w:sz w:val="18"/>
                <w:u w:val="none"/>
              </w:rPr>
              <w:tab/>
              <w:t>(0.1)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6.0</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95" w:hanging="180"/>
              <w:jc w:val="left"/>
            </w:pPr>
            <w:r>
              <w:rPr>
                <w:rFonts w:ascii="Times New Roman" w:eastAsia="Times New Roman" w:hAnsi="Times New Roman" w:cs="Times New Roman"/>
                <w:b w:val="0"/>
                <w:i w:val="0"/>
                <w:color w:val="000000"/>
                <w:sz w:val="18"/>
                <w:u w:val="none"/>
              </w:rPr>
              <w:t>U.S. treasury bills</w:t>
            </w: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3.1</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95" w:hanging="180"/>
              <w:jc w:val="left"/>
            </w:pPr>
            <w:r>
              <w:rPr>
                <w:rFonts w:ascii="Times New Roman" w:eastAsia="Times New Roman" w:hAnsi="Times New Roman" w:cs="Times New Roman"/>
                <w:b w:val="0"/>
                <w:i w:val="0"/>
                <w:color w:val="000000"/>
                <w:sz w:val="18"/>
                <w:u w:val="none"/>
              </w:rPr>
              <w:t>Government agencies</w:t>
            </w: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4.0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7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4.0</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240"/>
              <w:jc w:val="left"/>
            </w:pPr>
            <w:r>
              <w:rPr>
                <w:rFonts w:ascii="Times New Roman" w:eastAsia="Times New Roman" w:hAnsi="Times New Roman" w:cs="Times New Roman"/>
                <w:b/>
                <w:i w:val="0"/>
                <w:color w:val="000000"/>
                <w:sz w:val="18"/>
                <w:u w:val="none"/>
              </w:rPr>
              <w:t>Total marketable debt securities</w:t>
            </w: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i w:val="0"/>
                <w:color w:val="000000"/>
                <w:sz w:val="18"/>
                <w:u w:val="none"/>
              </w:rPr>
              <w:t>$</w:t>
              <w:tab/>
              <w:t>16.3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69"/>
              </w:tabs>
              <w:spacing w:before="55" w:after="30" w:line="240" w:lineRule="auto"/>
              <w:jc w:val="right"/>
            </w:pPr>
            <w:r>
              <w:rPr>
                <w:rFonts w:ascii="Times New Roman" w:eastAsia="Times New Roman" w:hAnsi="Times New Roman" w:cs="Times New Roman"/>
                <w:b/>
                <w:i w:val="0"/>
                <w:color w:val="000000"/>
                <w:sz w:val="18"/>
                <w:u w:val="none"/>
              </w:rPr>
              <w:t>$</w:t>
              <w:tab/>
              <w:t>(0.1)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i w:val="0"/>
                <w:color w:val="000000"/>
                <w:sz w:val="18"/>
                <w:u w:val="none"/>
              </w:rPr>
              <w:t>$</w:t>
              <w:tab/>
              <w:t>16.2</w:t>
              <w:tab/>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10"/>
          <w:u w:val="none"/>
        </w:rPr>
      </w:pP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165"/>
        <w:gridCol w:w="1500"/>
        <w:gridCol w:w="60"/>
        <w:gridCol w:w="1500"/>
        <w:gridCol w:w="75"/>
        <w:gridCol w:w="1500"/>
      </w:tblGrid>
      <w:tr>
        <w:tblPrEx>
          <w:tblW w:w="10800" w:type="dxa"/>
          <w:tblInd w:w="0" w:type="dxa"/>
          <w:tblLayout w:type="fixed"/>
        </w:tblPrEx>
        <w:trPr>
          <w:cantSplit/>
          <w:trHeight w:hRule="exact" w:val="285"/>
        </w:trPr>
        <w:tc>
          <w:tcPr>
            <w:tcW w:w="6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635" w:type="dxa"/>
            <w:gridSpan w:val="5"/>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285"/>
        </w:trPr>
        <w:tc>
          <w:tcPr>
            <w:tcW w:w="616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Amortized Costs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Unrealized Gains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Fair Value</w:t>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195" w:hanging="180"/>
              <w:jc w:val="left"/>
            </w:pPr>
            <w:r>
              <w:rPr>
                <w:rFonts w:ascii="Times New Roman" w:eastAsia="Times New Roman" w:hAnsi="Times New Roman" w:cs="Times New Roman"/>
                <w:b w:val="0"/>
                <w:i w:val="0"/>
                <w:color w:val="000000"/>
                <w:sz w:val="18"/>
                <w:u w:val="none"/>
              </w:rPr>
              <w:t>Corporate notes/bonds</w:t>
            </w: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16.4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16.5</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95" w:hanging="180"/>
              <w:jc w:val="left"/>
            </w:pPr>
            <w:r>
              <w:rPr>
                <w:rFonts w:ascii="Times New Roman" w:eastAsia="Times New Roman" w:hAnsi="Times New Roman" w:cs="Times New Roman"/>
                <w:b w:val="0"/>
                <w:i w:val="0"/>
                <w:color w:val="000000"/>
                <w:sz w:val="18"/>
                <w:u w:val="none"/>
              </w:rPr>
              <w:t>U.S. treasury bills</w:t>
            </w: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6.1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6.1</w:t>
              <w:tab/>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Government agencies</w:t>
            </w:r>
          </w:p>
        </w:tc>
        <w:tc>
          <w:tcPr>
            <w:tcW w:w="150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18.3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18.3</w:t>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95" w:hanging="180"/>
              <w:jc w:val="left"/>
            </w:pPr>
            <w:r>
              <w:rPr>
                <w:rFonts w:ascii="Times New Roman" w:eastAsia="Times New Roman" w:hAnsi="Times New Roman" w:cs="Times New Roman"/>
                <w:b w:val="0"/>
                <w:i w:val="0"/>
                <w:color w:val="000000"/>
                <w:sz w:val="18"/>
                <w:u w:val="none"/>
              </w:rPr>
              <w:t>Certificates of deposit</w:t>
            </w:r>
          </w:p>
        </w:tc>
        <w:tc>
          <w:tcPr>
            <w:tcW w:w="1500"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0.9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0.9</w:t>
            </w:r>
          </w:p>
        </w:tc>
      </w:tr>
      <w:tr>
        <w:tblPrEx>
          <w:tblW w:w="10800" w:type="dxa"/>
          <w:tblInd w:w="0" w:type="dxa"/>
          <w:tblLayout w:type="fixed"/>
        </w:tblPrEx>
        <w:trPr>
          <w:cantSplit/>
          <w:trHeight w:hRule="exact" w:val="285"/>
        </w:trPr>
        <w:tc>
          <w:tcPr>
            <w:tcW w:w="61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240"/>
              <w:jc w:val="left"/>
            </w:pPr>
            <w:r>
              <w:rPr>
                <w:rFonts w:ascii="Times New Roman" w:eastAsia="Times New Roman" w:hAnsi="Times New Roman" w:cs="Times New Roman"/>
                <w:b/>
                <w:i w:val="0"/>
                <w:color w:val="000000"/>
                <w:sz w:val="18"/>
                <w:u w:val="none"/>
              </w:rPr>
              <w:t>Total marketable debt securities</w:t>
            </w: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i w:val="0"/>
                <w:color w:val="000000"/>
                <w:sz w:val="18"/>
                <w:u w:val="none"/>
              </w:rPr>
              <w:t>$</w:t>
              <w:tab/>
              <w:t>41.7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149"/>
                <w:tab w:val="left" w:pos="1432"/>
              </w:tabs>
              <w:spacing w:before="55" w:after="30" w:line="240" w:lineRule="auto"/>
              <w:jc w:val="right"/>
            </w:pPr>
            <w:r>
              <w:rPr>
                <w:rFonts w:ascii="Times New Roman" w:eastAsia="Times New Roman" w:hAnsi="Times New Roman" w:cs="Times New Roman"/>
                <w:b/>
                <w:i w:val="0"/>
                <w:color w:val="000000"/>
                <w:sz w:val="18"/>
                <w:u w:val="none"/>
              </w:rPr>
              <w:t>$</w:t>
              <w:tab/>
              <w:t>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i w:val="0"/>
                <w:color w:val="000000"/>
                <w:sz w:val="18"/>
                <w:u w:val="none"/>
              </w:rPr>
              <w:t>$</w:t>
              <w:tab/>
              <w:t>41.8</w:t>
              <w:tab/>
            </w:r>
          </w:p>
        </w:tc>
      </w:tr>
    </w:tbl>
    <w:p>
      <w:pPr>
        <w:keepNext w:val="0"/>
        <w:keepLines/>
        <w:pageBreakBefore w:val="0"/>
        <w:widowControl w:val="0"/>
        <w:numPr>
          <w:ilvl w:val="0"/>
          <w:numId w:val="0"/>
        </w:numPr>
        <w:spacing w:before="120" w:after="12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contractual maturities of marketable debt securities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are shown in the table below. Actual maturities may differ from contractual maturities because borrowers may have the right to call or prepay obligations.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r>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Amortized Costs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Fair Value</w:t>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Contractual maturities:</w:t>
            </w: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Due within one year</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16.3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16.2</w:t>
              <w:tab/>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15" w:hanging="180"/>
              <w:jc w:val="left"/>
            </w:pPr>
            <w:r>
              <w:rPr>
                <w:rFonts w:ascii="Times New Roman" w:eastAsia="Times New Roman" w:hAnsi="Times New Roman" w:cs="Times New Roman"/>
                <w:b w:val="0"/>
                <w:i w:val="0"/>
                <w:color w:val="000000"/>
                <w:sz w:val="18"/>
                <w:u w:val="none"/>
              </w:rPr>
              <w:t>Due after one year through five years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240"/>
              <w:jc w:val="left"/>
            </w:pPr>
            <w:r>
              <w:rPr>
                <w:rFonts w:ascii="Times New Roman" w:eastAsia="Times New Roman" w:hAnsi="Times New Roman" w:cs="Times New Roman"/>
                <w:b/>
                <w:i w:val="0"/>
                <w:color w:val="000000"/>
                <w:sz w:val="18"/>
                <w:u w:val="none"/>
              </w:rPr>
              <w:t>Total marketable debt securities</w:t>
            </w: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16.3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16.2</w:t>
              <w:tab/>
            </w: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and nine</w:t>
      </w:r>
      <w:r>
        <w:rPr>
          <w:rFonts w:ascii="Times New Roman" w:eastAsia="Times New Roman" w:hAnsi="Times New Roman" w:cs="Times New Roman"/>
          <w:b w:val="0"/>
          <w:i w:val="0"/>
          <w:color w:val="000000"/>
          <w:sz w:val="20"/>
          <w:u w:val="none"/>
        </w:rPr>
        <w:t xml:space="preserve"> months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there were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color w:val="000000"/>
          <w:sz w:val="20"/>
          <w:u w:val="none"/>
        </w:rPr>
        <w:t xml:space="preserve"> gross realized gains or losses from the sale of certain marketable debt securities that were reclassified out of </w:t>
      </w:r>
      <w:r>
        <w:rPr>
          <w:rFonts w:ascii="Times New Roman" w:eastAsia="Times New Roman" w:hAnsi="Times New Roman" w:cs="Times New Roman"/>
          <w:b w:val="0"/>
          <w:i w:val="0"/>
          <w:color w:val="000000"/>
          <w:sz w:val="20"/>
          <w:u w:val="none"/>
        </w:rPr>
        <w:t>accumulated other comprehensive loss</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tables summarize the balance sheet locations for marketable debt securities: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85"/>
        <w:gridCol w:w="1095"/>
        <w:gridCol w:w="60"/>
        <w:gridCol w:w="1095"/>
        <w:gridCol w:w="60"/>
        <w:gridCol w:w="1095"/>
        <w:gridCol w:w="60"/>
        <w:gridCol w:w="1095"/>
        <w:gridCol w:w="60"/>
        <w:gridCol w:w="1095"/>
      </w:tblGrid>
      <w:tr>
        <w:tblPrEx>
          <w:tblW w:w="10800" w:type="dxa"/>
          <w:tblInd w:w="0" w:type="dxa"/>
          <w:tblLayout w:type="fixed"/>
        </w:tblPrEx>
        <w:trPr>
          <w:cantSplit/>
          <w:trHeight w:hRule="exact" w:val="285"/>
        </w:trPr>
        <w:tc>
          <w:tcPr>
            <w:tcW w:w="50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715" w:type="dxa"/>
            <w:gridSpan w:val="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r>
      <w:tr>
        <w:tblPrEx>
          <w:tblW w:w="10800" w:type="dxa"/>
          <w:tblInd w:w="0" w:type="dxa"/>
          <w:tblLayout w:type="fixed"/>
        </w:tblPrEx>
        <w:trPr>
          <w:cantSplit/>
          <w:trHeight w:hRule="exact" w:val="495"/>
        </w:trPr>
        <w:tc>
          <w:tcPr>
            <w:tcW w:w="508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09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Commercial Paper</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Corporate Notes/Bonds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Government Agencies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Treasury Bills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Total</w:t>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Marketable securities</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ab/>
              <w:t>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ab/>
              <w:t>6.0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ab/>
              <w:t>4.0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ab/>
              <w:t>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54"/>
                <w:tab w:val="left" w:pos="1027"/>
              </w:tabs>
              <w:spacing w:before="55" w:after="30" w:line="240" w:lineRule="auto"/>
              <w:jc w:val="right"/>
            </w:pPr>
            <w:r>
              <w:rPr>
                <w:rFonts w:ascii="Times New Roman" w:eastAsia="Times New Roman" w:hAnsi="Times New Roman" w:cs="Times New Roman"/>
                <w:b w:val="0"/>
                <w:i w:val="0"/>
                <w:color w:val="000000"/>
                <w:sz w:val="18"/>
                <w:u w:val="none"/>
              </w:rPr>
              <w:tab/>
              <w:t>16.2</w:t>
              <w:tab/>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marketable debt securities</w:t>
            </w: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3.1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6.0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4.0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3.1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54"/>
                <w:tab w:val="left" w:pos="1027"/>
              </w:tabs>
              <w:spacing w:before="55" w:after="30" w:line="240" w:lineRule="auto"/>
              <w:jc w:val="right"/>
            </w:pPr>
            <w:r>
              <w:rPr>
                <w:rFonts w:ascii="Times New Roman" w:eastAsia="Times New Roman" w:hAnsi="Times New Roman" w:cs="Times New Roman"/>
                <w:b/>
                <w:i w:val="0"/>
                <w:color w:val="000000"/>
                <w:sz w:val="18"/>
                <w:u w:val="none"/>
              </w:rPr>
              <w:t>$</w:t>
              <w:tab/>
              <w:t>16.2</w:t>
              <w:tab/>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10"/>
          <w:u w:val="none"/>
        </w:rPr>
      </w:pP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85"/>
        <w:gridCol w:w="1095"/>
        <w:gridCol w:w="60"/>
        <w:gridCol w:w="1095"/>
        <w:gridCol w:w="60"/>
        <w:gridCol w:w="1095"/>
        <w:gridCol w:w="60"/>
        <w:gridCol w:w="1095"/>
        <w:gridCol w:w="60"/>
        <w:gridCol w:w="1095"/>
      </w:tblGrid>
      <w:tr>
        <w:tblPrEx>
          <w:tblW w:w="10800" w:type="dxa"/>
          <w:tblInd w:w="0" w:type="dxa"/>
          <w:tblLayout w:type="fixed"/>
        </w:tblPrEx>
        <w:trPr>
          <w:cantSplit/>
          <w:trHeight w:hRule="exact" w:val="285"/>
        </w:trPr>
        <w:tc>
          <w:tcPr>
            <w:tcW w:w="508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715" w:type="dxa"/>
            <w:gridSpan w:val="9"/>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495"/>
        </w:trPr>
        <w:tc>
          <w:tcPr>
            <w:tcW w:w="508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Corporate Notes/Bonds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Government Agencies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Treasury Bills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Certificates of Deposit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88" w:lineRule="auto"/>
              <w:jc w:val="center"/>
            </w:pPr>
            <w:r>
              <w:rPr>
                <w:rFonts w:ascii="Times New Roman" w:eastAsia="Times New Roman" w:hAnsi="Times New Roman" w:cs="Times New Roman"/>
                <w:b/>
                <w:i w:val="0"/>
                <w:color w:val="000000"/>
                <w:sz w:val="18"/>
                <w:u w:val="none"/>
              </w:rPr>
              <w:t>Total</w:t>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Cash and cash equivalents</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027"/>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027"/>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w:t>
              <w:tab/>
              <w:t>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027"/>
              </w:tabs>
              <w:spacing w:before="5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55" w:after="30" w:line="240" w:lineRule="auto"/>
              <w:jc w:val="right"/>
            </w:pPr>
            <w:r>
              <w:rPr>
                <w:rFonts w:ascii="Times New Roman" w:eastAsia="Times New Roman" w:hAnsi="Times New Roman" w:cs="Times New Roman"/>
                <w:b w:val="0"/>
                <w:i w:val="0"/>
                <w:color w:val="000000"/>
                <w:sz w:val="18"/>
                <w:u w:val="none"/>
              </w:rPr>
              <w:t>$</w:t>
              <w:tab/>
              <w:t>1.0</w:t>
              <w:tab/>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Marketable securities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54"/>
                <w:tab w:val="left" w:pos="1027"/>
              </w:tabs>
              <w:spacing w:before="75" w:after="30" w:line="240" w:lineRule="auto"/>
              <w:jc w:val="right"/>
            </w:pPr>
            <w:r>
              <w:rPr>
                <w:rFonts w:ascii="Times New Roman" w:eastAsia="Times New Roman" w:hAnsi="Times New Roman" w:cs="Times New Roman"/>
                <w:b w:val="0"/>
                <w:i w:val="0"/>
                <w:color w:val="000000"/>
                <w:sz w:val="18"/>
                <w:u w:val="none"/>
              </w:rPr>
              <w:tab/>
              <w:t>10.5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54"/>
                <w:tab w:val="left" w:pos="1027"/>
              </w:tabs>
              <w:spacing w:before="75" w:after="30" w:line="240" w:lineRule="auto"/>
              <w:jc w:val="right"/>
            </w:pPr>
            <w:r>
              <w:rPr>
                <w:rFonts w:ascii="Times New Roman" w:eastAsia="Times New Roman" w:hAnsi="Times New Roman" w:cs="Times New Roman"/>
                <w:b w:val="0"/>
                <w:i w:val="0"/>
                <w:color w:val="000000"/>
                <w:sz w:val="18"/>
                <w:u w:val="none"/>
              </w:rPr>
              <w:tab/>
              <w:t>16.3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4.1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0.9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54"/>
                <w:tab w:val="left" w:pos="1027"/>
              </w:tabs>
              <w:spacing w:before="75" w:after="30" w:line="240" w:lineRule="auto"/>
              <w:jc w:val="right"/>
            </w:pPr>
            <w:r>
              <w:rPr>
                <w:rFonts w:ascii="Times New Roman" w:eastAsia="Times New Roman" w:hAnsi="Times New Roman" w:cs="Times New Roman"/>
                <w:b w:val="0"/>
                <w:i w:val="0"/>
                <w:color w:val="000000"/>
                <w:sz w:val="18"/>
                <w:u w:val="none"/>
              </w:rPr>
              <w:tab/>
              <w:t>31.8</w:t>
              <w:tab/>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Other assets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6.0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027"/>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4"/>
                <w:tab w:val="left" w:pos="1027"/>
              </w:tabs>
              <w:spacing w:before="75" w:after="30" w:line="240" w:lineRule="auto"/>
              <w:jc w:val="right"/>
            </w:pPr>
            <w:r>
              <w:rPr>
                <w:rFonts w:ascii="Times New Roman" w:eastAsia="Times New Roman" w:hAnsi="Times New Roman" w:cs="Times New Roman"/>
                <w:b w:val="0"/>
                <w:i w:val="0"/>
                <w:color w:val="000000"/>
                <w:sz w:val="18"/>
                <w:u w:val="none"/>
              </w:rPr>
              <w:tab/>
              <w:t>9.0</w:t>
              <w:tab/>
            </w:r>
          </w:p>
        </w:tc>
      </w:tr>
      <w:tr>
        <w:tblPrEx>
          <w:tblW w:w="10800" w:type="dxa"/>
          <w:tblInd w:w="0" w:type="dxa"/>
          <w:tblLayout w:type="fixed"/>
        </w:tblPrEx>
        <w:trPr>
          <w:cantSplit/>
          <w:trHeight w:hRule="exact" w:val="285"/>
        </w:trPr>
        <w:tc>
          <w:tcPr>
            <w:tcW w:w="508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marketable debt securities</w:t>
            </w: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54"/>
                <w:tab w:val="left" w:pos="1027"/>
              </w:tabs>
              <w:spacing w:before="55" w:after="30" w:line="240" w:lineRule="auto"/>
              <w:jc w:val="right"/>
            </w:pPr>
            <w:r>
              <w:rPr>
                <w:rFonts w:ascii="Times New Roman" w:eastAsia="Times New Roman" w:hAnsi="Times New Roman" w:cs="Times New Roman"/>
                <w:b/>
                <w:i w:val="0"/>
                <w:color w:val="000000"/>
                <w:sz w:val="18"/>
                <w:u w:val="none"/>
              </w:rPr>
              <w:t>$</w:t>
              <w:tab/>
              <w:t>16.5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54"/>
                <w:tab w:val="left" w:pos="1027"/>
              </w:tabs>
              <w:spacing w:before="55" w:after="30" w:line="240" w:lineRule="auto"/>
              <w:jc w:val="right"/>
            </w:pPr>
            <w:r>
              <w:rPr>
                <w:rFonts w:ascii="Times New Roman" w:eastAsia="Times New Roman" w:hAnsi="Times New Roman" w:cs="Times New Roman"/>
                <w:b/>
                <w:i w:val="0"/>
                <w:color w:val="000000"/>
                <w:sz w:val="18"/>
                <w:u w:val="none"/>
              </w:rPr>
              <w:t>$</w:t>
              <w:tab/>
              <w:t>18.3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6.1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44"/>
                <w:tab w:val="left" w:pos="1027"/>
              </w:tabs>
              <w:spacing w:before="55" w:after="30" w:line="240" w:lineRule="auto"/>
              <w:jc w:val="right"/>
            </w:pPr>
            <w:r>
              <w:rPr>
                <w:rFonts w:ascii="Times New Roman" w:eastAsia="Times New Roman" w:hAnsi="Times New Roman" w:cs="Times New Roman"/>
                <w:b/>
                <w:i w:val="0"/>
                <w:color w:val="000000"/>
                <w:sz w:val="18"/>
                <w:u w:val="none"/>
              </w:rPr>
              <w:t>$</w:t>
              <w:tab/>
              <w:t>0.9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54"/>
                <w:tab w:val="left" w:pos="1027"/>
              </w:tabs>
              <w:spacing w:before="55" w:after="30" w:line="240" w:lineRule="auto"/>
              <w:jc w:val="right"/>
            </w:pPr>
            <w:r>
              <w:rPr>
                <w:rFonts w:ascii="Times New Roman" w:eastAsia="Times New Roman" w:hAnsi="Times New Roman" w:cs="Times New Roman"/>
                <w:b/>
                <w:i w:val="0"/>
                <w:color w:val="000000"/>
                <w:sz w:val="18"/>
                <w:u w:val="none"/>
              </w:rPr>
              <w:t>$</w:t>
              <w:tab/>
              <w:t>41.8</w:t>
              <w:tab/>
            </w:r>
          </w:p>
        </w:tc>
      </w:tr>
    </w:tbl>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pPr>
    </w:p>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sectPr>
          <w:headerReference w:type="default" r:id="rId25"/>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0" w:name="Section21"/>
      <w:bookmarkEnd w:id="20"/>
      <w:r>
        <w:rPr>
          <w:rFonts w:ascii="Times New Roman" w:eastAsia="Times New Roman" w:hAnsi="Times New Roman" w:cs="Times New Roman"/>
          <w:b/>
          <w:i w:val="0"/>
          <w:color w:val="000000"/>
          <w:sz w:val="20"/>
          <w:u w:val="none"/>
        </w:rPr>
        <w:t>7</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INVENTORIES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the Company’s inventories, net: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Raw materials and parts</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231.9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214.5</w:t>
              <w:tab/>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Work-in-process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28.0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16.2</w:t>
              <w:tab/>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Finished goods</w:t>
            </w: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38.8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75" w:after="30" w:line="240" w:lineRule="auto"/>
              <w:jc w:val="right"/>
            </w:pPr>
            <w:r>
              <w:rPr>
                <w:rFonts w:ascii="Times New Roman" w:eastAsia="Times New Roman" w:hAnsi="Times New Roman" w:cs="Times New Roman"/>
                <w:b w:val="0"/>
                <w:i w:val="0"/>
                <w:color w:val="000000"/>
                <w:sz w:val="18"/>
                <w:u w:val="none"/>
              </w:rPr>
              <w:tab/>
              <w:t>34.1</w:t>
              <w:tab/>
            </w:r>
          </w:p>
        </w:tc>
      </w:tr>
      <w:tr>
        <w:tblPrEx>
          <w:tblW w:w="10800" w:type="dxa"/>
          <w:tblInd w:w="0" w:type="dxa"/>
          <w:tblLayout w:type="fixed"/>
        </w:tblPrEx>
        <w:trPr>
          <w:cantSplit/>
          <w:trHeight w:hRule="exact" w:val="285"/>
        </w:trPr>
        <w:tc>
          <w:tcPr>
            <w:tcW w:w="712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240"/>
              <w:jc w:val="left"/>
            </w:pPr>
            <w:r>
              <w:rPr>
                <w:rFonts w:ascii="Times New Roman" w:eastAsia="Times New Roman" w:hAnsi="Times New Roman" w:cs="Times New Roman"/>
                <w:b/>
                <w:i w:val="0"/>
                <w:color w:val="000000"/>
                <w:sz w:val="18"/>
                <w:u w:val="none"/>
              </w:rPr>
              <w:t>Total inventories, net</w:t>
            </w: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298.7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264.8</w:t>
              <w:tab/>
            </w:r>
          </w:p>
        </w:tc>
      </w:tr>
    </w:tbl>
    <w:p>
      <w:pPr>
        <w:keepNext w:val="0"/>
        <w:keepLines/>
        <w:pageBreakBefore w:val="0"/>
        <w:widowControl w:val="0"/>
        <w:numPr>
          <w:ilvl w:val="0"/>
          <w:numId w:val="0"/>
        </w:numPr>
        <w:spacing w:before="0" w:after="0" w:line="288" w:lineRule="auto"/>
        <w:ind w:left="0" w:right="0" w:firstLine="0"/>
        <w:jc w:val="left"/>
        <w:outlineLvl w:val="9"/>
        <w:rPr>
          <w:sz w:val="2"/>
        </w:rPr>
      </w:pPr>
    </w:p>
    <w:p>
      <w:pPr>
        <w:keepNext w:val="0"/>
        <w:keepLines/>
        <w:pageBreakBefore w:val="0"/>
        <w:widowControl w:val="0"/>
        <w:numPr>
          <w:ilvl w:val="0"/>
          <w:numId w:val="0"/>
        </w:numPr>
        <w:spacing w:before="0" w:after="0" w:line="288" w:lineRule="auto"/>
        <w:ind w:left="0" w:right="0" w:firstLine="0"/>
        <w:jc w:val="left"/>
        <w:outlineLvl w:val="9"/>
        <w:rPr>
          <w:sz w:val="2"/>
        </w:rPr>
        <w:sectPr>
          <w:headerReference w:type="default" r:id="rId26"/>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1" w:name="Section22"/>
      <w:bookmarkEnd w:id="21"/>
      <w:r>
        <w:rPr>
          <w:rFonts w:ascii="Times New Roman" w:eastAsia="Times New Roman" w:hAnsi="Times New Roman" w:cs="Times New Roman"/>
          <w:b/>
          <w:i w:val="0"/>
          <w:color w:val="000000"/>
          <w:sz w:val="20"/>
          <w:u w:val="none"/>
        </w:rPr>
        <w:t>8</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GOODWILL AND INTANGIBLE ASSETS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reflects goodwill by reportable operating segment: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29"/>
        <w:gridCol w:w="1793"/>
        <w:gridCol w:w="96"/>
        <w:gridCol w:w="1793"/>
        <w:gridCol w:w="96"/>
        <w:gridCol w:w="1793"/>
      </w:tblGrid>
      <w:tr>
        <w:tblPrEx>
          <w:tblW w:w="10800" w:type="dxa"/>
          <w:tblInd w:w="0" w:type="dxa"/>
          <w:tblLayout w:type="fixed"/>
        </w:tblPrEx>
        <w:trPr>
          <w:cantSplit/>
          <w:trHeight w:hRule="exact" w:val="285"/>
        </w:trPr>
        <w:tc>
          <w:tcPr>
            <w:tcW w:w="525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Medical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Industrial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Total</w:t>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Balance at September 27, 2024</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173.0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118.0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291.0</w:t>
              <w:tab/>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45" w:hanging="180"/>
              <w:jc w:val="left"/>
            </w:pPr>
            <w:r>
              <w:rPr>
                <w:rFonts w:ascii="Times New Roman" w:eastAsia="Times New Roman" w:hAnsi="Times New Roman" w:cs="Times New Roman"/>
                <w:b w:val="0"/>
                <w:i w:val="0"/>
                <w:color w:val="000000"/>
                <w:sz w:val="18"/>
                <w:u w:val="none"/>
              </w:rPr>
              <w:t>Impairment of goodwill</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(93.9)</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75" w:after="30" w:line="240" w:lineRule="auto"/>
              <w:jc w:val="left"/>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75" w:after="30" w:line="240" w:lineRule="auto"/>
              <w:jc w:val="left"/>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(93.9)</w:t>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45" w:hanging="180"/>
              <w:jc w:val="left"/>
            </w:pPr>
            <w:r>
              <w:rPr>
                <w:rFonts w:ascii="Times New Roman" w:eastAsia="Times New Roman" w:hAnsi="Times New Roman" w:cs="Times New Roman"/>
                <w:b w:val="0"/>
                <w:i w:val="0"/>
                <w:color w:val="000000"/>
                <w:sz w:val="18"/>
                <w:u w:val="none"/>
              </w:rPr>
              <w:t>Foreign currency translation adjustments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1.4</w:t>
              <w:tab/>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79.9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118.6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198.5</w:t>
              <w:tab/>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88" w:lineRule="auto"/>
              <w:jc w:val="left"/>
            </w:pPr>
            <w:r>
              <w:rPr>
                <w:rFonts w:ascii="Times New Roman" w:eastAsia="Times New Roman" w:hAnsi="Times New Roman" w:cs="Times New Roman"/>
                <w:b w:val="0"/>
                <w:i w:val="0"/>
                <w:color w:val="000000"/>
                <w:sz w:val="18"/>
                <w:u w:val="none"/>
              </w:rPr>
              <w:t>Balances at July 4, 2025</w:t>
            </w: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Goodwill</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6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173.8</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6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118.6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69"/>
                <w:tab w:val="left" w:pos="1732"/>
              </w:tabs>
              <w:spacing w:before="75" w:after="30" w:line="240" w:lineRule="auto"/>
              <w:jc w:val="right"/>
            </w:pPr>
            <w:r>
              <w:rPr>
                <w:rFonts w:ascii="Times New Roman" w:eastAsia="Times New Roman" w:hAnsi="Times New Roman" w:cs="Times New Roman"/>
                <w:b w:val="0"/>
                <w:i w:val="0"/>
                <w:color w:val="000000"/>
                <w:sz w:val="18"/>
                <w:u w:val="none"/>
              </w:rPr>
              <w:t>$</w:t>
              <w:tab/>
              <w:t>292.4</w:t>
              <w:tab/>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Accumulated impairment losses</w:t>
            </w: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(93.9)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79"/>
              </w:tabs>
              <w:spacing w:before="75" w:after="30" w:line="240" w:lineRule="auto"/>
              <w:jc w:val="right"/>
            </w:pPr>
            <w:r>
              <w:rPr>
                <w:rFonts w:ascii="Times New Roman" w:eastAsia="Times New Roman" w:hAnsi="Times New Roman" w:cs="Times New Roman"/>
                <w:b w:val="0"/>
                <w:i w:val="0"/>
                <w:color w:val="000000"/>
                <w:sz w:val="18"/>
                <w:u w:val="none"/>
              </w:rPr>
              <w:tab/>
              <w:t>(93.9)</w:t>
            </w:r>
          </w:p>
        </w:tc>
      </w:tr>
      <w:tr>
        <w:tblPrEx>
          <w:tblW w:w="10800" w:type="dxa"/>
          <w:tblInd w:w="0" w:type="dxa"/>
          <w:tblLayout w:type="fixed"/>
        </w:tblPrEx>
        <w:trPr>
          <w:cantSplit/>
          <w:trHeight w:hRule="exact" w:val="285"/>
        </w:trPr>
        <w:tc>
          <w:tcPr>
            <w:tcW w:w="525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i w:val="0"/>
                <w:color w:val="000000"/>
                <w:sz w:val="18"/>
                <w:u w:val="none"/>
              </w:rPr>
              <w:t>$</w:t>
              <w:tab/>
              <w:t>79.9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118.6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69"/>
                <w:tab w:val="left" w:pos="1732"/>
              </w:tabs>
              <w:spacing w:before="55" w:after="30" w:line="240" w:lineRule="auto"/>
              <w:jc w:val="right"/>
            </w:pPr>
            <w:r>
              <w:rPr>
                <w:rFonts w:ascii="Times New Roman" w:eastAsia="Times New Roman" w:hAnsi="Times New Roman" w:cs="Times New Roman"/>
                <w:b/>
                <w:i w:val="0"/>
                <w:color w:val="000000"/>
                <w:sz w:val="18"/>
                <w:u w:val="none"/>
              </w:rPr>
              <w:t>$</w:t>
              <w:tab/>
              <w:t>198.5</w:t>
              <w:tab/>
            </w:r>
          </w:p>
        </w:tc>
      </w:tr>
    </w:tbl>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w:t>
      </w:r>
      <w:r>
        <w:rPr>
          <w:rFonts w:ascii="Times New Roman" w:eastAsia="Times New Roman" w:hAnsi="Times New Roman" w:cs="Times New Roman"/>
          <w:b w:val="0"/>
          <w:i w:val="0"/>
          <w:color w:val="000000"/>
          <w:sz w:val="20"/>
          <w:u w:val="none"/>
        </w:rPr>
        <w:t xml:space="preserve">ollowing table reflects the gross carrying amount and accumulated amortization of the Company’s finite-lived intangible assets included in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000"/>
        <w:gridCol w:w="1230"/>
        <w:gridCol w:w="75"/>
        <w:gridCol w:w="1230"/>
        <w:gridCol w:w="60"/>
        <w:gridCol w:w="1230"/>
        <w:gridCol w:w="165"/>
        <w:gridCol w:w="1230"/>
        <w:gridCol w:w="60"/>
        <w:gridCol w:w="1230"/>
        <w:gridCol w:w="60"/>
        <w:gridCol w:w="1230"/>
      </w:tblGrid>
      <w:tr>
        <w:tblPrEx>
          <w:tblW w:w="10800" w:type="dxa"/>
          <w:tblInd w:w="0" w:type="dxa"/>
          <w:tblLayout w:type="fixed"/>
        </w:tblPrEx>
        <w:trPr>
          <w:cantSplit/>
          <w:trHeight w:hRule="exact" w:val="285"/>
        </w:trPr>
        <w:tc>
          <w:tcPr>
            <w:tcW w:w="30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825" w:type="dxa"/>
            <w:gridSpan w:val="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810" w:type="dxa"/>
            <w:gridSpan w:val="5"/>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645"/>
        </w:trPr>
        <w:tc>
          <w:tcPr>
            <w:tcW w:w="300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45" w:right="45" w:firstLine="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(In millions)</w:t>
            </w:r>
          </w:p>
        </w:tc>
        <w:tc>
          <w:tcPr>
            <w:tcW w:w="123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Gross Carrying Amount</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45" w:right="45"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Accumulated Amortization</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Net Carrying Amount</w:t>
            </w:r>
          </w:p>
        </w:tc>
        <w:tc>
          <w:tcPr>
            <w:tcW w:w="1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Gross Carrying Amount</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45" w:right="45"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Accumulated Amortization</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45" w:right="45"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Net Carrying Amount</w:t>
            </w:r>
          </w:p>
        </w:tc>
      </w:tr>
      <w:tr>
        <w:tblPrEx>
          <w:tblW w:w="10800" w:type="dxa"/>
          <w:tblInd w:w="0" w:type="dxa"/>
          <w:tblLayout w:type="fixed"/>
        </w:tblPrEx>
        <w:trPr>
          <w:cantSplit/>
          <w:trHeight w:hRule="exact" w:val="285"/>
        </w:trPr>
        <w:tc>
          <w:tcPr>
            <w:tcW w:w="30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40" w:lineRule="auto"/>
              <w:ind w:left="180" w:right="45"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Acquired existing technology</w:t>
            </w: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55" w:after="30" w:line="240" w:lineRule="auto"/>
              <w:jc w:val="right"/>
            </w:pPr>
            <w:r>
              <w:rPr>
                <w:rFonts w:ascii="Times New Roman" w:eastAsia="Times New Roman" w:hAnsi="Times New Roman" w:cs="Times New Roman"/>
                <w:b w:val="0"/>
                <w:i w:val="0"/>
                <w:color w:val="000000"/>
                <w:sz w:val="18"/>
                <w:u w:val="none"/>
              </w:rPr>
              <w:t>$</w:t>
              <w:tab/>
              <w:t>76.0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09"/>
              </w:tabs>
              <w:spacing w:before="55" w:after="30" w:line="240" w:lineRule="auto"/>
              <w:jc w:val="right"/>
            </w:pPr>
            <w:r>
              <w:rPr>
                <w:rFonts w:ascii="Times New Roman" w:eastAsia="Times New Roman" w:hAnsi="Times New Roman" w:cs="Times New Roman"/>
                <w:b w:val="0"/>
                <w:i w:val="0"/>
                <w:color w:val="000000"/>
                <w:sz w:val="18"/>
                <w:u w:val="none"/>
              </w:rPr>
              <w:t>$</w:t>
              <w:tab/>
              <w:t>(66.0)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55" w:after="30" w:line="240" w:lineRule="auto"/>
              <w:jc w:val="right"/>
            </w:pPr>
            <w:r>
              <w:rPr>
                <w:rFonts w:ascii="Times New Roman" w:eastAsia="Times New Roman" w:hAnsi="Times New Roman" w:cs="Times New Roman"/>
                <w:b w:val="0"/>
                <w:i w:val="0"/>
                <w:color w:val="000000"/>
                <w:sz w:val="18"/>
                <w:u w:val="none"/>
              </w:rPr>
              <w:t>$</w:t>
              <w:tab/>
              <w:t>10.0</w:t>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55" w:after="30" w:line="240" w:lineRule="auto"/>
              <w:jc w:val="right"/>
            </w:pPr>
            <w:r>
              <w:rPr>
                <w:rFonts w:ascii="Times New Roman" w:eastAsia="Times New Roman" w:hAnsi="Times New Roman" w:cs="Times New Roman"/>
                <w:b w:val="0"/>
                <w:i w:val="0"/>
                <w:color w:val="000000"/>
                <w:sz w:val="18"/>
                <w:u w:val="none"/>
              </w:rPr>
              <w:t>$</w:t>
              <w:tab/>
              <w:t>73.8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09"/>
              </w:tabs>
              <w:spacing w:before="55" w:after="30" w:line="240" w:lineRule="auto"/>
              <w:jc w:val="right"/>
            </w:pPr>
            <w:r>
              <w:rPr>
                <w:rFonts w:ascii="Times New Roman" w:eastAsia="Times New Roman" w:hAnsi="Times New Roman" w:cs="Times New Roman"/>
                <w:b w:val="0"/>
                <w:i w:val="0"/>
                <w:color w:val="000000"/>
                <w:sz w:val="18"/>
                <w:u w:val="none"/>
              </w:rPr>
              <w:t>$</w:t>
              <w:tab/>
              <w:t>(63.5)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55" w:after="30" w:line="240" w:lineRule="auto"/>
              <w:jc w:val="right"/>
            </w:pPr>
            <w:r>
              <w:rPr>
                <w:rFonts w:ascii="Times New Roman" w:eastAsia="Times New Roman" w:hAnsi="Times New Roman" w:cs="Times New Roman"/>
                <w:b w:val="0"/>
                <w:i w:val="0"/>
                <w:color w:val="000000"/>
                <w:sz w:val="18"/>
                <w:u w:val="none"/>
              </w:rPr>
              <w:t>$</w:t>
              <w:tab/>
              <w:t>10.3</w:t>
              <w:tab/>
            </w:r>
          </w:p>
        </w:tc>
      </w:tr>
      <w:tr>
        <w:tblPrEx>
          <w:tblW w:w="10800" w:type="dxa"/>
          <w:tblInd w:w="0" w:type="dxa"/>
          <w:tblLayout w:type="fixed"/>
        </w:tblPrEx>
        <w:trPr>
          <w:cantSplit/>
          <w:trHeight w:hRule="exact" w:val="285"/>
        </w:trPr>
        <w:tc>
          <w:tcPr>
            <w:tcW w:w="30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180" w:right="45"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Patents, licenses, and other</w:t>
            </w: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89"/>
                <w:tab w:val="left" w:pos="1162"/>
              </w:tabs>
              <w:spacing w:before="75" w:after="30" w:line="240" w:lineRule="auto"/>
              <w:jc w:val="right"/>
            </w:pPr>
            <w:r>
              <w:rPr>
                <w:rFonts w:ascii="Times New Roman" w:eastAsia="Times New Roman" w:hAnsi="Times New Roman" w:cs="Times New Roman"/>
                <w:b w:val="0"/>
                <w:i w:val="0"/>
                <w:color w:val="000000"/>
                <w:sz w:val="18"/>
                <w:u w:val="none"/>
              </w:rPr>
              <w:tab/>
              <w:t>11.5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09"/>
              </w:tabs>
              <w:spacing w:before="75" w:after="30" w:line="240" w:lineRule="auto"/>
              <w:jc w:val="right"/>
            </w:pPr>
            <w:r>
              <w:rPr>
                <w:rFonts w:ascii="Times New Roman" w:eastAsia="Times New Roman" w:hAnsi="Times New Roman" w:cs="Times New Roman"/>
                <w:b w:val="0"/>
                <w:i w:val="0"/>
                <w:color w:val="000000"/>
                <w:sz w:val="18"/>
                <w:u w:val="none"/>
              </w:rPr>
              <w:tab/>
              <w:t>(11.5)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89"/>
                <w:tab w:val="left" w:pos="1162"/>
              </w:tabs>
              <w:spacing w:before="75" w:after="30" w:line="240" w:lineRule="auto"/>
              <w:jc w:val="right"/>
            </w:pPr>
            <w:r>
              <w:rPr>
                <w:rFonts w:ascii="Times New Roman" w:eastAsia="Times New Roman" w:hAnsi="Times New Roman" w:cs="Times New Roman"/>
                <w:b w:val="0"/>
                <w:i w:val="0"/>
                <w:color w:val="000000"/>
                <w:sz w:val="18"/>
                <w:u w:val="none"/>
              </w:rPr>
              <w:tab/>
              <w:t>12.6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09"/>
              </w:tabs>
              <w:spacing w:before="75" w:after="30" w:line="240" w:lineRule="auto"/>
              <w:jc w:val="right"/>
            </w:pPr>
            <w:r>
              <w:rPr>
                <w:rFonts w:ascii="Times New Roman" w:eastAsia="Times New Roman" w:hAnsi="Times New Roman" w:cs="Times New Roman"/>
                <w:b w:val="0"/>
                <w:i w:val="0"/>
                <w:color w:val="000000"/>
                <w:sz w:val="18"/>
                <w:u w:val="none"/>
              </w:rPr>
              <w:tab/>
              <w:t>(12.6)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465"/>
        </w:trPr>
        <w:tc>
          <w:tcPr>
            <w:tcW w:w="30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45"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Customer contracts and supplier relationship</w:t>
            </w: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75" w:after="30" w:line="240" w:lineRule="auto"/>
              <w:jc w:val="right"/>
            </w:pPr>
            <w:r>
              <w:rPr>
                <w:rFonts w:ascii="Times New Roman" w:eastAsia="Times New Roman" w:hAnsi="Times New Roman" w:cs="Times New Roman"/>
                <w:b w:val="0"/>
                <w:i w:val="0"/>
                <w:color w:val="000000"/>
                <w:sz w:val="18"/>
                <w:u w:val="none"/>
              </w:rPr>
              <w:tab/>
              <w:t>52.4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09"/>
              </w:tabs>
              <w:spacing w:before="75" w:after="30" w:line="240" w:lineRule="auto"/>
              <w:jc w:val="right"/>
            </w:pPr>
            <w:r>
              <w:rPr>
                <w:rFonts w:ascii="Times New Roman" w:eastAsia="Times New Roman" w:hAnsi="Times New Roman" w:cs="Times New Roman"/>
                <w:b w:val="0"/>
                <w:i w:val="0"/>
                <w:color w:val="000000"/>
                <w:sz w:val="18"/>
                <w:u w:val="none"/>
              </w:rPr>
              <w:tab/>
              <w:t>(47.4)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62"/>
              </w:tabs>
              <w:spacing w:before="75" w:after="30" w:line="240" w:lineRule="auto"/>
              <w:jc w:val="right"/>
            </w:pPr>
            <w:r>
              <w:rPr>
                <w:rFonts w:ascii="Times New Roman" w:eastAsia="Times New Roman" w:hAnsi="Times New Roman" w:cs="Times New Roman"/>
                <w:b w:val="0"/>
                <w:i w:val="0"/>
                <w:color w:val="000000"/>
                <w:sz w:val="18"/>
                <w:u w:val="none"/>
              </w:rPr>
              <w:tab/>
              <w:t>5.0</w:t>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89"/>
                <w:tab w:val="left" w:pos="1162"/>
              </w:tabs>
              <w:spacing w:before="75" w:after="30" w:line="240" w:lineRule="auto"/>
              <w:jc w:val="right"/>
            </w:pPr>
            <w:r>
              <w:rPr>
                <w:rFonts w:ascii="Times New Roman" w:eastAsia="Times New Roman" w:hAnsi="Times New Roman" w:cs="Times New Roman"/>
                <w:b w:val="0"/>
                <w:i w:val="0"/>
                <w:color w:val="000000"/>
                <w:sz w:val="18"/>
                <w:u w:val="none"/>
              </w:rPr>
              <w:tab/>
              <w:t>52.8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09"/>
              </w:tabs>
              <w:spacing w:before="75" w:after="30" w:line="240" w:lineRule="auto"/>
              <w:jc w:val="right"/>
            </w:pPr>
            <w:r>
              <w:rPr>
                <w:rFonts w:ascii="Times New Roman" w:eastAsia="Times New Roman" w:hAnsi="Times New Roman" w:cs="Times New Roman"/>
                <w:b w:val="0"/>
                <w:i w:val="0"/>
                <w:color w:val="000000"/>
                <w:sz w:val="18"/>
                <w:u w:val="none"/>
              </w:rPr>
              <w:tab/>
              <w:t>(47.0)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9"/>
                <w:tab w:val="left" w:pos="1162"/>
              </w:tabs>
              <w:spacing w:before="75" w:after="30" w:line="240" w:lineRule="auto"/>
              <w:jc w:val="right"/>
            </w:pPr>
            <w:r>
              <w:rPr>
                <w:rFonts w:ascii="Times New Roman" w:eastAsia="Times New Roman" w:hAnsi="Times New Roman" w:cs="Times New Roman"/>
                <w:b w:val="0"/>
                <w:i w:val="0"/>
                <w:color w:val="000000"/>
                <w:sz w:val="18"/>
                <w:u w:val="none"/>
              </w:rPr>
              <w:tab/>
              <w:t>5.8</w:t>
              <w:tab/>
            </w:r>
          </w:p>
        </w:tc>
      </w:tr>
      <w:tr>
        <w:tblPrEx>
          <w:tblW w:w="10800" w:type="dxa"/>
          <w:tblInd w:w="0" w:type="dxa"/>
          <w:tblLayout w:type="fixed"/>
        </w:tblPrEx>
        <w:trPr>
          <w:cantSplit/>
          <w:trHeight w:hRule="exact" w:val="285"/>
        </w:trPr>
        <w:tc>
          <w:tcPr>
            <w:tcW w:w="30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55" w:after="30" w:line="240" w:lineRule="auto"/>
              <w:ind w:left="135" w:right="45" w:firstLine="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Total intangible assets</w:t>
            </w: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99"/>
                <w:tab w:val="left" w:pos="1162"/>
              </w:tabs>
              <w:spacing w:before="55" w:after="30" w:line="240" w:lineRule="auto"/>
              <w:jc w:val="right"/>
            </w:pPr>
            <w:r>
              <w:rPr>
                <w:rFonts w:ascii="Times New Roman" w:eastAsia="Times New Roman" w:hAnsi="Times New Roman" w:cs="Times New Roman"/>
                <w:b/>
                <w:i w:val="0"/>
                <w:color w:val="000000"/>
                <w:sz w:val="18"/>
                <w:u w:val="none"/>
              </w:rPr>
              <w:t>$</w:t>
              <w:tab/>
              <w:t>139.9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19"/>
              </w:tabs>
              <w:spacing w:before="55" w:after="30" w:line="240" w:lineRule="auto"/>
              <w:jc w:val="right"/>
            </w:pPr>
            <w:r>
              <w:rPr>
                <w:rFonts w:ascii="Times New Roman" w:eastAsia="Times New Roman" w:hAnsi="Times New Roman" w:cs="Times New Roman"/>
                <w:b/>
                <w:i w:val="0"/>
                <w:color w:val="000000"/>
                <w:sz w:val="18"/>
                <w:u w:val="none"/>
              </w:rPr>
              <w:t>$</w:t>
              <w:tab/>
              <w:t>(124.9)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89"/>
                <w:tab w:val="left" w:pos="1162"/>
              </w:tabs>
              <w:spacing w:before="55" w:after="30" w:line="240" w:lineRule="auto"/>
              <w:jc w:val="right"/>
            </w:pPr>
            <w:r>
              <w:rPr>
                <w:rFonts w:ascii="Times New Roman" w:eastAsia="Times New Roman" w:hAnsi="Times New Roman" w:cs="Times New Roman"/>
                <w:b/>
                <w:i w:val="0"/>
                <w:color w:val="000000"/>
                <w:sz w:val="18"/>
                <w:u w:val="none"/>
              </w:rPr>
              <w:t>$</w:t>
              <w:tab/>
              <w:t>15.0</w:t>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99"/>
                <w:tab w:val="left" w:pos="1162"/>
              </w:tabs>
              <w:spacing w:before="55" w:after="30" w:line="240" w:lineRule="auto"/>
              <w:jc w:val="right"/>
            </w:pPr>
            <w:r>
              <w:rPr>
                <w:rFonts w:ascii="Times New Roman" w:eastAsia="Times New Roman" w:hAnsi="Times New Roman" w:cs="Times New Roman"/>
                <w:b/>
                <w:i w:val="0"/>
                <w:color w:val="000000"/>
                <w:sz w:val="18"/>
                <w:u w:val="none"/>
              </w:rPr>
              <w:t>$</w:t>
              <w:tab/>
              <w:t>139.2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19"/>
              </w:tabs>
              <w:spacing w:before="55" w:after="30" w:line="240" w:lineRule="auto"/>
              <w:jc w:val="right"/>
            </w:pPr>
            <w:r>
              <w:rPr>
                <w:rFonts w:ascii="Times New Roman" w:eastAsia="Times New Roman" w:hAnsi="Times New Roman" w:cs="Times New Roman"/>
                <w:b/>
                <w:i w:val="0"/>
                <w:color w:val="000000"/>
                <w:sz w:val="18"/>
                <w:u w:val="none"/>
              </w:rPr>
              <w:t>$</w:t>
              <w:tab/>
              <w:t>(123.1)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789"/>
                <w:tab w:val="left" w:pos="1162"/>
              </w:tabs>
              <w:spacing w:before="55" w:after="30" w:line="240" w:lineRule="auto"/>
              <w:jc w:val="right"/>
            </w:pPr>
            <w:r>
              <w:rPr>
                <w:rFonts w:ascii="Times New Roman" w:eastAsia="Times New Roman" w:hAnsi="Times New Roman" w:cs="Times New Roman"/>
                <w:b/>
                <w:i w:val="0"/>
                <w:color w:val="000000"/>
                <w:sz w:val="18"/>
                <w:u w:val="none"/>
              </w:rPr>
              <w:t>$</w:t>
              <w:tab/>
              <w:t>16.1</w:t>
              <w:tab/>
            </w:r>
          </w:p>
        </w:tc>
      </w:tr>
    </w:tbl>
    <w:p>
      <w:pPr>
        <w:keepNext/>
        <w:keepLines/>
        <w:pageBreakBefore w:val="0"/>
        <w:widowControl w:val="0"/>
        <w:numPr>
          <w:ilvl w:val="0"/>
          <w:numId w:val="0"/>
        </w:numPr>
        <w:spacing w:before="120" w:after="4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Amortization expense for intangible assets </w:t>
      </w:r>
      <w:r>
        <w:rPr>
          <w:rFonts w:ascii="Times New Roman" w:eastAsia="Times New Roman" w:hAnsi="Times New Roman" w:cs="Times New Roman"/>
          <w:b w:val="0"/>
          <w:i w:val="0"/>
          <w:color w:val="000000"/>
          <w:sz w:val="20"/>
          <w:u w:val="none"/>
        </w:rPr>
        <w:t>was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$1.0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$1.7 million</w:t>
      </w:r>
      <w:r>
        <w:rPr>
          <w:rFonts w:ascii="Times New Roman" w:eastAsia="Times New Roman" w:hAnsi="Times New Roman" w:cs="Times New Roman"/>
          <w:b w:val="0"/>
          <w:i w:val="0"/>
          <w:color w:val="000000"/>
          <w:sz w:val="20"/>
          <w:u w:val="none"/>
        </w:rPr>
        <w:t xml:space="preserve"> for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respectively. Amortization expense for intangible assets was </w:t>
      </w:r>
      <w:r>
        <w:rPr>
          <w:rFonts w:ascii="Times New Roman" w:eastAsia="Times New Roman" w:hAnsi="Times New Roman" w:cs="Times New Roman"/>
          <w:b w:val="0"/>
          <w:i w:val="0"/>
          <w:color w:val="000000"/>
          <w:sz w:val="20"/>
          <w:u w:val="none"/>
        </w:rPr>
        <w:t>$2.9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$8.9 million</w:t>
      </w:r>
      <w:r>
        <w:rPr>
          <w:rFonts w:ascii="Times New Roman" w:eastAsia="Times New Roman" w:hAnsi="Times New Roman" w:cs="Times New Roman"/>
          <w:b w:val="0"/>
          <w:i w:val="0"/>
          <w:color w:val="000000"/>
          <w:sz w:val="20"/>
          <w:u w:val="none"/>
        </w:rPr>
        <w:t xml:space="preserve">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respectively. </w:t>
      </w:r>
      <w:r>
        <w:rPr>
          <w:rFonts w:ascii="Times New Roman" w:eastAsia="Times New Roman" w:hAnsi="Times New Roman" w:cs="Times New Roman"/>
          <w:b w:val="0"/>
          <w:i w:val="0"/>
          <w:color w:val="000000"/>
          <w:sz w:val="20"/>
          <w:u w:val="none"/>
        </w:rPr>
        <w:t xml:space="preserve">In connection with the business combination discussed in Note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Business Combinations</w:t>
      </w:r>
      <w:r>
        <w:rPr>
          <w:rFonts w:ascii="Times New Roman" w:eastAsia="Times New Roman" w:hAnsi="Times New Roman" w:cs="Times New Roman"/>
          <w:b w:val="0"/>
          <w:i w:val="0"/>
          <w:color w:val="000000"/>
          <w:sz w:val="20"/>
          <w:u w:val="none"/>
        </w:rPr>
        <w:t xml:space="preserve">, during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color w:val="000000"/>
          <w:sz w:val="20"/>
          <w:u w:val="none"/>
        </w:rPr>
        <w:t>, the Company recorded additional intangible assets o</w:t>
      </w:r>
      <w:r>
        <w:rPr>
          <w:rFonts w:ascii="Times New Roman" w:eastAsia="Times New Roman" w:hAnsi="Times New Roman" w:cs="Times New Roman"/>
          <w:b w:val="0"/>
          <w:i w:val="0"/>
          <w:color w:val="000000"/>
          <w:sz w:val="20"/>
          <w:u w:val="none"/>
        </w:rPr>
        <w:t xml:space="preserve">f </w:t>
      </w:r>
      <w:r>
        <w:rPr>
          <w:rFonts w:ascii="Times New Roman" w:eastAsia="Times New Roman" w:hAnsi="Times New Roman" w:cs="Times New Roman"/>
          <w:b w:val="0"/>
          <w:i w:val="0"/>
          <w:color w:val="000000"/>
          <w:sz w:val="20"/>
          <w:u w:val="none"/>
        </w:rPr>
        <w:t>$2.6 million</w:t>
      </w:r>
      <w:r>
        <w:rPr>
          <w:rFonts w:ascii="Times New Roman" w:eastAsia="Times New Roman" w:hAnsi="Times New Roman" w:cs="Times New Roman"/>
          <w:b w:val="0"/>
          <w:i w:val="0"/>
          <w:color w:val="000000"/>
          <w:sz w:val="20"/>
          <w:u w:val="none"/>
        </w:rPr>
        <w:t xml:space="preserve">, of which </w:t>
      </w:r>
      <w:r>
        <w:rPr>
          <w:rFonts w:ascii="Times New Roman" w:eastAsia="Times New Roman" w:hAnsi="Times New Roman" w:cs="Times New Roman"/>
          <w:b w:val="0"/>
          <w:i w:val="0"/>
          <w:color w:val="000000"/>
          <w:sz w:val="20"/>
          <w:u w:val="none"/>
        </w:rPr>
        <w:t>$2.1 million</w:t>
      </w:r>
      <w:r>
        <w:rPr>
          <w:rFonts w:ascii="Times New Roman" w:eastAsia="Times New Roman" w:hAnsi="Times New Roman" w:cs="Times New Roman"/>
          <w:b w:val="0"/>
          <w:i w:val="0"/>
          <w:color w:val="000000"/>
          <w:sz w:val="20"/>
          <w:u w:val="none"/>
        </w:rPr>
        <w:t xml:space="preserve"> related to customer contracts and supplier relationships and </w:t>
      </w:r>
      <w:r>
        <w:rPr>
          <w:rFonts w:ascii="Times New Roman" w:eastAsia="Times New Roman" w:hAnsi="Times New Roman" w:cs="Times New Roman"/>
          <w:b w:val="0"/>
          <w:i w:val="0"/>
          <w:color w:val="000000"/>
          <w:sz w:val="20"/>
          <w:u w:val="none"/>
        </w:rPr>
        <w:t>$0.5 million</w:t>
      </w:r>
      <w:r>
        <w:rPr>
          <w:rFonts w:ascii="Times New Roman" w:eastAsia="Times New Roman" w:hAnsi="Times New Roman" w:cs="Times New Roman"/>
          <w:b w:val="0"/>
          <w:i w:val="0"/>
          <w:color w:val="000000"/>
          <w:sz w:val="20"/>
          <w:u w:val="none"/>
        </w:rPr>
        <w:t xml:space="preserve"> related to acquired </w:t>
      </w:r>
      <w:r>
        <w:rPr>
          <w:rFonts w:ascii="Times New Roman" w:eastAsia="Times New Roman" w:hAnsi="Times New Roman" w:cs="Times New Roman"/>
          <w:b w:val="0"/>
          <w:i w:val="0"/>
          <w:color w:val="000000"/>
          <w:sz w:val="20"/>
          <w:u w:val="none"/>
        </w:rPr>
        <w:t>existing</w:t>
      </w:r>
      <w:r>
        <w:rPr>
          <w:rFonts w:ascii="Times New Roman" w:eastAsia="Times New Roman" w:hAnsi="Times New Roman" w:cs="Times New Roman"/>
          <w:b w:val="0"/>
          <w:i w:val="0"/>
          <w:color w:val="000000"/>
          <w:sz w:val="20"/>
          <w:u w:val="none"/>
        </w:rPr>
        <w:t xml:space="preserve"> technology.</w:t>
      </w:r>
    </w:p>
    <w:p>
      <w:pPr>
        <w:keepNext/>
        <w:keepLines/>
        <w:pageBreakBefore w:val="0"/>
        <w:widowControl w:val="0"/>
        <w:numPr>
          <w:ilvl w:val="0"/>
          <w:numId w:val="0"/>
        </w:numPr>
        <w:spacing w:before="120" w:after="4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w:t>
      </w:r>
      <w:r>
        <w:rPr>
          <w:rFonts w:ascii="Times New Roman" w:eastAsia="Times New Roman" w:hAnsi="Times New Roman" w:cs="Times New Roman"/>
          <w:b w:val="0"/>
          <w:i w:val="0"/>
          <w:color w:val="000000"/>
          <w:sz w:val="20"/>
          <w:u w:val="none"/>
        </w:rPr>
        <w:t>mpany</w:t>
      </w:r>
      <w:r>
        <w:rPr>
          <w:rFonts w:ascii="Times New Roman" w:eastAsia="Times New Roman" w:hAnsi="Times New Roman" w:cs="Times New Roman"/>
          <w:b w:val="0"/>
          <w:i w:val="0"/>
          <w:color w:val="000000"/>
          <w:sz w:val="20"/>
          <w:u w:val="none"/>
        </w:rPr>
        <w:t xml:space="preserve"> perform</w:t>
      </w:r>
      <w:r>
        <w:rPr>
          <w:rFonts w:ascii="Times New Roman" w:eastAsia="Times New Roman" w:hAnsi="Times New Roman" w:cs="Times New Roman"/>
          <w:b w:val="0"/>
          <w:i w:val="0"/>
          <w:color w:val="000000"/>
          <w:sz w:val="20"/>
          <w:u w:val="none"/>
        </w:rPr>
        <w: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its</w:t>
      </w:r>
      <w:r>
        <w:rPr>
          <w:rFonts w:ascii="Times New Roman" w:eastAsia="Times New Roman" w:hAnsi="Times New Roman" w:cs="Times New Roman"/>
          <w:b w:val="0"/>
          <w:i w:val="0"/>
          <w:color w:val="000000"/>
          <w:sz w:val="20"/>
          <w:u w:val="none"/>
        </w:rPr>
        <w:t xml:space="preserve"> annual goodwill impairment test as of the beginning of the fourth quarter of each fiscal year or whenever an event occurs or circumstances change that would more likely than not reduce the fair value of a reporting unit below its carrying amount. Refer to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Summary of Significant Accounting Policies</w:t>
      </w:r>
      <w:r>
        <w:rPr>
          <w:rFonts w:ascii="Times New Roman" w:eastAsia="Times New Roman" w:hAnsi="Times New Roman" w:cs="Times New Roman"/>
          <w:b w:val="0"/>
          <w:i/>
          <w:color w:val="000000"/>
          <w:sz w:val="20"/>
          <w:u w:val="none"/>
        </w:rPr>
        <w:t xml:space="preserve">, </w:t>
      </w:r>
      <w:r>
        <w:rPr>
          <w:rFonts w:ascii="Times New Roman" w:eastAsia="Times New Roman" w:hAnsi="Times New Roman" w:cs="Times New Roman"/>
          <w:b w:val="0"/>
          <w:i w:val="0"/>
          <w:color w:val="000000"/>
          <w:sz w:val="20"/>
          <w:u w:val="none"/>
        </w:rPr>
        <w:t>for further details concerning our annual goodwill impairment evaluation.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During th</w:t>
      </w:r>
      <w:r>
        <w:rPr>
          <w:rFonts w:ascii="Times New Roman" w:eastAsia="Times New Roman" w:hAnsi="Times New Roman" w:cs="Times New Roman"/>
          <w:b w:val="0"/>
          <w:i w:val="0"/>
          <w:color w:val="000000"/>
          <w:sz w:val="20"/>
          <w:u w:val="none"/>
        </w:rPr>
        <w:t>e th</w:t>
      </w:r>
      <w:r>
        <w:rPr>
          <w:rFonts w:ascii="Times New Roman" w:eastAsia="Times New Roman" w:hAnsi="Times New Roman" w:cs="Times New Roman"/>
          <w:b w:val="0"/>
          <w:i w:val="0"/>
          <w:color w:val="000000"/>
          <w:sz w:val="20"/>
          <w:u w:val="none"/>
        </w:rPr>
        <w:t xml:space="preserve">ree months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the Company iden</w:t>
      </w:r>
      <w:r>
        <w:rPr>
          <w:rFonts w:ascii="Times New Roman" w:eastAsia="Times New Roman" w:hAnsi="Times New Roman" w:cs="Times New Roman"/>
          <w:b w:val="0"/>
          <w:i w:val="0"/>
          <w:color w:val="000000"/>
          <w:sz w:val="20"/>
          <w:u w:val="none"/>
        </w:rPr>
        <w:t>tified triggering</w:t>
      </w:r>
      <w:r>
        <w:rPr>
          <w:rFonts w:ascii="Times New Roman" w:eastAsia="Times New Roman" w:hAnsi="Times New Roman" w:cs="Times New Roman"/>
          <w:b w:val="0"/>
          <w:i w:val="0"/>
          <w:color w:val="000000"/>
          <w:sz w:val="20"/>
          <w:u w:val="none"/>
        </w:rPr>
        <w:t xml:space="preserve"> events in its Industrial and Medical reporting </w:t>
      </w:r>
      <w:r>
        <w:rPr>
          <w:rFonts w:ascii="Times New Roman" w:eastAsia="Times New Roman" w:hAnsi="Times New Roman" w:cs="Times New Roman"/>
          <w:b w:val="0"/>
          <w:i w:val="0"/>
          <w:color w:val="000000"/>
          <w:sz w:val="20"/>
          <w:u w:val="none"/>
        </w:rPr>
        <w:t>units</w:t>
      </w:r>
      <w:r>
        <w:rPr>
          <w:rFonts w:ascii="Times New Roman" w:eastAsia="Times New Roman" w:hAnsi="Times New Roman" w:cs="Times New Roman"/>
          <w:b w:val="0"/>
          <w:i w:val="0"/>
          <w:color w:val="000000"/>
          <w:sz w:val="20"/>
          <w:u w:val="none"/>
        </w:rPr>
        <w:t xml:space="preserve"> due to a sustained de</w:t>
      </w:r>
      <w:r>
        <w:rPr>
          <w:rFonts w:ascii="Times New Roman" w:eastAsia="Times New Roman" w:hAnsi="Times New Roman" w:cs="Times New Roman"/>
          <w:b w:val="0"/>
          <w:i w:val="0"/>
          <w:color w:val="000000"/>
          <w:sz w:val="20"/>
          <w:u w:val="none"/>
        </w:rPr>
        <w:t>c</w:t>
      </w:r>
      <w:r>
        <w:rPr>
          <w:rFonts w:ascii="Times New Roman" w:eastAsia="Times New Roman" w:hAnsi="Times New Roman" w:cs="Times New Roman"/>
          <w:b w:val="0"/>
          <w:i w:val="0"/>
          <w:color w:val="000000"/>
          <w:sz w:val="20"/>
          <w:u w:val="none"/>
        </w:rPr>
        <w:t xml:space="preserve">line in </w:t>
      </w:r>
      <w:r>
        <w:rPr>
          <w:rFonts w:ascii="Times New Roman" w:eastAsia="Times New Roman" w:hAnsi="Times New Roman" w:cs="Times New Roman"/>
          <w:b w:val="0"/>
          <w:i w:val="0"/>
          <w:color w:val="000000"/>
          <w:sz w:val="20"/>
          <w:u w:val="none"/>
        </w:rPr>
        <w:t xml:space="preserve">its </w:t>
      </w:r>
      <w:r>
        <w:rPr>
          <w:rFonts w:ascii="Times New Roman" w:eastAsia="Times New Roman" w:hAnsi="Times New Roman" w:cs="Times New Roman"/>
          <w:b w:val="0"/>
          <w:i w:val="0"/>
          <w:color w:val="000000"/>
          <w:sz w:val="20"/>
          <w:u w:val="none"/>
        </w:rPr>
        <w:t>market capitalization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 sustained decline in its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stock </w:t>
      </w:r>
      <w:r>
        <w:rPr>
          <w:rFonts w:ascii="Times New Roman" w:eastAsia="Times New Roman" w:hAnsi="Times New Roman" w:cs="Times New Roman"/>
          <w:b w:val="0"/>
          <w:i w:val="0"/>
          <w:color w:val="000000"/>
          <w:sz w:val="20"/>
          <w:u w:val="none"/>
        </w:rPr>
        <w:t>price</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and </w:t>
      </w:r>
      <w:r>
        <w:rPr>
          <w:rFonts w:ascii="Times New Roman" w:eastAsia="Times New Roman" w:hAnsi="Times New Roman" w:cs="Times New Roman"/>
          <w:b w:val="0"/>
          <w:i w:val="0"/>
          <w:color w:val="000000"/>
          <w:sz w:val="20"/>
          <w:u w:val="none"/>
        </w:rPr>
        <w:t>downward</w:t>
      </w:r>
      <w:r>
        <w:rPr>
          <w:rFonts w:ascii="Times New Roman" w:eastAsia="Times New Roman" w:hAnsi="Times New Roman" w:cs="Times New Roman"/>
          <w:b w:val="0"/>
          <w:i w:val="0"/>
          <w:color w:val="000000"/>
          <w:sz w:val="20"/>
          <w:u w:val="none"/>
        </w:rPr>
        <w:t xml:space="preserve"> revisions in its longer</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term forecast received during the quarter, which included the impact of tariffs and MOFCOM </w:t>
      </w:r>
      <w:r>
        <w:rPr>
          <w:rFonts w:ascii="Times New Roman" w:eastAsia="Times New Roman" w:hAnsi="Times New Roman" w:cs="Times New Roman"/>
          <w:b w:val="0"/>
          <w:i w:val="0"/>
          <w:color w:val="000000"/>
          <w:sz w:val="20"/>
          <w:u w:val="none"/>
        </w:rPr>
        <w:t>I</w:t>
      </w:r>
      <w:r>
        <w:rPr>
          <w:rFonts w:ascii="Times New Roman" w:eastAsia="Times New Roman" w:hAnsi="Times New Roman" w:cs="Times New Roman"/>
          <w:b w:val="0"/>
          <w:i w:val="0"/>
          <w:color w:val="000000"/>
          <w:sz w:val="20"/>
          <w:u w:val="none"/>
        </w:rPr>
        <w:t>nvestigation</w:t>
      </w:r>
      <w:r>
        <w:rPr>
          <w:rFonts w:ascii="Times New Roman" w:eastAsia="Times New Roman" w:hAnsi="Times New Roman" w:cs="Times New Roman"/>
          <w:b w:val="0"/>
          <w:i w:val="0"/>
          <w:color w:val="000000"/>
          <w:sz w:val="20"/>
          <w:u w:val="none"/>
        </w:rPr>
        <w:t>s</w:t>
      </w:r>
      <w:r>
        <w:rPr>
          <w:rFonts w:ascii="Times New Roman" w:eastAsia="Times New Roman" w:hAnsi="Times New Roman" w:cs="Times New Roman"/>
          <w:b w:val="0"/>
          <w:i w:val="0"/>
          <w:color w:val="000000"/>
          <w:sz w:val="20"/>
          <w:u w:val="none"/>
        </w:rPr>
        <w:t xml:space="preserve"> announcements.</w:t>
      </w:r>
    </w:p>
    <w:p>
      <w:pPr>
        <w:keepNext/>
        <w:keepLines/>
        <w:pageBreakBefore w:val="0"/>
        <w:widowControl w:val="0"/>
        <w:numPr>
          <w:ilvl w:val="0"/>
          <w:numId w:val="0"/>
        </w:numPr>
        <w:spacing w:before="120" w:after="4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As a result,</w:t>
      </w:r>
      <w:r>
        <w:rPr>
          <w:rFonts w:ascii="Times New Roman" w:eastAsia="Times New Roman" w:hAnsi="Times New Roman" w:cs="Times New Roman"/>
          <w:b w:val="0"/>
          <w:i w:val="0"/>
          <w:color w:val="000000"/>
          <w:sz w:val="20"/>
          <w:u w:val="none"/>
        </w:rPr>
        <w:t xml:space="preserve"> in connection with the preparation of it</w:t>
      </w:r>
      <w:r>
        <w:rPr>
          <w:rFonts w:ascii="Times New Roman" w:eastAsia="Times New Roman" w:hAnsi="Times New Roman" w:cs="Times New Roman"/>
          <w:b w:val="0"/>
          <w:i w:val="0"/>
          <w:color w:val="000000"/>
          <w:sz w:val="20"/>
          <w:u w:val="none"/>
        </w:rPr>
        <w:t>s financial statements for the fisca</w:t>
      </w:r>
      <w:r>
        <w:rPr>
          <w:rFonts w:ascii="Times New Roman" w:eastAsia="Times New Roman" w:hAnsi="Times New Roman" w:cs="Times New Roman"/>
          <w:b w:val="0"/>
          <w:i w:val="0"/>
          <w:color w:val="000000"/>
          <w:sz w:val="20"/>
          <w:u w:val="none"/>
        </w:rPr>
        <w:t xml:space="preserve">l </w:t>
      </w:r>
      <w:r>
        <w:rPr>
          <w:rFonts w:ascii="Times New Roman" w:eastAsia="Times New Roman" w:hAnsi="Times New Roman" w:cs="Times New Roman"/>
          <w:b w:val="0"/>
          <w:i w:val="0"/>
          <w:color w:val="000000"/>
          <w:sz w:val="20"/>
          <w:u w:val="none"/>
        </w:rPr>
        <w:t>quarter</w:t>
      </w:r>
      <w:r>
        <w:rPr>
          <w:rFonts w:ascii="Times New Roman" w:eastAsia="Times New Roman" w:hAnsi="Times New Roman" w:cs="Times New Roman"/>
          <w:b w:val="0"/>
          <w:i w:val="0"/>
          <w:color w:val="000000"/>
          <w:sz w:val="20"/>
          <w:u w:val="none"/>
        </w:rPr>
        <w:t xml:space="preserve">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the Company </w:t>
      </w:r>
      <w:r>
        <w:rPr>
          <w:rFonts w:ascii="Times New Roman" w:eastAsia="Times New Roman" w:hAnsi="Times New Roman" w:cs="Times New Roman"/>
          <w:b w:val="0"/>
          <w:i w:val="0"/>
          <w:color w:val="000000"/>
          <w:sz w:val="20"/>
          <w:u w:val="none"/>
        </w:rPr>
        <w:t>performed</w:t>
      </w:r>
      <w:r>
        <w:rPr>
          <w:rFonts w:ascii="Times New Roman" w:eastAsia="Times New Roman" w:hAnsi="Times New Roman" w:cs="Times New Roman"/>
          <w:b w:val="0"/>
          <w:i w:val="0"/>
          <w:color w:val="000000"/>
          <w:sz w:val="20"/>
          <w:u w:val="none"/>
        </w:rPr>
        <w:t xml:space="preserve"> a </w:t>
      </w:r>
      <w:r>
        <w:rPr>
          <w:rFonts w:ascii="Times New Roman" w:eastAsia="Times New Roman" w:hAnsi="Times New Roman" w:cs="Times New Roman"/>
          <w:b w:val="0"/>
          <w:i w:val="0"/>
          <w:color w:val="000000"/>
          <w:sz w:val="20"/>
          <w:u w:val="none"/>
        </w:rPr>
        <w:t>quantitative</w:t>
      </w:r>
      <w:r>
        <w:rPr>
          <w:rFonts w:ascii="Times New Roman" w:eastAsia="Times New Roman" w:hAnsi="Times New Roman" w:cs="Times New Roman"/>
          <w:b w:val="0"/>
          <w:i w:val="0"/>
          <w:color w:val="000000"/>
          <w:sz w:val="20"/>
          <w:u w:val="none"/>
        </w:rPr>
        <w:t xml:space="preserve"> impairment analysis for goodwill related to its Medical and Industrial reporting </w:t>
      </w:r>
      <w:r>
        <w:rPr>
          <w:rFonts w:ascii="Times New Roman" w:eastAsia="Times New Roman" w:hAnsi="Times New Roman" w:cs="Times New Roman"/>
          <w:b w:val="0"/>
          <w:i w:val="0"/>
          <w:color w:val="000000"/>
          <w:sz w:val="20"/>
          <w:u w:val="none"/>
        </w:rPr>
        <w:t>units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The fair value of the reporting units were determined </w:t>
      </w:r>
      <w:r>
        <w:rPr>
          <w:rFonts w:ascii="Times New Roman" w:eastAsia="Times New Roman" w:hAnsi="Times New Roman" w:cs="Times New Roman"/>
          <w:b w:val="0"/>
          <w:i w:val="0"/>
          <w:color w:val="000000"/>
          <w:sz w:val="20"/>
          <w:u w:val="none"/>
        </w:rPr>
        <w:t>using both an income approach utilizing the discounted cash flow method and market approach utilizing the public company market multiple method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Based on this analysis</w:t>
      </w:r>
      <w:r>
        <w:rPr>
          <w:rFonts w:ascii="Times New Roman" w:eastAsia="Times New Roman" w:hAnsi="Times New Roman" w:cs="Times New Roman"/>
          <w:b w:val="0"/>
          <w:i w:val="0"/>
          <w:color w:val="000000"/>
          <w:sz w:val="20"/>
          <w:u w:val="none"/>
        </w:rPr>
        <w:t xml:space="preserve">, the Company </w:t>
      </w:r>
      <w:r>
        <w:rPr>
          <w:rFonts w:ascii="Times New Roman" w:eastAsia="Times New Roman" w:hAnsi="Times New Roman" w:cs="Times New Roman"/>
          <w:b w:val="0"/>
          <w:i w:val="0"/>
          <w:color w:val="000000"/>
          <w:sz w:val="20"/>
          <w:u w:val="none"/>
        </w:rPr>
        <w:t xml:space="preserve">determined that the carrying </w:t>
      </w:r>
      <w:r>
        <w:rPr>
          <w:rFonts w:ascii="Times New Roman" w:eastAsia="Times New Roman" w:hAnsi="Times New Roman" w:cs="Times New Roman"/>
          <w:b w:val="0"/>
          <w:i w:val="0"/>
          <w:color w:val="000000"/>
          <w:sz w:val="20"/>
          <w:u w:val="none"/>
        </w:rPr>
        <w:t xml:space="preserve">amount of the Medical </w:t>
      </w:r>
      <w:r>
        <w:rPr>
          <w:rFonts w:ascii="Times New Roman" w:eastAsia="Times New Roman" w:hAnsi="Times New Roman" w:cs="Times New Roman"/>
          <w:b w:val="0"/>
          <w:i w:val="0"/>
          <w:color w:val="000000"/>
          <w:sz w:val="20"/>
          <w:u w:val="none"/>
        </w:rPr>
        <w:t xml:space="preserve">reporting </w:t>
      </w:r>
      <w:r>
        <w:rPr>
          <w:rFonts w:ascii="Times New Roman" w:eastAsia="Times New Roman" w:hAnsi="Times New Roman" w:cs="Times New Roman"/>
          <w:b w:val="0"/>
          <w:i w:val="0"/>
          <w:color w:val="000000"/>
          <w:sz w:val="20"/>
          <w:u w:val="none"/>
        </w:rPr>
        <w:t>unit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was below</w:t>
      </w:r>
      <w:r>
        <w:rPr>
          <w:rFonts w:ascii="Times New Roman" w:eastAsia="Times New Roman" w:hAnsi="Times New Roman" w:cs="Times New Roman"/>
          <w:b w:val="0"/>
          <w:i w:val="0"/>
          <w:color w:val="000000"/>
          <w:sz w:val="20"/>
          <w:u w:val="none"/>
        </w:rPr>
        <w:t xml:space="preserve"> its fair</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val</w:t>
      </w:r>
      <w:r>
        <w:rPr>
          <w:rFonts w:ascii="Times New Roman" w:eastAsia="Times New Roman" w:hAnsi="Times New Roman" w:cs="Times New Roman"/>
          <w:b w:val="0"/>
          <w:i w:val="0"/>
          <w:color w:val="000000"/>
          <w:sz w:val="20"/>
          <w:u w:val="none"/>
        </w:rPr>
        <w:t>u</w:t>
      </w:r>
      <w:r>
        <w:rPr>
          <w:rFonts w:ascii="Times New Roman" w:eastAsia="Times New Roman" w:hAnsi="Times New Roman" w:cs="Times New Roman"/>
          <w:b w:val="0"/>
          <w:i w:val="0"/>
          <w:color w:val="000000"/>
          <w:sz w:val="20"/>
          <w:u w:val="none"/>
        </w:rPr>
        <w:t xml:space="preserve">e, and </w:t>
      </w:r>
      <w:r>
        <w:rPr>
          <w:rFonts w:ascii="Times New Roman" w:eastAsia="Times New Roman" w:hAnsi="Times New Roman" w:cs="Times New Roman"/>
          <w:b w:val="0"/>
          <w:i w:val="0"/>
          <w:color w:val="000000"/>
          <w:sz w:val="20"/>
          <w:u w:val="none"/>
        </w:rPr>
        <w:t>record</w:t>
      </w:r>
      <w:r>
        <w:rPr>
          <w:rFonts w:ascii="Times New Roman" w:eastAsia="Times New Roman" w:hAnsi="Times New Roman" w:cs="Times New Roman"/>
          <w:b w:val="0"/>
          <w:i w:val="0"/>
          <w:color w:val="000000"/>
          <w:sz w:val="20"/>
          <w:u w:val="none"/>
        </w:rPr>
        <w:t xml:space="preserve">ed a goodwill </w:t>
      </w:r>
      <w:r>
        <w:rPr>
          <w:rFonts w:ascii="Times New Roman" w:eastAsia="Times New Roman" w:hAnsi="Times New Roman" w:cs="Times New Roman"/>
          <w:b w:val="0"/>
          <w:i w:val="0"/>
          <w:color w:val="000000"/>
          <w:sz w:val="20"/>
          <w:u w:val="none"/>
        </w:rPr>
        <w:t>impairment</w:t>
      </w:r>
      <w:r>
        <w:rPr>
          <w:rFonts w:ascii="Times New Roman" w:eastAsia="Times New Roman" w:hAnsi="Times New Roman" w:cs="Times New Roman"/>
          <w:b w:val="0"/>
          <w:i w:val="0"/>
          <w:color w:val="000000"/>
          <w:sz w:val="20"/>
          <w:u w:val="none"/>
        </w:rPr>
        <w:t xml:space="preserve"> charge of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to its Medical reporting</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unit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with</w:t>
      </w:r>
      <w:r>
        <w:rPr>
          <w:rFonts w:ascii="Times New Roman" w:eastAsia="Times New Roman" w:hAnsi="Times New Roman" w:cs="Times New Roman"/>
          <w:b w:val="0"/>
          <w:i w:val="0"/>
          <w:color w:val="000000"/>
          <w:sz w:val="20"/>
          <w:u w:val="none"/>
        </w:rPr>
        <w:t xml:space="preserve">in </w:t>
      </w:r>
      <w:r>
        <w:rPr>
          <w:rFonts w:ascii="Times New Roman" w:eastAsia="Times New Roman" w:hAnsi="Times New Roman" w:cs="Times New Roman"/>
          <w:b w:val="0"/>
          <w:i w:val="0"/>
          <w:color w:val="000000"/>
          <w:sz w:val="20"/>
          <w:u w:val="none"/>
        </w:rPr>
        <w:t>impairment of goodwill</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Add</w:t>
      </w:r>
      <w:r>
        <w:rPr>
          <w:rFonts w:ascii="Times New Roman" w:eastAsia="Times New Roman" w:hAnsi="Times New Roman" w:cs="Times New Roman"/>
          <w:b w:val="0"/>
          <w:i w:val="0"/>
          <w:color w:val="000000"/>
          <w:sz w:val="20"/>
          <w:u w:val="none"/>
        </w:rPr>
        <w:t xml:space="preserve">itionally, </w:t>
      </w:r>
      <w:r>
        <w:rPr>
          <w:rFonts w:ascii="Times New Roman" w:eastAsia="Times New Roman" w:hAnsi="Times New Roman" w:cs="Times New Roman"/>
          <w:b w:val="0"/>
          <w:i w:val="0"/>
          <w:color w:val="000000"/>
          <w:sz w:val="20"/>
          <w:u w:val="none"/>
        </w:rPr>
        <w:t>b</w:t>
      </w:r>
      <w:r>
        <w:rPr>
          <w:rFonts w:ascii="Times New Roman" w:eastAsia="Times New Roman" w:hAnsi="Times New Roman" w:cs="Times New Roman"/>
          <w:b w:val="0"/>
          <w:i w:val="0"/>
          <w:color w:val="000000"/>
          <w:sz w:val="20"/>
          <w:u w:val="none"/>
        </w:rPr>
        <w:t>ased on the output of the analysis, the Company determined that the fair value</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 xml:space="preserve">the </w:t>
      </w:r>
      <w:r>
        <w:rPr>
          <w:rFonts w:ascii="Times New Roman" w:eastAsia="Times New Roman" w:hAnsi="Times New Roman" w:cs="Times New Roman"/>
          <w:b w:val="0"/>
          <w:i w:val="0"/>
          <w:color w:val="000000"/>
          <w:sz w:val="20"/>
          <w:u w:val="none"/>
        </w:rPr>
        <w:t>Industrial reporting unit</w:t>
      </w:r>
      <w:r>
        <w:rPr>
          <w:rFonts w:ascii="Times New Roman" w:eastAsia="Times New Roman" w:hAnsi="Times New Roman" w:cs="Times New Roman"/>
          <w:b w:val="0"/>
          <w:i w:val="0"/>
          <w:color w:val="000000"/>
          <w:sz w:val="20"/>
          <w:u w:val="none"/>
        </w:rPr>
        <w:t xml:space="preserve"> exceeded </w:t>
      </w:r>
      <w:r>
        <w:rPr>
          <w:rFonts w:ascii="Times New Roman" w:eastAsia="Times New Roman" w:hAnsi="Times New Roman" w:cs="Times New Roman"/>
          <w:b w:val="0"/>
          <w:i w:val="0"/>
          <w:color w:val="000000"/>
          <w:sz w:val="20"/>
          <w:u w:val="none"/>
        </w:rPr>
        <w:t>its</w:t>
      </w:r>
      <w:r>
        <w:rPr>
          <w:rFonts w:ascii="Times New Roman" w:eastAsia="Times New Roman" w:hAnsi="Times New Roman" w:cs="Times New Roman"/>
          <w:b w:val="0"/>
          <w:i w:val="0"/>
          <w:color w:val="000000"/>
          <w:sz w:val="20"/>
          <w:u w:val="none"/>
        </w:rPr>
        <w:t xml:space="preserve"> carrying amount</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Accordingly, no impairment charge was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recorded</w:t>
      </w:r>
      <w:r>
        <w:rPr>
          <w:rFonts w:ascii="Times New Roman" w:eastAsia="Times New Roman" w:hAnsi="Times New Roman" w:cs="Times New Roman"/>
          <w:b w:val="0"/>
          <w:i w:val="0"/>
          <w:color w:val="000000"/>
          <w:sz w:val="20"/>
          <w:u w:val="none"/>
        </w:rPr>
        <w:t xml:space="preserve"> relat</w:t>
      </w:r>
      <w:r>
        <w:rPr>
          <w:rFonts w:ascii="Times New Roman" w:eastAsia="Times New Roman" w:hAnsi="Times New Roman" w:cs="Times New Roman"/>
          <w:b w:val="0"/>
          <w:i w:val="0"/>
          <w:color w:val="000000"/>
          <w:sz w:val="20"/>
          <w:u w:val="none"/>
        </w:rPr>
        <w:t>ing</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its I</w:t>
      </w:r>
      <w:r>
        <w:rPr>
          <w:rFonts w:ascii="Times New Roman" w:eastAsia="Times New Roman" w:hAnsi="Times New Roman" w:cs="Times New Roman"/>
          <w:b w:val="0"/>
          <w:i w:val="0"/>
          <w:color w:val="000000"/>
          <w:sz w:val="20"/>
          <w:u w:val="none"/>
        </w:rPr>
        <w:t xml:space="preserve">ndustrial </w:t>
      </w:r>
      <w:r>
        <w:rPr>
          <w:rFonts w:ascii="Times New Roman" w:eastAsia="Times New Roman" w:hAnsi="Times New Roman" w:cs="Times New Roman"/>
          <w:b w:val="0"/>
          <w:i w:val="0"/>
          <w:color w:val="000000"/>
          <w:sz w:val="20"/>
          <w:u w:val="none"/>
        </w:rPr>
        <w:t>reporting unit.</w:t>
      </w:r>
    </w:p>
    <w:p>
      <w:pPr>
        <w:keepNext/>
        <w:keepLines/>
        <w:pageBreakBefore w:val="0"/>
        <w:widowControl w:val="0"/>
        <w:numPr>
          <w:ilvl w:val="0"/>
          <w:numId w:val="0"/>
        </w:numPr>
        <w:spacing w:before="120" w:after="4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goodwill </w:t>
      </w:r>
      <w:r>
        <w:rPr>
          <w:rFonts w:ascii="Times New Roman" w:eastAsia="Times New Roman" w:hAnsi="Times New Roman" w:cs="Times New Roman"/>
          <w:b w:val="0"/>
          <w:i w:val="0"/>
          <w:color w:val="000000"/>
          <w:sz w:val="20"/>
          <w:u w:val="none"/>
        </w:rPr>
        <w:t xml:space="preserve">within the Medical reporting </w:t>
      </w:r>
      <w:r>
        <w:rPr>
          <w:rFonts w:ascii="Times New Roman" w:eastAsia="Times New Roman" w:hAnsi="Times New Roman" w:cs="Times New Roman"/>
          <w:b w:val="0"/>
          <w:i w:val="0"/>
          <w:color w:val="000000"/>
          <w:sz w:val="20"/>
          <w:u w:val="none"/>
        </w:rPr>
        <w:t>unit</w:t>
      </w:r>
      <w:r>
        <w:rPr>
          <w:rFonts w:ascii="Times New Roman" w:eastAsia="Times New Roman" w:hAnsi="Times New Roman" w:cs="Times New Roman"/>
          <w:b w:val="0"/>
          <w:i w:val="0"/>
          <w:color w:val="000000"/>
          <w:sz w:val="20"/>
          <w:u w:val="none"/>
        </w:rPr>
        <w:t xml:space="preserve"> remains susceptible </w:t>
      </w:r>
      <w:r>
        <w:rPr>
          <w:rFonts w:ascii="Times New Roman" w:eastAsia="Times New Roman" w:hAnsi="Times New Roman" w:cs="Times New Roman"/>
          <w:b w:val="0"/>
          <w:i w:val="0"/>
          <w:color w:val="000000"/>
          <w:sz w:val="20"/>
          <w:u w:val="none"/>
        </w:rPr>
        <w:t>to future impairment charges</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Any significant adverse change in </w:t>
      </w:r>
      <w:r>
        <w:rPr>
          <w:rFonts w:ascii="Times New Roman" w:eastAsia="Times New Roman" w:hAnsi="Times New Roman" w:cs="Times New Roman"/>
          <w:b w:val="0"/>
          <w:i w:val="0"/>
          <w:color w:val="000000"/>
          <w:sz w:val="20"/>
          <w:u w:val="none"/>
        </w:rPr>
        <w:t>the Company's</w:t>
      </w:r>
      <w:r>
        <w:rPr>
          <w:rFonts w:ascii="Times New Roman" w:eastAsia="Times New Roman" w:hAnsi="Times New Roman" w:cs="Times New Roman"/>
          <w:b w:val="0"/>
          <w:i w:val="0"/>
          <w:color w:val="000000"/>
          <w:sz w:val="20"/>
          <w:u w:val="none"/>
        </w:rPr>
        <w:t xml:space="preserve"> near- or long-term projections or macroeconomic conditions would result in future im</w:t>
      </w:r>
      <w:r>
        <w:rPr>
          <w:rFonts w:ascii="Times New Roman" w:eastAsia="Times New Roman" w:hAnsi="Times New Roman" w:cs="Times New Roman"/>
          <w:b w:val="0"/>
          <w:i w:val="0"/>
          <w:color w:val="000000"/>
          <w:sz w:val="20"/>
          <w:u w:val="none"/>
        </w:rPr>
        <w:t>pairmen</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 xml:space="preserve"> charges for the Medical reporting unit.</w:t>
      </w:r>
    </w:p>
    <w:p>
      <w:pPr>
        <w:keepNext/>
        <w:keepLines/>
        <w:pageBreakBefore w:val="0"/>
        <w:widowControl w:val="0"/>
        <w:numPr>
          <w:ilvl w:val="0"/>
          <w:numId w:val="0"/>
        </w:numPr>
        <w:spacing w:before="120" w:after="40" w:line="288" w:lineRule="auto"/>
        <w:ind w:left="0" w:right="0" w:firstLine="0"/>
        <w:jc w:val="left"/>
        <w:outlineLvl w:val="9"/>
        <w:rPr>
          <w:rFonts w:ascii="Times New Roman" w:eastAsia="Times New Roman" w:hAnsi="Times New Roman" w:cs="Times New Roman"/>
          <w:b w:val="0"/>
          <w:i w:val="0"/>
          <w:color w:val="000000"/>
          <w:sz w:val="20"/>
          <w:u w:val="none"/>
        </w:rPr>
        <w:sectPr>
          <w:headerReference w:type="default" r:id="rId27"/>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2" w:name="Section23"/>
      <w:bookmarkEnd w:id="22"/>
      <w:r>
        <w:rPr>
          <w:rFonts w:ascii="Times New Roman" w:eastAsia="Times New Roman" w:hAnsi="Times New Roman" w:cs="Times New Roman"/>
          <w:b/>
          <w:i w:val="0"/>
          <w:color w:val="000000"/>
          <w:sz w:val="20"/>
          <w:u w:val="none"/>
        </w:rPr>
        <w:t>9</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BORROWINGS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18"/>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the Company’s short-term and long-term debt: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950"/>
        <w:gridCol w:w="1635"/>
        <w:gridCol w:w="60"/>
        <w:gridCol w:w="1635"/>
        <w:gridCol w:w="60"/>
        <w:gridCol w:w="1200"/>
        <w:gridCol w:w="60"/>
        <w:gridCol w:w="1200"/>
      </w:tblGrid>
      <w:tr>
        <w:tblPrEx>
          <w:tblW w:w="10800" w:type="dxa"/>
          <w:tblInd w:w="0" w:type="dxa"/>
          <w:tblLayout w:type="fixed"/>
        </w:tblPrEx>
        <w:trPr>
          <w:cantSplit/>
          <w:trHeight w:hRule="exact" w:val="465"/>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465"/>
        </w:trPr>
        <w:tc>
          <w:tcPr>
            <w:tcW w:w="495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 except for percentages)</w:t>
            </w:r>
          </w:p>
        </w:tc>
        <w:tc>
          <w:tcPr>
            <w:tcW w:w="16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Contractual Interest Rate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Effective Interest Rate</w:t>
            </w: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Current maturities of long-term debt:</w:t>
            </w:r>
          </w:p>
        </w:tc>
        <w:tc>
          <w:tcPr>
            <w:tcW w:w="16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Convertible Senior Unsecured Notes</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29"/>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45.0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4.0%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4.8%</w:t>
            </w: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Other debt</w:t>
            </w: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1.5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1.5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current maturities of long-term debt</w:t>
            </w: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84"/>
                <w:tab w:val="left" w:pos="1567"/>
              </w:tabs>
              <w:spacing w:before="55" w:after="30" w:line="240" w:lineRule="auto"/>
              <w:jc w:val="right"/>
            </w:pPr>
            <w:r>
              <w:rPr>
                <w:rFonts w:ascii="Times New Roman" w:eastAsia="Times New Roman" w:hAnsi="Times New Roman" w:cs="Times New Roman"/>
                <w:b/>
                <w:i w:val="0"/>
                <w:color w:val="000000"/>
                <w:sz w:val="18"/>
                <w:u w:val="none"/>
              </w:rPr>
              <w:t>$</w:t>
              <w:tab/>
              <w:t>1.5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567"/>
              </w:tabs>
              <w:spacing w:before="55" w:after="30" w:line="240" w:lineRule="auto"/>
              <w:jc w:val="right"/>
            </w:pPr>
            <w:r>
              <w:rPr>
                <w:rFonts w:ascii="Times New Roman" w:eastAsia="Times New Roman" w:hAnsi="Times New Roman" w:cs="Times New Roman"/>
                <w:b/>
                <w:i w:val="0"/>
                <w:color w:val="000000"/>
                <w:sz w:val="18"/>
                <w:u w:val="none"/>
              </w:rPr>
              <w:t>$</w:t>
              <w:tab/>
              <w:t>46.5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Non-current maturities of long-term debt:</w:t>
            </w: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225"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Convertible Senior Unsecured Notes</w:t>
            </w:r>
            <w:r>
              <w:rPr>
                <w:rFonts w:ascii="Times New Roman" w:eastAsia="Times New Roman" w:hAnsi="Times New Roman" w:cs="Times New Roman"/>
                <w:b w:val="0"/>
                <w:i w:val="0"/>
                <w:sz w:val="18"/>
                <w:vertAlign w:val="superscript"/>
              </w:rPr>
              <w:t>(1)</w:t>
            </w:r>
            <w:r>
              <w:rPr>
                <w:rFonts w:ascii="Times New Roman" w:eastAsia="Times New Roman" w:hAnsi="Times New Roman" w:cs="Times New Roman"/>
                <w:b w:val="0"/>
                <w:i w:val="0"/>
                <w:sz w:val="18"/>
              </w:rPr>
              <w:t xml:space="preserve"> </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29"/>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04"/>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155.0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4.0%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4.8%</w:t>
            </w: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Senior Secured Notes</w:t>
            </w: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4"/>
                <w:tab w:val="left" w:pos="1567"/>
              </w:tabs>
              <w:spacing w:before="75" w:after="30" w:line="240" w:lineRule="auto"/>
              <w:jc w:val="right"/>
            </w:pPr>
            <w:r>
              <w:rPr>
                <w:rFonts w:ascii="Times New Roman" w:eastAsia="Times New Roman" w:hAnsi="Times New Roman" w:cs="Times New Roman"/>
                <w:b w:val="0"/>
                <w:i w:val="0"/>
                <w:color w:val="000000"/>
                <w:sz w:val="18"/>
                <w:u w:val="none"/>
              </w:rPr>
              <w:tab/>
              <w:t>368.0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4"/>
                <w:tab w:val="left" w:pos="1567"/>
              </w:tabs>
              <w:spacing w:before="75" w:after="30" w:line="240" w:lineRule="auto"/>
              <w:jc w:val="right"/>
            </w:pPr>
            <w:r>
              <w:rPr>
                <w:rFonts w:ascii="Times New Roman" w:eastAsia="Times New Roman" w:hAnsi="Times New Roman" w:cs="Times New Roman"/>
                <w:b w:val="0"/>
                <w:i w:val="0"/>
                <w:color w:val="000000"/>
                <w:sz w:val="18"/>
                <w:u w:val="none"/>
              </w:rPr>
              <w:tab/>
              <w:t>243.0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7.9%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8.2%</w:t>
            </w: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Other debt</w:t>
            </w: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0.7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2.1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non-current maturities of long-term debt</w:t>
            </w: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368.7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400.1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Unamortized issuance costs and debt premiums:</w:t>
            </w: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Unamortized issuance costs - Convertible Notes</w:t>
            </w: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09"/>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4"/>
              </w:tabs>
              <w:spacing w:before="75" w:after="30" w:line="240" w:lineRule="auto"/>
              <w:jc w:val="right"/>
            </w:pPr>
            <w:r>
              <w:rPr>
                <w:rFonts w:ascii="Times New Roman" w:eastAsia="Times New Roman" w:hAnsi="Times New Roman" w:cs="Times New Roman"/>
                <w:b w:val="0"/>
                <w:i w:val="0"/>
                <w:color w:val="000000"/>
                <w:sz w:val="18"/>
                <w:u w:val="none"/>
              </w:rPr>
              <w:t>$</w:t>
              <w:tab/>
              <w:t>(1.0)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465"/>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Unamortized issuance costs, net of debt premium - Senior Secured Notes</w:t>
            </w: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4"/>
              </w:tabs>
              <w:spacing w:before="75" w:after="30" w:line="240" w:lineRule="auto"/>
              <w:jc w:val="right"/>
            </w:pPr>
            <w:r>
              <w:rPr>
                <w:rFonts w:ascii="Times New Roman" w:eastAsia="Times New Roman" w:hAnsi="Times New Roman" w:cs="Times New Roman"/>
                <w:b w:val="0"/>
                <w:i w:val="0"/>
                <w:color w:val="000000"/>
                <w:sz w:val="18"/>
                <w:u w:val="none"/>
              </w:rPr>
              <w:tab/>
              <w:t>(2.7)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4"/>
              </w:tabs>
              <w:spacing w:before="75" w:after="30" w:line="240" w:lineRule="auto"/>
              <w:jc w:val="right"/>
            </w:pPr>
            <w:r>
              <w:rPr>
                <w:rFonts w:ascii="Times New Roman" w:eastAsia="Times New Roman" w:hAnsi="Times New Roman" w:cs="Times New Roman"/>
                <w:b w:val="0"/>
                <w:i w:val="0"/>
                <w:color w:val="000000"/>
                <w:sz w:val="18"/>
                <w:u w:val="none"/>
              </w:rPr>
              <w:tab/>
              <w:t>(2.2)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w:t>
            </w:r>
          </w:p>
        </w:tc>
        <w:tc>
          <w:tcPr>
            <w:tcW w:w="163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4"/>
              </w:tabs>
              <w:spacing w:before="55" w:after="30" w:line="240" w:lineRule="auto"/>
              <w:jc w:val="right"/>
            </w:pPr>
            <w:r>
              <w:rPr>
                <w:rFonts w:ascii="Times New Roman" w:eastAsia="Times New Roman" w:hAnsi="Times New Roman" w:cs="Times New Roman"/>
                <w:b/>
                <w:i w:val="0"/>
                <w:color w:val="000000"/>
                <w:sz w:val="18"/>
                <w:u w:val="none"/>
              </w:rPr>
              <w:tab/>
              <w:t>(2.7)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4"/>
              </w:tabs>
              <w:spacing w:before="55" w:after="30" w:line="240" w:lineRule="auto"/>
              <w:jc w:val="right"/>
            </w:pPr>
            <w:r>
              <w:rPr>
                <w:rFonts w:ascii="Times New Roman" w:eastAsia="Times New Roman" w:hAnsi="Times New Roman" w:cs="Times New Roman"/>
                <w:b/>
                <w:i w:val="0"/>
                <w:color w:val="000000"/>
                <w:sz w:val="18"/>
                <w:u w:val="none"/>
              </w:rPr>
              <w:tab/>
              <w:t>(3.2)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95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debt outstanding, net</w:t>
            </w:r>
          </w:p>
        </w:tc>
        <w:tc>
          <w:tcPr>
            <w:tcW w:w="163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367.5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3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443.4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0" w:after="0" w:line="257" w:lineRule="auto"/>
        <w:ind w:left="0" w:right="0" w:firstLine="0"/>
        <w:jc w:val="left"/>
        <w:outlineLvl w:val="9"/>
        <w:rPr>
          <w:rFonts w:ascii="Times New Roman" w:eastAsia="Times New Roman" w:hAnsi="Times New Roman" w:cs="Times New Roman"/>
          <w:b w:val="0"/>
          <w:i w:val="0"/>
          <w:color w:val="000000"/>
          <w:sz w:val="18"/>
          <w:u w:val="none"/>
        </w:rPr>
      </w:pPr>
    </w:p>
    <w:p>
      <w:pPr>
        <w:keepNext w:val="0"/>
        <w:keepLines/>
        <w:pageBreakBefore w:val="0"/>
        <w:widowControl w:val="0"/>
        <w:numPr>
          <w:ilvl w:val="0"/>
          <w:numId w:val="0"/>
        </w:numPr>
        <w:spacing w:before="0" w:after="0" w:line="257" w:lineRule="auto"/>
        <w:ind w:left="0" w:right="0" w:firstLine="0"/>
        <w:jc w:val="left"/>
        <w:outlineLvl w:val="9"/>
        <w:rPr>
          <w:rFonts w:ascii="Times New Roman" w:eastAsia="Times New Roman" w:hAnsi="Times New Roman" w:cs="Times New Roman"/>
          <w:b w:val="0"/>
          <w:i w:val="0"/>
          <w:color w:val="000000"/>
          <w:sz w:val="18"/>
          <w:u w:val="none"/>
          <w:vertAlign w:val="superscript"/>
        </w:rPr>
      </w:pPr>
      <w:r>
        <w:rPr>
          <w:rFonts w:ascii="Times New Roman" w:eastAsia="Times New Roman" w:hAnsi="Times New Roman" w:cs="Times New Roman"/>
          <w:b w:val="0"/>
          <w:i w:val="0"/>
          <w:color w:val="000000"/>
          <w:sz w:val="18"/>
          <w:u w:val="none"/>
          <w:vertAlign w:val="superscript"/>
        </w:rPr>
        <w:t xml:space="preserve">(1) </w:t>
      </w:r>
      <w:r>
        <w:rPr>
          <w:rFonts w:ascii="Times New Roman" w:eastAsia="Times New Roman" w:hAnsi="Times New Roman" w:cs="Times New Roman"/>
          <w:b w:val="0"/>
          <w:i w:val="0"/>
          <w:color w:val="000000"/>
          <w:sz w:val="18"/>
          <w:u w:val="none"/>
        </w:rPr>
        <w:t>This amount has been excluded from current liabilities as it</w:t>
      </w:r>
      <w:r>
        <w:rPr>
          <w:rFonts w:ascii="Times New Roman" w:eastAsia="Times New Roman" w:hAnsi="Times New Roman" w:cs="Times New Roman"/>
          <w:b w:val="0"/>
          <w:i w:val="0"/>
          <w:color w:val="000000"/>
          <w:sz w:val="18"/>
          <w:u w:val="none"/>
        </w:rPr>
        <w:t xml:space="preserve"> </w:t>
      </w:r>
      <w:r>
        <w:rPr>
          <w:rFonts w:ascii="Times New Roman" w:eastAsia="Times New Roman" w:hAnsi="Times New Roman" w:cs="Times New Roman"/>
          <w:b w:val="0"/>
          <w:i w:val="0"/>
          <w:color w:val="000000"/>
          <w:sz w:val="18"/>
          <w:u w:val="none"/>
        </w:rPr>
        <w:t>i</w:t>
      </w:r>
      <w:r>
        <w:rPr>
          <w:rFonts w:ascii="Times New Roman" w:eastAsia="Times New Roman" w:hAnsi="Times New Roman" w:cs="Times New Roman"/>
          <w:b w:val="0"/>
          <w:i w:val="0"/>
          <w:color w:val="000000"/>
          <w:sz w:val="18"/>
          <w:u w:val="none"/>
        </w:rPr>
        <w:t>s supported by the Revolving Credit Facility and restricted cash from the proceeds of the Senior Secured Notes Add On (as defined below), which are expected to remain outstanding for an uninterrupted period extending beyond one year from the balance sheet date.</w:t>
      </w:r>
    </w:p>
    <w:p>
      <w:pPr>
        <w:keepNext w:val="0"/>
        <w:keepLines/>
        <w:pageBreakBefore w:val="0"/>
        <w:widowControl w:val="0"/>
        <w:numPr>
          <w:ilvl w:val="0"/>
          <w:numId w:val="0"/>
        </w:numPr>
        <w:spacing w:before="0" w:after="0" w:line="257" w:lineRule="auto"/>
        <w:ind w:left="0" w:right="0" w:firstLine="0"/>
        <w:jc w:val="left"/>
        <w:outlineLvl w:val="9"/>
        <w:rPr>
          <w:rFonts w:ascii="Times New Roman" w:eastAsia="Times New Roman" w:hAnsi="Times New Roman" w:cs="Times New Roman"/>
          <w:b w:val="0"/>
          <w:i w:val="0"/>
          <w:color w:val="000000"/>
          <w:sz w:val="18"/>
          <w:u w:val="none"/>
        </w:rPr>
      </w:pP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color w:val="000000"/>
          <w:sz w:val="18"/>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the Company’s interest expense:</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725"/>
        <w:gridCol w:w="1560"/>
        <w:gridCol w:w="75"/>
        <w:gridCol w:w="1560"/>
        <w:gridCol w:w="135"/>
        <w:gridCol w:w="1335"/>
        <w:gridCol w:w="105"/>
        <w:gridCol w:w="1305"/>
      </w:tblGrid>
      <w:tr>
        <w:tblPrEx>
          <w:tblW w:w="10800" w:type="dxa"/>
          <w:tblInd w:w="0" w:type="dxa"/>
          <w:tblLayout w:type="fixed"/>
        </w:tblPrEx>
        <w:trPr>
          <w:cantSplit/>
          <w:trHeight w:hRule="exact" w:val="285"/>
        </w:trPr>
        <w:tc>
          <w:tcPr>
            <w:tcW w:w="4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1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74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47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1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3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10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Contractual interest coupon and other</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8.7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6.6</w:t>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94"/>
                <w:tab w:val="left" w:pos="1267"/>
              </w:tabs>
              <w:spacing w:before="55" w:after="30" w:line="240" w:lineRule="auto"/>
              <w:jc w:val="right"/>
            </w:pPr>
            <w:r>
              <w:rPr>
                <w:rFonts w:ascii="Times New Roman" w:eastAsia="Times New Roman" w:hAnsi="Times New Roman" w:cs="Times New Roman"/>
                <w:b w:val="0"/>
                <w:i w:val="0"/>
                <w:color w:val="000000"/>
                <w:sz w:val="18"/>
                <w:u w:val="none"/>
              </w:rPr>
              <w:t>$</w:t>
              <w:tab/>
              <w:t>25.2</w:t>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6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19.9</w:t>
              <w:tab/>
            </w:r>
          </w:p>
        </w:tc>
      </w:tr>
      <w:tr>
        <w:tblPrEx>
          <w:tblW w:w="10800" w:type="dxa"/>
          <w:tblInd w:w="0" w:type="dxa"/>
          <w:tblLayout w:type="fixed"/>
        </w:tblPrEx>
        <w:trPr>
          <w:cantSplit/>
          <w:trHeight w:hRule="exact" w:val="285"/>
        </w:trPr>
        <w:tc>
          <w:tcPr>
            <w:tcW w:w="472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Amortization of debt issuance costs</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0.8</w:t>
              <w:tab/>
            </w:r>
          </w:p>
        </w:tc>
        <w:tc>
          <w:tcPr>
            <w:tcW w:w="1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84"/>
                <w:tab w:val="left" w:pos="1267"/>
              </w:tabs>
              <w:spacing w:before="75" w:after="30" w:line="240" w:lineRule="auto"/>
              <w:jc w:val="right"/>
            </w:pPr>
            <w:r>
              <w:rPr>
                <w:rFonts w:ascii="Times New Roman" w:eastAsia="Times New Roman" w:hAnsi="Times New Roman" w:cs="Times New Roman"/>
                <w:b w:val="0"/>
                <w:i w:val="0"/>
                <w:color w:val="000000"/>
                <w:sz w:val="18"/>
                <w:u w:val="none"/>
              </w:rPr>
              <w:tab/>
              <w:t>2.4</w:t>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54"/>
                <w:tab w:val="left" w:pos="1237"/>
              </w:tabs>
              <w:spacing w:before="75" w:after="30" w:line="240" w:lineRule="auto"/>
              <w:jc w:val="right"/>
            </w:pPr>
            <w:r>
              <w:rPr>
                <w:rFonts w:ascii="Times New Roman" w:eastAsia="Times New Roman" w:hAnsi="Times New Roman" w:cs="Times New Roman"/>
                <w:b w:val="0"/>
                <w:i w:val="0"/>
                <w:color w:val="000000"/>
                <w:sz w:val="18"/>
                <w:u w:val="none"/>
              </w:rPr>
              <w:tab/>
              <w:t>2.7</w:t>
              <w:tab/>
            </w:r>
          </w:p>
        </w:tc>
      </w:tr>
      <w:tr>
        <w:tblPrEx>
          <w:tblW w:w="10800" w:type="dxa"/>
          <w:tblInd w:w="0" w:type="dxa"/>
          <w:tblLayout w:type="fixed"/>
        </w:tblPrEx>
        <w:trPr>
          <w:cantSplit/>
          <w:trHeight w:hRule="exact" w:val="285"/>
        </w:trPr>
        <w:tc>
          <w:tcPr>
            <w:tcW w:w="472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interest expense</w:t>
            </w: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i w:val="0"/>
                <w:color w:val="000000"/>
                <w:sz w:val="18"/>
                <w:u w:val="none"/>
              </w:rPr>
              <w:t>$</w:t>
              <w:tab/>
              <w:t>9.4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i w:val="0"/>
                <w:color w:val="000000"/>
                <w:sz w:val="18"/>
                <w:u w:val="none"/>
              </w:rPr>
              <w:t>$</w:t>
              <w:tab/>
              <w:t>7.4</w:t>
              <w:tab/>
            </w:r>
          </w:p>
        </w:tc>
        <w:tc>
          <w:tcPr>
            <w:tcW w:w="13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3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94"/>
                <w:tab w:val="left" w:pos="1267"/>
              </w:tabs>
              <w:spacing w:before="55" w:after="30" w:line="240" w:lineRule="auto"/>
              <w:jc w:val="right"/>
            </w:pPr>
            <w:r>
              <w:rPr>
                <w:rFonts w:ascii="Times New Roman" w:eastAsia="Times New Roman" w:hAnsi="Times New Roman" w:cs="Times New Roman"/>
                <w:b/>
                <w:i w:val="0"/>
                <w:color w:val="000000"/>
                <w:sz w:val="18"/>
                <w:u w:val="none"/>
              </w:rPr>
              <w:t>$</w:t>
              <w:tab/>
              <w:t>27.6</w:t>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64"/>
                <w:tab w:val="left" w:pos="1237"/>
              </w:tabs>
              <w:spacing w:before="55" w:after="30" w:line="240" w:lineRule="auto"/>
              <w:jc w:val="right"/>
            </w:pPr>
            <w:r>
              <w:rPr>
                <w:rFonts w:ascii="Times New Roman" w:eastAsia="Times New Roman" w:hAnsi="Times New Roman" w:cs="Times New Roman"/>
                <w:b/>
                <w:i w:val="0"/>
                <w:color w:val="000000"/>
                <w:sz w:val="18"/>
                <w:u w:val="none"/>
              </w:rPr>
              <w:t>$</w:t>
              <w:tab/>
              <w:t>22.6</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Senior Secured Revolving Credit Facility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March 26, 2024</w:t>
      </w:r>
      <w:r>
        <w:rPr>
          <w:rFonts w:ascii="Times New Roman" w:eastAsia="Times New Roman" w:hAnsi="Times New Roman" w:cs="Times New Roman"/>
          <w:b w:val="0"/>
          <w:i w:val="0"/>
          <w:color w:val="000000"/>
          <w:sz w:val="20"/>
          <w:u w:val="none"/>
        </w:rPr>
        <w:t xml:space="preserve">, the Company entered into a senior secured revolving credit agreement (the "Credit Agreement") providing for a senior secured revolving credit facility of up to </w:t>
      </w:r>
      <w:r>
        <w:rPr>
          <w:rFonts w:ascii="Times New Roman" w:eastAsia="Times New Roman" w:hAnsi="Times New Roman" w:cs="Times New Roman"/>
          <w:b w:val="0"/>
          <w:i w:val="0"/>
          <w:color w:val="000000"/>
          <w:sz w:val="20"/>
          <w:u w:val="none"/>
        </w:rPr>
        <w:t>$155.0 million</w:t>
      </w:r>
      <w:r>
        <w:rPr>
          <w:rFonts w:ascii="Times New Roman" w:eastAsia="Times New Roman" w:hAnsi="Times New Roman" w:cs="Times New Roman"/>
          <w:b w:val="0"/>
          <w:i w:val="0"/>
          <w:color w:val="000000"/>
          <w:sz w:val="20"/>
          <w:u w:val="none"/>
        </w:rPr>
        <w:t xml:space="preserve"> (the “Revolving Credit Facility”). Simultaneous with its entry into the Revolving Credit Facility, the Company terminated its </w:t>
      </w:r>
      <w:r>
        <w:rPr>
          <w:rFonts w:ascii="Times New Roman" w:eastAsia="Times New Roman" w:hAnsi="Times New Roman" w:cs="Times New Roman"/>
          <w:b w:val="0"/>
          <w:i w:val="0"/>
          <w:color w:val="000000"/>
          <w:sz w:val="20"/>
          <w:u w:val="none"/>
        </w:rPr>
        <w:t>$100.0 million</w:t>
      </w:r>
      <w:r>
        <w:rPr>
          <w:rFonts w:ascii="Times New Roman" w:eastAsia="Times New Roman" w:hAnsi="Times New Roman" w:cs="Times New Roman"/>
          <w:b w:val="0"/>
          <w:i w:val="0"/>
          <w:color w:val="000000"/>
          <w:sz w:val="20"/>
          <w:u w:val="none"/>
        </w:rPr>
        <w:t xml:space="preserve"> asset-based loan revolving credit facility (the "ABL Facility"), dated as of </w:t>
      </w:r>
      <w:r>
        <w:rPr>
          <w:rFonts w:ascii="Times New Roman" w:eastAsia="Times New Roman" w:hAnsi="Times New Roman" w:cs="Times New Roman"/>
          <w:b w:val="0"/>
          <w:i w:val="0"/>
          <w:color w:val="000000"/>
          <w:sz w:val="20"/>
          <w:u w:val="none"/>
        </w:rPr>
        <w:t>September 30, 2020</w:t>
      </w:r>
      <w:r>
        <w:rPr>
          <w:rFonts w:ascii="Times New Roman" w:eastAsia="Times New Roman" w:hAnsi="Times New Roman" w:cs="Times New Roman"/>
          <w:b w:val="0"/>
          <w:i w:val="0"/>
          <w:color w:val="000000"/>
          <w:sz w:val="20"/>
          <w:u w:val="none"/>
        </w:rPr>
        <w:t>.</w:t>
      </w:r>
    </w:p>
    <w:p>
      <w:pPr>
        <w:keepNext w:val="0"/>
        <w:keepLines w:val="0"/>
        <w:pageBreakBefore w:val="0"/>
        <w:widowControl/>
        <w:numPr>
          <w:ilvl w:val="0"/>
          <w:numId w:val="0"/>
        </w:numPr>
        <w:spacing w:before="120" w:after="0" w:line="240" w:lineRule="exact"/>
        <w:ind w:left="0" w:right="0" w:firstLine="0"/>
        <w:jc w:val="left"/>
        <w:outlineLvl w:val="9"/>
        <w:rPr>
          <w:rFonts w:ascii="Arial" w:eastAsia="Arial" w:hAnsi="Arial" w:cs="Arial"/>
          <w:b w:val="0"/>
          <w:i w:val="0"/>
          <w:color w:val="000000"/>
          <w:sz w:val="24"/>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maximum availability under the Revolving Credit Facility is </w:t>
      </w:r>
      <w:r>
        <w:rPr>
          <w:rFonts w:ascii="Times New Roman" w:eastAsia="Times New Roman" w:hAnsi="Times New Roman" w:cs="Times New Roman"/>
          <w:b w:val="0"/>
          <w:i w:val="0"/>
          <w:color w:val="000000"/>
          <w:sz w:val="20"/>
          <w:u w:val="none"/>
        </w:rPr>
        <w:t>$155.0 million</w:t>
      </w:r>
      <w:r>
        <w:rPr>
          <w:rFonts w:ascii="Times New Roman" w:eastAsia="Times New Roman" w:hAnsi="Times New Roman" w:cs="Times New Roman"/>
          <w:b w:val="0"/>
          <w:i w:val="0"/>
          <w:color w:val="000000"/>
          <w:sz w:val="20"/>
          <w:u w:val="none"/>
        </w:rPr>
        <w:t xml:space="preserve">, which is available to the Company for revolving loans in U.S. dollars and for the issuance of letters of credit. </w:t>
      </w:r>
      <w:r>
        <w:rPr>
          <w:rFonts w:ascii="Times New Roman" w:eastAsia="Times New Roman" w:hAnsi="Times New Roman" w:cs="Times New Roman"/>
          <w:b w:val="0"/>
          <w:i w:val="0"/>
          <w:color w:val="000000"/>
          <w:sz w:val="20"/>
          <w:u w:val="none"/>
        </w:rPr>
        <w:t xml:space="preserve">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the amount available under the Revolving Credit Facility was </w:t>
      </w:r>
      <w:r>
        <w:rPr>
          <w:rFonts w:ascii="Times New Roman" w:eastAsia="Times New Roman" w:hAnsi="Times New Roman" w:cs="Times New Roman"/>
          <w:b w:val="0"/>
          <w:i w:val="0"/>
          <w:color w:val="000000"/>
          <w:sz w:val="20"/>
          <w:u w:val="none"/>
        </w:rPr>
        <w:t>$154.8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The Company may make and repay borrowings from time to time until the maturity of the Revolving Credit Facility. Borrowings under the Revolving Credit Facility will mature, and lending commitments thereunder will terminate, on September 26, 2027. The interest rate for Revolving Credit Facility borrowings is the Secured Overnight Financing Rate (“SOFR”) (subject to a floor of </w:t>
      </w:r>
      <w:r>
        <w:rPr>
          <w:rFonts w:ascii="Times New Roman" w:eastAsia="Times New Roman" w:hAnsi="Times New Roman" w:cs="Times New Roman"/>
          <w:b w:val="0"/>
          <w:i w:val="0"/>
          <w:color w:val="000000"/>
          <w:sz w:val="20"/>
          <w:u w:val="none"/>
        </w:rPr>
        <w:t>0.00%</w:t>
      </w:r>
      <w:r>
        <w:rPr>
          <w:rFonts w:ascii="Times New Roman" w:eastAsia="Times New Roman" w:hAnsi="Times New Roman" w:cs="Times New Roman"/>
          <w:b w:val="0"/>
          <w:i w:val="0"/>
          <w:color w:val="000000"/>
          <w:sz w:val="20"/>
          <w:u w:val="none"/>
        </w:rPr>
        <w:t xml:space="preserve">) plus a margin of </w:t>
      </w:r>
      <w:r>
        <w:rPr>
          <w:rFonts w:ascii="Times New Roman" w:eastAsia="Times New Roman" w:hAnsi="Times New Roman" w:cs="Times New Roman"/>
          <w:b w:val="0"/>
          <w:i w:val="0"/>
          <w:color w:val="000000"/>
          <w:sz w:val="20"/>
          <w:u w:val="none"/>
        </w:rPr>
        <w:t>2.00%</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2.75%</w:t>
      </w:r>
      <w:r>
        <w:rPr>
          <w:rFonts w:ascii="Times New Roman" w:eastAsia="Times New Roman" w:hAnsi="Times New Roman" w:cs="Times New Roman"/>
          <w:b w:val="0"/>
          <w:i w:val="0"/>
          <w:color w:val="000000"/>
          <w:sz w:val="20"/>
          <w:u w:val="none"/>
        </w:rPr>
        <w:t xml:space="preserve">, depending on the consolidated total net leverage ratio of the Company (as defined in the Credit Agreement). </w:t>
      </w:r>
      <w:r>
        <w:rPr>
          <w:rFonts w:ascii="Times New Roman" w:eastAsia="Times New Roman" w:hAnsi="Times New Roman" w:cs="Times New Roman"/>
          <w:b w:val="0"/>
          <w:i w:val="0"/>
          <w:color w:val="000000"/>
          <w:sz w:val="20"/>
          <w:u w:val="none"/>
        </w:rPr>
        <w:t xml:space="preserve">Alternatively, the Company has the option of selecting a base rate equal to the highest of (a) the prime rate, (b) the Federal Funds Rate plus </w:t>
      </w:r>
      <w:r>
        <w:rPr>
          <w:rFonts w:ascii="Times New Roman" w:eastAsia="Times New Roman" w:hAnsi="Times New Roman" w:cs="Times New Roman"/>
          <w:b w:val="0"/>
          <w:i w:val="0"/>
          <w:color w:val="000000"/>
          <w:sz w:val="20"/>
          <w:u w:val="none"/>
        </w:rPr>
        <w:t>0.50%</w:t>
      </w:r>
      <w:r>
        <w:rPr>
          <w:rFonts w:ascii="Times New Roman" w:eastAsia="Times New Roman" w:hAnsi="Times New Roman" w:cs="Times New Roman"/>
          <w:b w:val="0"/>
          <w:i w:val="0"/>
          <w:color w:val="000000"/>
          <w:sz w:val="20"/>
          <w:u w:val="none"/>
        </w:rPr>
        <w:t xml:space="preserve"> and (c) the one-month SOFR (subject to a floor of </w:t>
      </w:r>
      <w:r>
        <w:rPr>
          <w:rFonts w:ascii="Times New Roman" w:eastAsia="Times New Roman" w:hAnsi="Times New Roman" w:cs="Times New Roman"/>
          <w:b w:val="0"/>
          <w:i w:val="0"/>
          <w:color w:val="000000"/>
          <w:sz w:val="20"/>
          <w:u w:val="none"/>
        </w:rPr>
        <w:t>0.00%</w:t>
      </w:r>
      <w:r>
        <w:rPr>
          <w:rFonts w:ascii="Times New Roman" w:eastAsia="Times New Roman" w:hAnsi="Times New Roman" w:cs="Times New Roman"/>
          <w:b w:val="0"/>
          <w:i w:val="0"/>
          <w:color w:val="000000"/>
          <w:sz w:val="20"/>
          <w:u w:val="none"/>
        </w:rPr>
        <w:t xml:space="preserve">) plus a margin of </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color w:val="000000"/>
          <w:sz w:val="20"/>
          <w:u w:val="none"/>
        </w:rPr>
        <w:t xml:space="preserve">. A Base Rate Loan also has an additional margin of </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1.75%</w:t>
      </w:r>
      <w:r>
        <w:rPr>
          <w:rFonts w:ascii="Times New Roman" w:eastAsia="Times New Roman" w:hAnsi="Times New Roman" w:cs="Times New Roman"/>
          <w:b w:val="0"/>
          <w:i w:val="0"/>
          <w:color w:val="000000"/>
          <w:sz w:val="20"/>
          <w:u w:val="none"/>
        </w:rPr>
        <w:t xml:space="preserve">. depending on the consolidated total net leverage ratio of the Company at that time. An unused commitment fee of </w:t>
      </w:r>
      <w:r>
        <w:rPr>
          <w:rFonts w:ascii="Times New Roman" w:eastAsia="Times New Roman" w:hAnsi="Times New Roman" w:cs="Times New Roman"/>
          <w:b w:val="0"/>
          <w:i w:val="0"/>
          <w:color w:val="000000"/>
          <w:sz w:val="20"/>
          <w:u w:val="none"/>
        </w:rPr>
        <w:t>0.375%</w:t>
      </w:r>
      <w:r>
        <w:rPr>
          <w:rFonts w:ascii="Times New Roman" w:eastAsia="Times New Roman" w:hAnsi="Times New Roman" w:cs="Times New Roman"/>
          <w:b w:val="0"/>
          <w:i w:val="0"/>
          <w:color w:val="000000"/>
          <w:sz w:val="20"/>
          <w:u w:val="none"/>
        </w:rPr>
        <w:t xml:space="preserve"> per annum was payable from </w:t>
      </w:r>
      <w:r>
        <w:rPr>
          <w:rFonts w:ascii="Times New Roman" w:eastAsia="Times New Roman" w:hAnsi="Times New Roman" w:cs="Times New Roman"/>
          <w:b w:val="0"/>
          <w:i w:val="0"/>
          <w:color w:val="000000"/>
          <w:sz w:val="20"/>
          <w:u w:val="none"/>
        </w:rPr>
        <w:t>March 26, 2024</w:t>
      </w:r>
      <w:r>
        <w:rPr>
          <w:rFonts w:ascii="Times New Roman" w:eastAsia="Times New Roman" w:hAnsi="Times New Roman" w:cs="Times New Roman"/>
          <w:b w:val="0"/>
          <w:i w:val="0"/>
          <w:color w:val="000000"/>
          <w:sz w:val="20"/>
          <w:u w:val="none"/>
        </w:rPr>
        <w:t xml:space="preserve"> until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xml:space="preserve">, and thereafter an unused commitment fee of between </w:t>
      </w:r>
      <w:r>
        <w:rPr>
          <w:rFonts w:ascii="Times New Roman" w:eastAsia="Times New Roman" w:hAnsi="Times New Roman" w:cs="Times New Roman"/>
          <w:b w:val="0"/>
          <w:i w:val="0"/>
          <w:color w:val="000000"/>
          <w:sz w:val="20"/>
          <w:u w:val="none"/>
        </w:rPr>
        <w:t>0.30%</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0.40%</w:t>
      </w:r>
      <w:r>
        <w:rPr>
          <w:rFonts w:ascii="Times New Roman" w:eastAsia="Times New Roman" w:hAnsi="Times New Roman" w:cs="Times New Roman"/>
          <w:b w:val="0"/>
          <w:i w:val="0"/>
          <w:color w:val="000000"/>
          <w:sz w:val="20"/>
          <w:u w:val="none"/>
        </w:rPr>
        <w:t xml:space="preserve"> per annum is payable quarterly on the actual daily unused portion of the Revolving Credit Facility, depending on the consolidated total net leverage ratio of the Company.</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Debt issuance costs, including unamortized deferred costs for continuing lenders under the previously existing ABL Facility, of </w:t>
      </w:r>
      <w:r>
        <w:rPr>
          <w:rFonts w:ascii="Times New Roman" w:eastAsia="Times New Roman" w:hAnsi="Times New Roman" w:cs="Times New Roman"/>
          <w:b w:val="0"/>
          <w:i w:val="0"/>
          <w:color w:val="000000"/>
          <w:sz w:val="20"/>
          <w:u w:val="none"/>
        </w:rPr>
        <w:t>$2.3 million</w:t>
      </w:r>
      <w:r>
        <w:rPr>
          <w:rFonts w:ascii="Times New Roman" w:eastAsia="Times New Roman" w:hAnsi="Times New Roman" w:cs="Times New Roman"/>
          <w:b w:val="0"/>
          <w:i w:val="0"/>
          <w:color w:val="000000"/>
          <w:sz w:val="20"/>
          <w:u w:val="none"/>
        </w:rPr>
        <w:t xml:space="preserve"> were capitalized and are included within </w:t>
      </w:r>
      <w:r>
        <w:rPr>
          <w:rFonts w:ascii="Times New Roman" w:eastAsia="Times New Roman" w:hAnsi="Times New Roman" w:cs="Times New Roman"/>
          <w:b w:val="0"/>
          <w:i w:val="0"/>
          <w:color w:val="000000"/>
          <w:sz w:val="20"/>
          <w:u w:val="none"/>
        </w:rPr>
        <w:t>other assets</w:t>
      </w:r>
      <w:r>
        <w:rPr>
          <w:rFonts w:ascii="Times New Roman" w:eastAsia="Times New Roman" w:hAnsi="Times New Roman" w:cs="Times New Roman"/>
          <w:b w:val="0"/>
          <w:i w:val="0"/>
          <w:color w:val="000000"/>
          <w:sz w:val="20"/>
          <w:u w:val="none"/>
        </w:rPr>
        <w:t xml:space="preserve"> on the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These costs will be amortized over the term of the new agreement and are being recorded within </w:t>
      </w:r>
      <w:r>
        <w:rPr>
          <w:rFonts w:ascii="Times New Roman" w:eastAsia="Times New Roman" w:hAnsi="Times New Roman" w:cs="Times New Roman"/>
          <w:b w:val="0"/>
          <w:i w:val="0"/>
          <w:color w:val="000000"/>
          <w:sz w:val="20"/>
          <w:u w:val="none"/>
        </w:rPr>
        <w:t>interest expense</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Credit Agreement contains customary covenants restricting the Company’s activities, as well as those of its subsidiaries, including limitations on the ability to sell assets, engage in mergers, or other fundamental changes, enter into capital leases or certain leases not in the ordinary course of business, enter into transactions involving related parties or derivatives, incur or prepay indebtedness, grant liens or negative pledges on its assets, make loans or other investments, pay dividends or repurchase stock or other securities, guarantee third-party obligations, engage in sale leasebacks, and make changes in its corporate structure, though there are certain exceptions and carveouts related to these restrictions. One such covenant involves maintaining compensating cash balances. </w:t>
      </w:r>
      <w:r>
        <w:rPr>
          <w:rFonts w:ascii="Times New Roman" w:eastAsia="Times New Roman" w:hAnsi="Times New Roman" w:cs="Times New Roman"/>
          <w:b w:val="0"/>
          <w:i w:val="0"/>
          <w:color w:val="000000"/>
          <w:sz w:val="20"/>
          <w:u w:val="none"/>
        </w:rPr>
        <w:t>The Company must maintain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with the Cash Management Banks</w:t>
      </w:r>
      <w:r>
        <w:rPr>
          <w:rFonts w:ascii="Times New Roman" w:eastAsia="Times New Roman" w:hAnsi="Times New Roman" w:cs="Times New Roman"/>
          <w:b w:val="0"/>
          <w:i w:val="0"/>
          <w:color w:val="000000"/>
          <w:sz w:val="20"/>
          <w:u w:val="none"/>
        </w:rPr>
        <w:t xml:space="preserve"> (as defined in </w:t>
      </w:r>
      <w:r>
        <w:rPr>
          <w:rFonts w:ascii="Times New Roman" w:eastAsia="Times New Roman" w:hAnsi="Times New Roman" w:cs="Times New Roman"/>
          <w:b w:val="0"/>
          <w:i w:val="0"/>
          <w:color w:val="000000"/>
          <w:sz w:val="20"/>
          <w:u w:val="none"/>
        </w:rPr>
        <w:t>the Credit Agreement)</w:t>
      </w:r>
      <w:r>
        <w:rPr>
          <w:rFonts w:ascii="Times New Roman" w:eastAsia="Times New Roman" w:hAnsi="Times New Roman" w:cs="Times New Roman"/>
          <w:b w:val="0"/>
          <w:i w:val="0"/>
          <w:color w:val="000000"/>
          <w:sz w:val="20"/>
          <w:u w:val="none"/>
        </w:rPr>
        <w:t xml:space="preserve"> one or more accounts and/or Bank Products</w:t>
      </w:r>
      <w:r>
        <w:rPr>
          <w:rFonts w:ascii="Times New Roman" w:eastAsia="Times New Roman" w:hAnsi="Times New Roman" w:cs="Times New Roman"/>
          <w:b w:val="0"/>
          <w:i w:val="0"/>
          <w:color w:val="000000"/>
          <w:sz w:val="20"/>
          <w:u w:val="none"/>
        </w:rPr>
        <w:t xml:space="preserve"> (as defined in the Credit Agreement)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at least </w:t>
      </w:r>
      <w:r>
        <w:rPr>
          <w:rFonts w:ascii="Times New Roman" w:eastAsia="Times New Roman" w:hAnsi="Times New Roman" w:cs="Times New Roman"/>
          <w:b w:val="0"/>
          <w:i w:val="0"/>
          <w:color w:val="000000"/>
          <w:sz w:val="20"/>
          <w:u w:val="none"/>
        </w:rPr>
        <w:t>80%</w:t>
      </w:r>
      <w:r>
        <w:rPr>
          <w:rFonts w:ascii="Times New Roman" w:eastAsia="Times New Roman" w:hAnsi="Times New Roman" w:cs="Times New Roman"/>
          <w:b w:val="0"/>
          <w:i w:val="0"/>
          <w:color w:val="000000"/>
          <w:sz w:val="20"/>
          <w:u w:val="none"/>
        </w:rPr>
        <w:t xml:space="preserve"> of</w:t>
      </w:r>
      <w:r>
        <w:rPr>
          <w:rFonts w:ascii="Times New Roman" w:eastAsia="Times New Roman" w:hAnsi="Times New Roman" w:cs="Times New Roman"/>
          <w:b w:val="0"/>
          <w:i w:val="0"/>
          <w:color w:val="000000"/>
          <w:sz w:val="20"/>
          <w:u w:val="none"/>
        </w:rPr>
        <w:t xml:space="preserve"> its</w:t>
      </w:r>
      <w:r>
        <w:rPr>
          <w:rFonts w:ascii="Times New Roman" w:eastAsia="Times New Roman" w:hAnsi="Times New Roman" w:cs="Times New Roman"/>
          <w:b w:val="0"/>
          <w:i w:val="0"/>
          <w:color w:val="000000"/>
          <w:sz w:val="20"/>
          <w:u w:val="none"/>
        </w:rPr>
        <w:t xml:space="preserve"> U.S. cash availability</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compensating balances may be withdrawn but the availability of the Revolving Credit Facility is dependent upon maintenance of such compensating balances. In addition, the Credit Agreement includes financial covenants related to the Company’s consolidated total net leverage ratio and its consolidated fixed charge coverage ratio.</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obligations under the Revolving Credit Facility are guaranteed by the Company and a number of Company subsidiaries. These guarantees are secured on a first lien basis by specified assets, including inventory, accounts receivable, cash, intercompany accounts and loans, and certain real property. In addition, the Revolving Credit Facility is secured by second liens on certain assets securing the Company’s </w:t>
      </w:r>
      <w:r>
        <w:rPr>
          <w:rFonts w:ascii="Times New Roman" w:eastAsia="Times New Roman" w:hAnsi="Times New Roman" w:cs="Times New Roman"/>
          <w:b w:val="0"/>
          <w:i w:val="0"/>
          <w:color w:val="000000"/>
          <w:sz w:val="20"/>
          <w:u w:val="none"/>
        </w:rPr>
        <w:t>7.875%</w:t>
      </w:r>
      <w:r>
        <w:rPr>
          <w:rFonts w:ascii="Times New Roman" w:eastAsia="Times New Roman" w:hAnsi="Times New Roman" w:cs="Times New Roman"/>
          <w:b w:val="0"/>
          <w:i w:val="0"/>
          <w:color w:val="000000"/>
          <w:sz w:val="20"/>
          <w:u w:val="none"/>
        </w:rPr>
        <w:t xml:space="preserve"> Senior Secured Notes due 2027. An intercreditor agreement governs how the collateral securing the respective debt obligations will be treated among the secured parties.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Equipment Credit Agreement</w:t>
      </w:r>
    </w:p>
    <w:p>
      <w:pPr>
        <w:keepNext w:val="0"/>
        <w:keepLines w:val="0"/>
        <w:pageBreakBefore w:val="0"/>
        <w:widowControl/>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April 26, 2024</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the Company entered into a secured delayed draw term loan credit agreement (the “Equipment Credit Agreement”), providing for a secured equipment credit facility of up to </w:t>
      </w:r>
      <w:r>
        <w:rPr>
          <w:rFonts w:ascii="Times New Roman" w:eastAsia="Times New Roman" w:hAnsi="Times New Roman" w:cs="Times New Roman"/>
          <w:b w:val="0"/>
          <w:i w:val="0"/>
          <w:color w:val="000000"/>
          <w:sz w:val="20"/>
          <w:u w:val="none"/>
        </w:rPr>
        <w:t>$20.0 million</w:t>
      </w:r>
      <w:r>
        <w:rPr>
          <w:rFonts w:ascii="Times New Roman" w:eastAsia="Times New Roman" w:hAnsi="Times New Roman" w:cs="Times New Roman"/>
          <w:b w:val="0"/>
          <w:i w:val="0"/>
          <w:color w:val="000000"/>
          <w:sz w:val="20"/>
          <w:u w:val="none"/>
        </w:rPr>
        <w:t xml:space="preserve"> (the “Equipment Credit Facility”). </w:t>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December 20, 2024</w:t>
      </w:r>
      <w:r>
        <w:rPr>
          <w:rFonts w:ascii="Times New Roman" w:eastAsia="Times New Roman" w:hAnsi="Times New Roman" w:cs="Times New Roman"/>
          <w:b w:val="0"/>
          <w:i w:val="0"/>
          <w:color w:val="000000"/>
          <w:sz w:val="20"/>
          <w:u w:val="none"/>
        </w:rPr>
        <w:t xml:space="preserve">, the Company terminated the Equipment Credit Agreement and recognized </w:t>
      </w:r>
      <w:r>
        <w:rPr>
          <w:rFonts w:ascii="Times New Roman" w:eastAsia="Times New Roman" w:hAnsi="Times New Roman" w:cs="Times New Roman"/>
          <w:b w:val="0"/>
          <w:i w:val="0"/>
          <w:color w:val="000000"/>
          <w:sz w:val="20"/>
          <w:u w:val="none"/>
        </w:rPr>
        <w:t>$0.1 million</w:t>
      </w:r>
      <w:r>
        <w:rPr>
          <w:rFonts w:ascii="Times New Roman" w:eastAsia="Times New Roman" w:hAnsi="Times New Roman" w:cs="Times New Roman"/>
          <w:b w:val="0"/>
          <w:i w:val="0"/>
          <w:color w:val="000000"/>
          <w:sz w:val="20"/>
          <w:u w:val="none"/>
        </w:rPr>
        <w:t xml:space="preserve"> of the remaining unamortized issuance costs in </w:t>
      </w:r>
      <w:r>
        <w:rPr>
          <w:rFonts w:ascii="Times New Roman" w:eastAsia="Times New Roman" w:hAnsi="Times New Roman" w:cs="Times New Roman"/>
          <w:b w:val="0"/>
          <w:i w:val="0"/>
          <w:color w:val="000000"/>
          <w:sz w:val="20"/>
          <w:u w:val="none"/>
        </w:rPr>
        <w:t>interest expense</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There was no principal balance outstanding under the Equipment Credit Facility when it was terminated.</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Convertible Senior Unsecured Notes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June 9, 2020</w:t>
      </w:r>
      <w:r>
        <w:rPr>
          <w:rFonts w:ascii="Times New Roman" w:eastAsia="Times New Roman" w:hAnsi="Times New Roman" w:cs="Times New Roman"/>
          <w:b w:val="0"/>
          <w:i w:val="0"/>
          <w:color w:val="000000"/>
          <w:sz w:val="20"/>
          <w:u w:val="none"/>
        </w:rPr>
        <w:t xml:space="preserve">, the Company issued </w:t>
      </w:r>
      <w:r>
        <w:rPr>
          <w:rFonts w:ascii="Times New Roman" w:eastAsia="Times New Roman" w:hAnsi="Times New Roman" w:cs="Times New Roman"/>
          <w:b w:val="0"/>
          <w:i w:val="0"/>
          <w:color w:val="000000"/>
          <w:sz w:val="20"/>
          <w:u w:val="none"/>
        </w:rPr>
        <w:t>$200.0 million</w:t>
      </w:r>
      <w:r>
        <w:rPr>
          <w:rFonts w:ascii="Times New Roman" w:eastAsia="Times New Roman" w:hAnsi="Times New Roman" w:cs="Times New Roman"/>
          <w:b w:val="0"/>
          <w:i w:val="0"/>
          <w:color w:val="000000"/>
          <w:sz w:val="20"/>
          <w:u w:val="none"/>
        </w:rPr>
        <w:t xml:space="preserve"> in aggregate principal amount of </w:t>
      </w:r>
      <w:r>
        <w:rPr>
          <w:rFonts w:ascii="Times New Roman" w:eastAsia="Times New Roman" w:hAnsi="Times New Roman" w:cs="Times New Roman"/>
          <w:b w:val="0"/>
          <w:i w:val="0"/>
          <w:color w:val="000000"/>
          <w:sz w:val="20"/>
          <w:u w:val="none"/>
        </w:rPr>
        <w:t>4.00%</w:t>
      </w:r>
      <w:r>
        <w:rPr>
          <w:rFonts w:ascii="Times New Roman" w:eastAsia="Times New Roman" w:hAnsi="Times New Roman" w:cs="Times New Roman"/>
          <w:b w:val="0"/>
          <w:i w:val="0"/>
          <w:color w:val="000000"/>
          <w:sz w:val="20"/>
          <w:u w:val="none"/>
        </w:rPr>
        <w:t xml:space="preserve"> Convertible Senior Unsecured Notes due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color w:val="000000"/>
          <w:sz w:val="20"/>
          <w:u w:val="none"/>
        </w:rPr>
        <w:t xml:space="preserve"> (“Convertible Notes”). The net proceeds from the issuance of the Convertible Notes, after deducting transaction fees and offering expense payable by the Company, </w:t>
      </w:r>
      <w:r>
        <w:rPr>
          <w:rFonts w:ascii="Times New Roman" w:eastAsia="Times New Roman" w:hAnsi="Times New Roman" w:cs="Times New Roman"/>
          <w:b w:val="0"/>
          <w:i w:val="0"/>
          <w:color w:val="000000"/>
          <w:sz w:val="20"/>
          <w:u w:val="none"/>
        </w:rPr>
        <w:t>were</w:t>
      </w:r>
      <w:r>
        <w:rPr>
          <w:rFonts w:ascii="Times New Roman" w:eastAsia="Times New Roman" w:hAnsi="Times New Roman" w:cs="Times New Roman"/>
          <w:b w:val="0"/>
          <w:i w:val="0"/>
          <w:color w:val="000000"/>
          <w:sz w:val="20"/>
          <w:u w:val="none"/>
        </w:rPr>
        <w:t xml:space="preserve"> approximately </w:t>
      </w:r>
      <w:r>
        <w:rPr>
          <w:rFonts w:ascii="Times New Roman" w:eastAsia="Times New Roman" w:hAnsi="Times New Roman" w:cs="Times New Roman"/>
          <w:b w:val="0"/>
          <w:i w:val="0"/>
          <w:color w:val="000000"/>
          <w:sz w:val="20"/>
          <w:u w:val="none"/>
        </w:rPr>
        <w:t>$193.1 million</w:t>
      </w:r>
      <w:r>
        <w:rPr>
          <w:rFonts w:ascii="Times New Roman" w:eastAsia="Times New Roman" w:hAnsi="Times New Roman" w:cs="Times New Roman"/>
          <w:b w:val="0"/>
          <w:i w:val="0"/>
          <w:color w:val="000000"/>
          <w:sz w:val="20"/>
          <w:u w:val="none"/>
        </w:rPr>
        <w:t>. The Convertible Notes b</w:t>
      </w:r>
      <w:r>
        <w:rPr>
          <w:rFonts w:ascii="Times New Roman" w:eastAsia="Times New Roman" w:hAnsi="Times New Roman" w:cs="Times New Roman"/>
          <w:b w:val="0"/>
          <w:i w:val="0"/>
          <w:color w:val="000000"/>
          <w:sz w:val="20"/>
          <w:u w:val="none"/>
        </w:rPr>
        <w:t>e</w:t>
      </w:r>
      <w:r>
        <w:rPr>
          <w:rFonts w:ascii="Times New Roman" w:eastAsia="Times New Roman" w:hAnsi="Times New Roman" w:cs="Times New Roman"/>
          <w:b w:val="0"/>
          <w:i w:val="0"/>
          <w:color w:val="000000"/>
          <w:sz w:val="20"/>
          <w:u w:val="none"/>
        </w:rPr>
        <w:t>ar</w:t>
      </w:r>
      <w:r>
        <w:rPr>
          <w:rFonts w:ascii="Times New Roman" w:eastAsia="Times New Roman" w:hAnsi="Times New Roman" w:cs="Times New Roman"/>
          <w:b w:val="0"/>
          <w:i w:val="0"/>
          <w:color w:val="000000"/>
          <w:sz w:val="20"/>
          <w:u w:val="none"/>
        </w:rPr>
        <w:t xml:space="preserve"> interest at the annual rate of </w:t>
      </w:r>
      <w:r>
        <w:rPr>
          <w:rFonts w:ascii="Times New Roman" w:eastAsia="Times New Roman" w:hAnsi="Times New Roman" w:cs="Times New Roman"/>
          <w:b w:val="0"/>
          <w:i w:val="0"/>
          <w:color w:val="000000"/>
          <w:sz w:val="20"/>
          <w:u w:val="none"/>
        </w:rPr>
        <w:t>4.00%</w:t>
      </w:r>
      <w:r>
        <w:rPr>
          <w:rFonts w:ascii="Times New Roman" w:eastAsia="Times New Roman" w:hAnsi="Times New Roman" w:cs="Times New Roman"/>
          <w:b w:val="0"/>
          <w:i w:val="0"/>
          <w:color w:val="000000"/>
          <w:sz w:val="20"/>
          <w:u w:val="none"/>
        </w:rPr>
        <w:t>, payable semiannually on June 1 and December 1 of each year</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O</w:t>
      </w:r>
      <w:r>
        <w:rPr>
          <w:rFonts w:ascii="Times New Roman" w:eastAsia="Times New Roman" w:hAnsi="Times New Roman" w:cs="Times New Roman"/>
          <w:b w:val="0"/>
          <w:i w:val="0"/>
          <w:color w:val="000000"/>
          <w:sz w:val="20"/>
          <w:u w:val="none"/>
        </w:rPr>
        <w:t xml:space="preserve">n </w:t>
      </w:r>
      <w:r>
        <w:rPr>
          <w:rFonts w:ascii="Times New Roman" w:eastAsia="Times New Roman" w:hAnsi="Times New Roman" w:cs="Times New Roman"/>
          <w:b w:val="0"/>
          <w:i w:val="0"/>
          <w:color w:val="000000"/>
          <w:sz w:val="20"/>
          <w:u w:val="none"/>
        </w:rPr>
        <w:t>June 1, 2025</w:t>
      </w:r>
      <w:r>
        <w:rPr>
          <w:rFonts w:ascii="Times New Roman" w:eastAsia="Times New Roman" w:hAnsi="Times New Roman" w:cs="Times New Roman"/>
          <w:b w:val="0"/>
          <w:i w:val="0"/>
          <w:color w:val="000000"/>
          <w:sz w:val="20"/>
          <w:u w:val="none"/>
        </w:rPr>
        <w:t xml:space="preserve">, the Convertible </w:t>
      </w:r>
      <w:r>
        <w:rPr>
          <w:rFonts w:ascii="Times New Roman" w:eastAsia="Times New Roman" w:hAnsi="Times New Roman" w:cs="Times New Roman"/>
          <w:b w:val="0"/>
          <w:i w:val="0"/>
          <w:color w:val="000000"/>
          <w:sz w:val="20"/>
          <w:u w:val="none"/>
        </w:rPr>
        <w:t>N</w:t>
      </w:r>
      <w:r>
        <w:rPr>
          <w:rFonts w:ascii="Times New Roman" w:eastAsia="Times New Roman" w:hAnsi="Times New Roman" w:cs="Times New Roman"/>
          <w:b w:val="0"/>
          <w:i w:val="0"/>
          <w:color w:val="000000"/>
          <w:sz w:val="20"/>
          <w:u w:val="none"/>
        </w:rPr>
        <w:t>otes matured</w:t>
      </w:r>
      <w:r>
        <w:rPr>
          <w:rFonts w:ascii="Times New Roman" w:eastAsia="Times New Roman" w:hAnsi="Times New Roman" w:cs="Times New Roman"/>
          <w:b w:val="0"/>
          <w:i w:val="0"/>
          <w:color w:val="000000"/>
          <w:sz w:val="20"/>
          <w:u w:val="none"/>
        </w:rPr>
        <w:t xml:space="preserve"> and</w:t>
      </w:r>
      <w:r>
        <w:rPr>
          <w:rFonts w:ascii="Times New Roman" w:eastAsia="Times New Roman" w:hAnsi="Times New Roman" w:cs="Times New Roman"/>
          <w:b w:val="0"/>
          <w:i w:val="0"/>
          <w:color w:val="000000"/>
          <w:sz w:val="20"/>
          <w:u w:val="none"/>
        </w:rPr>
        <w:t xml:space="preserve"> were settled using </w:t>
      </w:r>
      <w:r>
        <w:rPr>
          <w:rFonts w:ascii="Times New Roman" w:eastAsia="Times New Roman" w:hAnsi="Times New Roman" w:cs="Times New Roman"/>
          <w:b w:val="0"/>
          <w:i w:val="0"/>
          <w:color w:val="000000"/>
          <w:sz w:val="20"/>
          <w:u w:val="none"/>
        </w:rPr>
        <w:t>$200.0 million</w:t>
      </w:r>
      <w:r>
        <w:rPr>
          <w:rFonts w:ascii="Times New Roman" w:eastAsia="Times New Roman" w:hAnsi="Times New Roman" w:cs="Times New Roman"/>
          <w:b w:val="0"/>
          <w:i w:val="0"/>
          <w:color w:val="000000"/>
          <w:sz w:val="20"/>
          <w:u w:val="none"/>
        </w:rPr>
        <w:t xml:space="preserve"> in cash.</w:t>
      </w:r>
      <w:r>
        <w:rPr>
          <w:rFonts w:ascii="Times New Roman" w:eastAsia="Times New Roman" w:hAnsi="Times New Roman" w:cs="Times New Roman"/>
          <w:b w:val="0"/>
          <w:i w:val="0"/>
          <w:color w:val="000000"/>
          <w:sz w:val="20"/>
          <w:u w:val="none"/>
        </w:rPr>
        <w:t xml:space="preserve"> </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Convertible Notes </w:t>
      </w:r>
      <w:r>
        <w:rPr>
          <w:rFonts w:ascii="Times New Roman" w:eastAsia="Times New Roman" w:hAnsi="Times New Roman" w:cs="Times New Roman"/>
          <w:b w:val="0"/>
          <w:i w:val="0"/>
          <w:color w:val="000000"/>
          <w:sz w:val="20"/>
          <w:u w:val="none"/>
        </w:rPr>
        <w:t>were</w:t>
      </w:r>
      <w:r>
        <w:rPr>
          <w:rFonts w:ascii="Times New Roman" w:eastAsia="Times New Roman" w:hAnsi="Times New Roman" w:cs="Times New Roman"/>
          <w:b w:val="0"/>
          <w:i w:val="0"/>
          <w:color w:val="000000"/>
          <w:sz w:val="20"/>
          <w:u w:val="none"/>
        </w:rPr>
        <w:t xml:space="preserve"> convertible into cash, shares of Varex common stock or a combination thereof, at Varex’s election, at an initial conversion rate of </w:t>
      </w:r>
      <w:r>
        <w:rPr>
          <w:rFonts w:ascii="Times New Roman" w:eastAsia="Times New Roman" w:hAnsi="Times New Roman" w:cs="Times New Roman"/>
          <w:b w:val="0"/>
          <w:i w:val="0"/>
          <w:color w:val="000000"/>
          <w:sz w:val="20"/>
          <w:u w:val="none"/>
        </w:rPr>
        <w:t>48.048</w:t>
      </w:r>
      <w:r>
        <w:rPr>
          <w:rFonts w:ascii="Times New Roman" w:eastAsia="Times New Roman" w:hAnsi="Times New Roman" w:cs="Times New Roman"/>
          <w:b w:val="0"/>
          <w:i w:val="0"/>
          <w:color w:val="000000"/>
          <w:sz w:val="20"/>
          <w:u w:val="none"/>
        </w:rPr>
        <w:t xml:space="preserve"> shares of common stock per </w:t>
      </w:r>
      <w:r>
        <w:rPr>
          <w:rFonts w:ascii="Times New Roman" w:eastAsia="Times New Roman" w:hAnsi="Times New Roman" w:cs="Times New Roman"/>
          <w:b w:val="0"/>
          <w:i w:val="0"/>
          <w:color w:val="000000"/>
          <w:sz w:val="20"/>
          <w:u w:val="none"/>
        </w:rPr>
        <w:t>$1,000</w:t>
      </w:r>
      <w:r>
        <w:rPr>
          <w:rFonts w:ascii="Times New Roman" w:eastAsia="Times New Roman" w:hAnsi="Times New Roman" w:cs="Times New Roman"/>
          <w:b w:val="0"/>
          <w:i w:val="0"/>
          <w:color w:val="000000"/>
          <w:sz w:val="20"/>
          <w:u w:val="none"/>
        </w:rPr>
        <w:t xml:space="preserve"> principal amount of Convertible Notes, which is equivalent to an initial conversion price of approximately </w:t>
      </w:r>
      <w:r>
        <w:rPr>
          <w:rFonts w:ascii="Times New Roman" w:eastAsia="Times New Roman" w:hAnsi="Times New Roman" w:cs="Times New Roman"/>
          <w:b w:val="0"/>
          <w:i w:val="0"/>
          <w:color w:val="000000"/>
          <w:sz w:val="20"/>
          <w:u w:val="none"/>
        </w:rPr>
        <w:t>$20.81</w:t>
      </w:r>
      <w:r>
        <w:rPr>
          <w:rFonts w:ascii="Times New Roman" w:eastAsia="Times New Roman" w:hAnsi="Times New Roman" w:cs="Times New Roman"/>
          <w:b w:val="0"/>
          <w:i w:val="0"/>
          <w:color w:val="000000"/>
          <w:sz w:val="20"/>
          <w:u w:val="none"/>
        </w:rPr>
        <w:t xml:space="preserve"> per share, subject to adjus</w:t>
      </w:r>
      <w:r>
        <w:rPr>
          <w:rFonts w:ascii="Times New Roman" w:eastAsia="Times New Roman" w:hAnsi="Times New Roman" w:cs="Times New Roman"/>
          <w:b w:val="0"/>
          <w:i w:val="0"/>
          <w:color w:val="000000"/>
          <w:sz w:val="20"/>
          <w:u w:val="none"/>
        </w:rPr>
        <w:t xml:space="preserve">tment pursuant to the terms of the indenture governing the Convertible Notes. </w:t>
      </w:r>
      <w:r>
        <w:rPr>
          <w:rFonts w:ascii="Times New Roman" w:eastAsia="Times New Roman" w:hAnsi="Times New Roman" w:cs="Times New Roman"/>
          <w:b w:val="0"/>
          <w:i w:val="0"/>
          <w:color w:val="000000"/>
          <w:sz w:val="20"/>
          <w:u w:val="none"/>
        </w:rPr>
        <w:t xml:space="preserve">The maximum number of shares issuable upon conversion of the Convertible Notes </w:t>
      </w:r>
      <w:r>
        <w:rPr>
          <w:rFonts w:ascii="Times New Roman" w:eastAsia="Times New Roman" w:hAnsi="Times New Roman" w:cs="Times New Roman"/>
          <w:b w:val="0"/>
          <w:i w:val="0"/>
          <w:color w:val="000000"/>
          <w:sz w:val="20"/>
          <w:u w:val="none"/>
        </w:rPr>
        <w:t>wa</w:t>
      </w:r>
      <w:r>
        <w:rPr>
          <w:rFonts w:ascii="Times New Roman" w:eastAsia="Times New Roman" w:hAnsi="Times New Roman" w:cs="Times New Roman"/>
          <w:b w:val="0"/>
          <w:i w:val="0"/>
          <w:color w:val="000000"/>
          <w:sz w:val="20"/>
          <w:u w:val="none"/>
        </w:rPr>
        <w:t xml:space="preserve">s </w:t>
      </w:r>
      <w:r>
        <w:rPr>
          <w:rFonts w:ascii="Times New Roman" w:eastAsia="Times New Roman" w:hAnsi="Times New Roman" w:cs="Times New Roman"/>
          <w:b w:val="0"/>
          <w:i w:val="0"/>
          <w:color w:val="000000"/>
          <w:sz w:val="20"/>
          <w:u w:val="none"/>
        </w:rPr>
        <w:t>9.6 million</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 xml:space="preserve">Call Spread </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June 4, 2020</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5, 2020</w:t>
      </w:r>
      <w:r>
        <w:rPr>
          <w:rFonts w:ascii="Times New Roman" w:eastAsia="Times New Roman" w:hAnsi="Times New Roman" w:cs="Times New Roman"/>
          <w:b w:val="0"/>
          <w:i w:val="0"/>
          <w:color w:val="000000"/>
          <w:sz w:val="20"/>
          <w:u w:val="none"/>
        </w:rPr>
        <w:t xml:space="preserve">, Varex </w:t>
      </w:r>
      <w:r>
        <w:rPr>
          <w:rFonts w:ascii="Times New Roman" w:eastAsia="Times New Roman" w:hAnsi="Times New Roman" w:cs="Times New Roman"/>
          <w:b w:val="0"/>
          <w:i w:val="0"/>
          <w:color w:val="000000"/>
          <w:sz w:val="20"/>
          <w:u w:val="none"/>
        </w:rPr>
        <w:t>entered into privately negotiated warrant transactions (collectively, the “Warrant Transactions”</w:t>
      </w:r>
      <w:r>
        <w:rPr>
          <w:rFonts w:ascii="Times New Roman" w:eastAsia="Times New Roman" w:hAnsi="Times New Roman" w:cs="Times New Roman"/>
          <w:b w:val="0"/>
          <w:i w:val="0"/>
          <w:color w:val="000000"/>
          <w:sz w:val="20"/>
          <w:u w:val="none"/>
        </w:rPr>
        <w:t>), whereby the Company sold warrants at a higher strike price relating to the same number of shares of Varex common stock that initially underl</w:t>
      </w:r>
      <w:r>
        <w:rPr>
          <w:rFonts w:ascii="Times New Roman" w:eastAsia="Times New Roman" w:hAnsi="Times New Roman" w:cs="Times New Roman"/>
          <w:b w:val="0"/>
          <w:i w:val="0"/>
          <w:color w:val="000000"/>
          <w:sz w:val="20"/>
          <w:u w:val="none"/>
        </w:rPr>
        <w:t>ie</w:t>
      </w:r>
      <w:r>
        <w:rPr>
          <w:rFonts w:ascii="Times New Roman" w:eastAsia="Times New Roman" w:hAnsi="Times New Roman" w:cs="Times New Roman"/>
          <w:b w:val="0"/>
          <w:i w:val="0"/>
          <w:color w:val="000000"/>
          <w:sz w:val="20"/>
          <w:u w:val="none"/>
        </w:rPr>
        <w:t xml:space="preserve"> the Convertible Notes, subject to customary anti-dilution adjustments. The initial strike price of the warrants is </w:t>
      </w:r>
      <w:r>
        <w:rPr>
          <w:rFonts w:ascii="Times New Roman" w:eastAsia="Times New Roman" w:hAnsi="Times New Roman" w:cs="Times New Roman"/>
          <w:b w:val="0"/>
          <w:i w:val="0"/>
          <w:color w:val="000000"/>
          <w:sz w:val="20"/>
          <w:u w:val="none"/>
        </w:rPr>
        <w:t>$24.975</w:t>
      </w:r>
      <w:r>
        <w:rPr>
          <w:rFonts w:ascii="Times New Roman" w:eastAsia="Times New Roman" w:hAnsi="Times New Roman" w:cs="Times New Roman"/>
          <w:b w:val="0"/>
          <w:i w:val="0"/>
          <w:color w:val="000000"/>
          <w:sz w:val="20"/>
          <w:u w:val="none"/>
        </w:rPr>
        <w:t xml:space="preserve"> per share (subject to adjustment under the terms of the Warrant Transactions), which is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color w:val="000000"/>
          <w:sz w:val="20"/>
          <w:u w:val="none"/>
        </w:rPr>
        <w:t xml:space="preserve"> above the last reported sale price of Varex common stock on </w:t>
      </w:r>
      <w:r>
        <w:rPr>
          <w:rFonts w:ascii="Times New Roman" w:eastAsia="Times New Roman" w:hAnsi="Times New Roman" w:cs="Times New Roman"/>
          <w:b w:val="0"/>
          <w:i w:val="0"/>
          <w:color w:val="000000"/>
          <w:sz w:val="20"/>
          <w:u w:val="none"/>
        </w:rPr>
        <w:t>June 4, 2020</w:t>
      </w:r>
      <w:r>
        <w:rPr>
          <w:rFonts w:ascii="Times New Roman" w:eastAsia="Times New Roman" w:hAnsi="Times New Roman" w:cs="Times New Roman"/>
          <w:b w:val="0"/>
          <w:i w:val="0"/>
          <w:color w:val="000000"/>
          <w:sz w:val="20"/>
          <w:u w:val="none"/>
        </w:rPr>
        <w:t xml:space="preserve">.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w:t>
      </w:r>
      <w:r>
        <w:rPr>
          <w:rFonts w:ascii="Times New Roman" w:eastAsia="Times New Roman" w:hAnsi="Times New Roman" w:cs="Times New Roman"/>
          <w:b w:val="0"/>
          <w:i w:val="0"/>
          <w:color w:val="000000"/>
          <w:sz w:val="20"/>
          <w:u w:val="none"/>
        </w:rPr>
        <w:t>9.6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w:t>
      </w:r>
      <w:r>
        <w:rPr>
          <w:rFonts w:ascii="Times New Roman" w:eastAsia="Times New Roman" w:hAnsi="Times New Roman" w:cs="Times New Roman"/>
          <w:b w:val="0"/>
          <w:i w:val="0"/>
          <w:color w:val="000000"/>
          <w:sz w:val="20"/>
          <w:u w:val="none"/>
        </w:rPr>
        <w:t xml:space="preserve"> number of warrants outstanding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was </w:t>
      </w:r>
      <w:r>
        <w:rPr>
          <w:rFonts w:ascii="Times New Roman" w:eastAsia="Times New Roman" w:hAnsi="Times New Roman" w:cs="Times New Roman"/>
          <w:b w:val="0"/>
          <w:i w:val="0"/>
          <w:color w:val="000000"/>
          <w:sz w:val="20"/>
          <w:u w:val="none"/>
        </w:rPr>
        <w:t>9.6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w:t>
      </w:r>
      <w:r>
        <w:rPr>
          <w:rFonts w:ascii="Times New Roman" w:eastAsia="Times New Roman" w:hAnsi="Times New Roman" w:cs="Times New Roman"/>
          <w:b w:val="0"/>
          <w:i w:val="0"/>
          <w:color w:val="000000"/>
          <w:sz w:val="20"/>
          <w:u w:val="none"/>
        </w:rPr>
        <w:t>e warrants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expire after a 9</w:t>
      </w:r>
      <w:r>
        <w:rPr>
          <w:rFonts w:ascii="Times New Roman" w:eastAsia="Times New Roman" w:hAnsi="Times New Roman" w:cs="Times New Roman"/>
          <w:b w:val="0"/>
          <w:i w:val="0"/>
          <w:color w:val="000000"/>
          <w:sz w:val="20"/>
          <w:u w:val="none"/>
        </w:rPr>
        <w:t>0</w:t>
      </w:r>
      <w:r>
        <w:rPr>
          <w:rFonts w:ascii="Times New Roman" w:eastAsia="Times New Roman" w:hAnsi="Times New Roman" w:cs="Times New Roman"/>
          <w:b w:val="0"/>
          <w:i w:val="0"/>
          <w:color w:val="000000"/>
          <w:sz w:val="20"/>
          <w:u w:val="none"/>
        </w:rPr>
        <w:t xml:space="preserve"> day trading </w:t>
      </w:r>
      <w:r>
        <w:rPr>
          <w:rFonts w:ascii="Times New Roman" w:eastAsia="Times New Roman" w:hAnsi="Times New Roman" w:cs="Times New Roman"/>
          <w:b w:val="0"/>
          <w:i w:val="0"/>
          <w:color w:val="000000"/>
          <w:sz w:val="20"/>
          <w:u w:val="none"/>
        </w:rPr>
        <w:t xml:space="preserve">period </w:t>
      </w:r>
      <w:r>
        <w:rPr>
          <w:rFonts w:ascii="Times New Roman" w:eastAsia="Times New Roman" w:hAnsi="Times New Roman" w:cs="Times New Roman"/>
          <w:b w:val="0"/>
          <w:i w:val="0"/>
          <w:color w:val="000000"/>
          <w:sz w:val="20"/>
          <w:u w:val="none"/>
        </w:rPr>
        <w:t>(as described in the warrant agreements)</w:t>
      </w:r>
      <w:r>
        <w:rPr>
          <w:rFonts w:ascii="Times New Roman" w:eastAsia="Times New Roman" w:hAnsi="Times New Roman" w:cs="Times New Roman"/>
          <w:b w:val="0"/>
          <w:i w:val="0"/>
          <w:color w:val="000000"/>
          <w:sz w:val="20"/>
          <w:u w:val="none"/>
        </w:rPr>
        <w:t xml:space="preserve"> that begins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September 2, 2025</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Senior Secured Notes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issued </w:t>
      </w:r>
      <w:r>
        <w:rPr>
          <w:rFonts w:ascii="Times New Roman" w:eastAsia="Times New Roman" w:hAnsi="Times New Roman" w:cs="Times New Roman"/>
          <w:b w:val="0"/>
          <w:i w:val="0"/>
          <w:color w:val="000000"/>
          <w:sz w:val="20"/>
          <w:u w:val="none"/>
        </w:rPr>
        <w:t>$300.0 million</w:t>
      </w:r>
      <w:r>
        <w:rPr>
          <w:rFonts w:ascii="Times New Roman" w:eastAsia="Times New Roman" w:hAnsi="Times New Roman" w:cs="Times New Roman"/>
          <w:b w:val="0"/>
          <w:i w:val="0"/>
          <w:color w:val="000000"/>
          <w:sz w:val="20"/>
          <w:u w:val="none"/>
        </w:rPr>
        <w:t xml:space="preserve"> aggregate principal amount of </w:t>
      </w:r>
      <w:r>
        <w:rPr>
          <w:rFonts w:ascii="Times New Roman" w:eastAsia="Times New Roman" w:hAnsi="Times New Roman" w:cs="Times New Roman"/>
          <w:b w:val="0"/>
          <w:i w:val="0"/>
          <w:color w:val="000000"/>
          <w:sz w:val="20"/>
          <w:u w:val="none"/>
        </w:rPr>
        <w:t>7.875%</w:t>
      </w:r>
      <w:r>
        <w:rPr>
          <w:rFonts w:ascii="Times New Roman" w:eastAsia="Times New Roman" w:hAnsi="Times New Roman" w:cs="Times New Roman"/>
          <w:b w:val="0"/>
          <w:i w:val="0"/>
          <w:color w:val="000000"/>
          <w:sz w:val="20"/>
          <w:u w:val="none"/>
        </w:rPr>
        <w:t xml:space="preserve"> Senior Secured Notes due </w:t>
      </w:r>
      <w:r>
        <w:rPr>
          <w:rFonts w:ascii="Times New Roman" w:eastAsia="Times New Roman" w:hAnsi="Times New Roman" w:cs="Times New Roman"/>
          <w:b w:val="0"/>
          <w:i w:val="0"/>
          <w:color w:val="000000"/>
          <w:sz w:val="20"/>
          <w:u w:val="none"/>
        </w:rPr>
        <w:t>2027</w:t>
      </w:r>
      <w:r>
        <w:rPr>
          <w:rFonts w:ascii="Times New Roman" w:eastAsia="Times New Roman" w:hAnsi="Times New Roman" w:cs="Times New Roman"/>
          <w:b w:val="0"/>
          <w:i w:val="0"/>
          <w:color w:val="000000"/>
          <w:sz w:val="20"/>
          <w:u w:val="none"/>
        </w:rPr>
        <w:t xml:space="preserve"> (the "Senior Secured Notes") pursuant to an indenture dated </w:t>
      </w:r>
      <w:r>
        <w:rPr>
          <w:rFonts w:ascii="Times New Roman" w:eastAsia="Times New Roman" w:hAnsi="Times New Roman" w:cs="Times New Roman"/>
          <w:b w:val="0"/>
          <w:i w:val="0"/>
          <w:color w:val="000000"/>
          <w:sz w:val="20"/>
          <w:u w:val="none"/>
        </w:rPr>
        <w:t>September 30, 2020</w:t>
      </w:r>
      <w:r>
        <w:rPr>
          <w:rFonts w:ascii="Times New Roman" w:eastAsia="Times New Roman" w:hAnsi="Times New Roman" w:cs="Times New Roman"/>
          <w:b w:val="0"/>
          <w:i w:val="0"/>
          <w:color w:val="000000"/>
          <w:sz w:val="20"/>
          <w:u w:val="none"/>
        </w:rPr>
        <w:t xml:space="preserve"> (the "Base Indenture"). Interest payments are paid semiannually on April 15 and October 15 of each year, beginning on </w:t>
      </w:r>
      <w:r>
        <w:rPr>
          <w:rFonts w:ascii="Times New Roman" w:eastAsia="Times New Roman" w:hAnsi="Times New Roman" w:cs="Times New Roman"/>
          <w:b w:val="0"/>
          <w:i w:val="0"/>
          <w:color w:val="000000"/>
          <w:sz w:val="20"/>
          <w:u w:val="none"/>
        </w:rPr>
        <w:t>April 15, 2021</w:t>
      </w:r>
      <w:r>
        <w:rPr>
          <w:rFonts w:ascii="Times New Roman" w:eastAsia="Times New Roman" w:hAnsi="Times New Roman" w:cs="Times New Roman"/>
          <w:b w:val="0"/>
          <w:i w:val="0"/>
          <w:color w:val="000000"/>
          <w:sz w:val="20"/>
          <w:u w:val="none"/>
        </w:rPr>
        <w:t xml:space="preserve">. The Senior Secured Notes will mature on </w:t>
      </w:r>
      <w:r>
        <w:rPr>
          <w:rFonts w:ascii="Times New Roman" w:eastAsia="Times New Roman" w:hAnsi="Times New Roman" w:cs="Times New Roman"/>
          <w:b w:val="0"/>
          <w:i w:val="0"/>
          <w:color w:val="000000"/>
          <w:sz w:val="20"/>
          <w:u w:val="none"/>
        </w:rPr>
        <w:t>October 15, 2027</w:t>
      </w:r>
      <w:r>
        <w:rPr>
          <w:rFonts w:ascii="Times New Roman" w:eastAsia="Times New Roman" w:hAnsi="Times New Roman" w:cs="Times New Roman"/>
          <w:b w:val="0"/>
          <w:i w:val="0"/>
          <w:color w:val="000000"/>
          <w:sz w:val="20"/>
          <w:u w:val="none"/>
        </w:rPr>
        <w:t xml:space="preserve">, unless earlier redeemed or repurchased by the Company. On </w:t>
      </w:r>
      <w:r>
        <w:rPr>
          <w:rFonts w:ascii="Times New Roman" w:eastAsia="Times New Roman" w:hAnsi="Times New Roman" w:cs="Times New Roman"/>
          <w:b w:val="0"/>
          <w:i w:val="0"/>
          <w:color w:val="000000"/>
          <w:sz w:val="20"/>
          <w:u w:val="none"/>
        </w:rPr>
        <w:t>July 15, 2021</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he Company</w:t>
      </w:r>
      <w:r>
        <w:rPr>
          <w:rFonts w:ascii="Times New Roman" w:eastAsia="Times New Roman" w:hAnsi="Times New Roman" w:cs="Times New Roman"/>
          <w:b w:val="0"/>
          <w:i w:val="0"/>
          <w:color w:val="000000"/>
          <w:sz w:val="20"/>
          <w:u w:val="none"/>
        </w:rPr>
        <w:t xml:space="preserve"> redeemed </w:t>
      </w:r>
      <w:r>
        <w:rPr>
          <w:rFonts w:ascii="Times New Roman" w:eastAsia="Times New Roman" w:hAnsi="Times New Roman" w:cs="Times New Roman"/>
          <w:b w:val="0"/>
          <w:i w:val="0"/>
          <w:color w:val="000000"/>
          <w:sz w:val="20"/>
          <w:u w:val="none"/>
        </w:rPr>
        <w:t>$30.0 million</w:t>
      </w:r>
      <w:r>
        <w:rPr>
          <w:rFonts w:ascii="Times New Roman" w:eastAsia="Times New Roman" w:hAnsi="Times New Roman" w:cs="Times New Roman"/>
          <w:b w:val="0"/>
          <w:i w:val="0"/>
          <w:color w:val="000000"/>
          <w:sz w:val="20"/>
          <w:u w:val="none"/>
        </w:rPr>
        <w:t xml:space="preserve">, and on </w:t>
      </w:r>
      <w:r>
        <w:rPr>
          <w:rFonts w:ascii="Times New Roman" w:eastAsia="Times New Roman" w:hAnsi="Times New Roman" w:cs="Times New Roman"/>
          <w:b w:val="0"/>
          <w:i w:val="0"/>
          <w:color w:val="000000"/>
          <w:sz w:val="20"/>
          <w:u w:val="none"/>
        </w:rPr>
        <w:t>March 18, 2022</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w:t>
      </w:r>
      <w:r>
        <w:rPr>
          <w:rFonts w:ascii="Times New Roman" w:eastAsia="Times New Roman" w:hAnsi="Times New Roman" w:cs="Times New Roman"/>
          <w:b w:val="0"/>
          <w:i w:val="0"/>
          <w:color w:val="000000"/>
          <w:sz w:val="20"/>
          <w:u w:val="none"/>
        </w:rPr>
        <w:t>he Company</w:t>
      </w:r>
      <w:r>
        <w:rPr>
          <w:rFonts w:ascii="Times New Roman" w:eastAsia="Times New Roman" w:hAnsi="Times New Roman" w:cs="Times New Roman"/>
          <w:b w:val="0"/>
          <w:i w:val="0"/>
          <w:color w:val="000000"/>
          <w:sz w:val="20"/>
          <w:u w:val="none"/>
        </w:rPr>
        <w:t xml:space="preserve"> redeemed </w:t>
      </w:r>
      <w:r>
        <w:rPr>
          <w:rFonts w:ascii="Times New Roman" w:eastAsia="Times New Roman" w:hAnsi="Times New Roman" w:cs="Times New Roman"/>
          <w:b w:val="0"/>
          <w:i w:val="0"/>
          <w:color w:val="000000"/>
          <w:sz w:val="20"/>
          <w:u w:val="none"/>
        </w:rPr>
        <w:t>$27.0 million</w:t>
      </w:r>
      <w:r>
        <w:rPr>
          <w:rFonts w:ascii="Times New Roman" w:eastAsia="Times New Roman" w:hAnsi="Times New Roman" w:cs="Times New Roman"/>
          <w:b w:val="0"/>
          <w:i w:val="0"/>
          <w:color w:val="000000"/>
          <w:sz w:val="20"/>
          <w:u w:val="none"/>
        </w:rPr>
        <w:t xml:space="preserve"> of the Senior Secured Notes.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December 20, 2024</w:t>
      </w:r>
      <w:r>
        <w:rPr>
          <w:rFonts w:ascii="Times New Roman" w:eastAsia="Times New Roman" w:hAnsi="Times New Roman" w:cs="Times New Roman"/>
          <w:b w:val="0"/>
          <w:i w:val="0"/>
          <w:color w:val="000000"/>
          <w:sz w:val="20"/>
          <w:u w:val="none"/>
        </w:rPr>
        <w:t xml:space="preserve">, the Company issued an additional </w:t>
      </w:r>
      <w:r>
        <w:rPr>
          <w:rFonts w:ascii="Times New Roman" w:eastAsia="Times New Roman" w:hAnsi="Times New Roman" w:cs="Times New Roman"/>
          <w:b w:val="0"/>
          <w:i w:val="0"/>
          <w:color w:val="000000"/>
          <w:sz w:val="20"/>
          <w:u w:val="none"/>
        </w:rPr>
        <w:t>$125.0 million</w:t>
      </w:r>
      <w:r>
        <w:rPr>
          <w:rFonts w:ascii="Times New Roman" w:eastAsia="Times New Roman" w:hAnsi="Times New Roman" w:cs="Times New Roman"/>
          <w:b w:val="0"/>
          <w:i w:val="0"/>
          <w:color w:val="000000"/>
          <w:sz w:val="20"/>
          <w:u w:val="none"/>
        </w:rPr>
        <w:t xml:space="preserve"> of Senior Secured Notes (the "Senior Secured Notes Add On") pursuant to the Base Indenture, as supplemented by a supplemental indenture, dated </w:t>
      </w:r>
      <w:r>
        <w:rPr>
          <w:rFonts w:ascii="Times New Roman" w:eastAsia="Times New Roman" w:hAnsi="Times New Roman" w:cs="Times New Roman"/>
          <w:b w:val="0"/>
          <w:i w:val="0"/>
          <w:color w:val="000000"/>
          <w:sz w:val="20"/>
          <w:u w:val="none"/>
        </w:rPr>
        <w:t>December 20, 2024</w:t>
      </w:r>
      <w:r>
        <w:rPr>
          <w:rFonts w:ascii="Times New Roman" w:eastAsia="Times New Roman" w:hAnsi="Times New Roman" w:cs="Times New Roman"/>
          <w:b w:val="0"/>
          <w:i w:val="0"/>
          <w:color w:val="000000"/>
          <w:sz w:val="20"/>
          <w:u w:val="none"/>
        </w:rPr>
        <w:t xml:space="preserve">. The net proceeds from the Senior Secured Notes Add On after initial purchasers’ premium, commissions, estimated fees, accrued interest in arrears, and expenses of </w:t>
      </w:r>
      <w:r>
        <w:rPr>
          <w:rFonts w:ascii="Times New Roman" w:eastAsia="Times New Roman" w:hAnsi="Times New Roman" w:cs="Times New Roman"/>
          <w:b w:val="0"/>
          <w:i w:val="0"/>
          <w:color w:val="000000"/>
          <w:sz w:val="20"/>
          <w:u w:val="none"/>
        </w:rPr>
        <w:t>$1.1 million</w:t>
      </w:r>
      <w:r>
        <w:rPr>
          <w:rFonts w:ascii="Times New Roman" w:eastAsia="Times New Roman" w:hAnsi="Times New Roman" w:cs="Times New Roman"/>
          <w:b w:val="0"/>
          <w:i w:val="0"/>
          <w:color w:val="000000"/>
          <w:sz w:val="20"/>
          <w:u w:val="none"/>
        </w:rPr>
        <w:t xml:space="preserve">, were </w:t>
      </w:r>
      <w:r>
        <w:rPr>
          <w:rFonts w:ascii="Times New Roman" w:eastAsia="Times New Roman" w:hAnsi="Times New Roman" w:cs="Times New Roman"/>
          <w:b w:val="0"/>
          <w:i w:val="0"/>
          <w:color w:val="000000"/>
          <w:sz w:val="20"/>
          <w:u w:val="none"/>
        </w:rPr>
        <w:t>approximately</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$123.9 million</w:t>
      </w:r>
      <w:r>
        <w:rPr>
          <w:rFonts w:ascii="Times New Roman" w:eastAsia="Times New Roman" w:hAnsi="Times New Roman" w:cs="Times New Roman"/>
          <w:b w:val="0"/>
          <w:i w:val="0"/>
          <w:color w:val="000000"/>
          <w:sz w:val="20"/>
          <w:u w:val="none"/>
        </w:rPr>
        <w:t xml:space="preserve">. The Company </w:t>
      </w:r>
      <w:r>
        <w:rPr>
          <w:rFonts w:ascii="Times New Roman" w:eastAsia="Times New Roman" w:hAnsi="Times New Roman" w:cs="Times New Roman"/>
          <w:b w:val="0"/>
          <w:i w:val="0"/>
          <w:color w:val="000000"/>
          <w:sz w:val="20"/>
          <w:u w:val="none"/>
        </w:rPr>
        <w:t>used</w:t>
      </w:r>
      <w:r>
        <w:rPr>
          <w:rFonts w:ascii="Times New Roman" w:eastAsia="Times New Roman" w:hAnsi="Times New Roman" w:cs="Times New Roman"/>
          <w:b w:val="0"/>
          <w:i w:val="0"/>
          <w:color w:val="000000"/>
          <w:sz w:val="20"/>
          <w:u w:val="none"/>
        </w:rPr>
        <w:t xml:space="preserve"> the proceeds from the offering to repay a portion of the Convertible Notes on their maturity date of </w:t>
      </w:r>
      <w:r>
        <w:rPr>
          <w:rFonts w:ascii="Times New Roman" w:eastAsia="Times New Roman" w:hAnsi="Times New Roman" w:cs="Times New Roman"/>
          <w:b w:val="0"/>
          <w:i w:val="0"/>
          <w:color w:val="000000"/>
          <w:sz w:val="20"/>
          <w:u w:val="none"/>
        </w:rPr>
        <w:t>June 1, 2025</w:t>
      </w:r>
      <w:r>
        <w:rPr>
          <w:rFonts w:ascii="Times New Roman" w:eastAsia="Times New Roman" w:hAnsi="Times New Roman" w:cs="Times New Roman"/>
          <w:b w:val="0"/>
          <w:i w:val="0"/>
          <w:color w:val="000000"/>
          <w:sz w:val="20"/>
          <w:u w:val="none"/>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the aggregate principal amount of the outstanding Senior Secured Notes was </w:t>
      </w:r>
      <w:r>
        <w:rPr>
          <w:rFonts w:ascii="Times New Roman" w:eastAsia="Times New Roman" w:hAnsi="Times New Roman" w:cs="Times New Roman"/>
          <w:b w:val="0"/>
          <w:i w:val="0"/>
          <w:color w:val="000000"/>
          <w:sz w:val="20"/>
          <w:u w:val="none"/>
        </w:rPr>
        <w:t>$368.0 million</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Senior Secured Notes are secured by a first priority lien on substantially all of the assets of the Company and the assets and capital stock of its subsidiary guarantors (subject to exceptions), except for assets for which a first priority security interest is pledged for the Revolving Credit Facility, in which the Senior Secured Notes have a second lien security interest. The Senior Secured Notes include negative covenants, subject to certain exceptions, restricting or limiting the Company's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sectPr>
          <w:headerReference w:type="default" r:id="rId28"/>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3"/>
        <w:rPr>
          <w:rFonts w:ascii="Times New Roman" w:eastAsia="Times New Roman" w:hAnsi="Times New Roman" w:cs="Times New Roman"/>
          <w:b/>
          <w:i w:val="0"/>
          <w:sz w:val="20"/>
        </w:rPr>
      </w:pPr>
      <w:bookmarkStart w:id="23" w:name="Section24"/>
      <w:bookmarkEnd w:id="23"/>
      <w:r>
        <w:rPr>
          <w:rFonts w:ascii="Times New Roman" w:eastAsia="Times New Roman" w:hAnsi="Times New Roman" w:cs="Times New Roman"/>
          <w:b/>
          <w:i w:val="0"/>
          <w:color w:val="000000"/>
          <w:sz w:val="20"/>
          <w:u w:val="none"/>
        </w:rPr>
        <w:t>10</w:t>
      </w:r>
      <w:r>
        <w:rPr>
          <w:rFonts w:ascii="Times New Roman" w:eastAsia="Times New Roman" w:hAnsi="Times New Roman" w:cs="Times New Roman"/>
          <w:b/>
          <w:i w:val="0"/>
          <w:sz w:val="20"/>
        </w:rPr>
        <w:t>.</w:t>
      </w:r>
      <w:r>
        <w:rPr>
          <w:rFonts w:ascii="Times New Roman" w:eastAsia="Times New Roman" w:hAnsi="Times New Roman" w:cs="Times New Roman"/>
          <w:b/>
          <w:i w:val="0"/>
          <w:color w:val="000000"/>
          <w:sz w:val="20"/>
          <w:u w:val="none"/>
        </w:rPr>
        <w:t xml:space="preserve"> </w:t>
      </w:r>
      <w:r>
        <w:rPr>
          <w:rFonts w:ascii="Times New Roman" w:eastAsia="Times New Roman" w:hAnsi="Times New Roman" w:cs="Times New Roman"/>
          <w:b/>
          <w:i w:val="0"/>
          <w:color w:val="000000"/>
          <w:sz w:val="20"/>
          <w:u w:val="none"/>
        </w:rPr>
        <w:t>BUSINESS COMBINATIONS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As of </w:t>
      </w:r>
      <w:r>
        <w:rPr>
          <w:rFonts w:ascii="Times New Roman" w:eastAsia="Times New Roman" w:hAnsi="Times New Roman" w:cs="Times New Roman"/>
          <w:b w:val="0"/>
          <w:i w:val="0"/>
          <w:color w:val="000000"/>
          <w:sz w:val="20"/>
          <w:u w:val="none"/>
        </w:rPr>
        <w:t>September 29, 2023</w:t>
      </w:r>
      <w:r>
        <w:rPr>
          <w:rFonts w:ascii="Times New Roman" w:eastAsia="Times New Roman" w:hAnsi="Times New Roman" w:cs="Times New Roman"/>
          <w:b w:val="0"/>
          <w:i w:val="0"/>
          <w:color w:val="000000"/>
          <w:sz w:val="20"/>
          <w:u w:val="none"/>
        </w:rPr>
        <w:t xml:space="preserve">, the Company, through two of its consolidated subsidiaries, Varex Imaging Deutschland AG and MeVis Medical Solutions AG ("MeVis Medical"), held a combined ownership interest in MeVis BreastCare GmbH and MeVis BreastCare Gmbh &amp; Co KG (referred to in combination as "MeVis Breastcare") of </w:t>
      </w:r>
      <w:r>
        <w:rPr>
          <w:rFonts w:ascii="Times New Roman" w:eastAsia="Times New Roman" w:hAnsi="Times New Roman" w:cs="Times New Roman"/>
          <w:b w:val="0"/>
          <w:i w:val="0"/>
          <w:color w:val="000000"/>
          <w:sz w:val="20"/>
          <w:u w:val="none"/>
        </w:rPr>
        <w:t>37.6%</w:t>
      </w:r>
      <w:r>
        <w:rPr>
          <w:rFonts w:ascii="Times New Roman" w:eastAsia="Times New Roman" w:hAnsi="Times New Roman" w:cs="Times New Roman"/>
          <w:b w:val="0"/>
          <w:i w:val="0"/>
          <w:color w:val="000000"/>
          <w:sz w:val="20"/>
          <w:u w:val="none"/>
        </w:rPr>
        <w:t>. Because the Company had the ability to exercise significant influence in, but not control</w:t>
      </w:r>
      <w:r>
        <w:rPr>
          <w:rFonts w:ascii="Times New Roman" w:eastAsia="Times New Roman" w:hAnsi="Times New Roman" w:cs="Times New Roman"/>
          <w:b w:val="0"/>
          <w:i w:val="0"/>
          <w:color w:val="000000"/>
          <w:sz w:val="20"/>
          <w:u w:val="none"/>
        </w:rPr>
        <w:t xml:space="preserve"> over</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MeVis Breastcare, it was historically accounted for as an equity method investment.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shd w:val="clear" w:color="auto" w:fill="FFFFFF"/>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During the first quarter of fiscal year 2024</w:t>
      </w:r>
      <w:r>
        <w:rPr>
          <w:rFonts w:ascii="Times New Roman" w:eastAsia="Times New Roman" w:hAnsi="Times New Roman" w:cs="Times New Roman"/>
          <w:b w:val="0"/>
          <w:i w:val="0"/>
          <w:color w:val="000000"/>
          <w:sz w:val="20"/>
          <w:u w:val="none"/>
        </w:rPr>
        <w:t xml:space="preserve">, the Company increased its ownership in MeVis Breastcare to </w:t>
      </w:r>
      <w:r>
        <w:rPr>
          <w:rFonts w:ascii="Times New Roman" w:eastAsia="Times New Roman" w:hAnsi="Times New Roman" w:cs="Times New Roman"/>
          <w:b w:val="0"/>
          <w:i w:val="0"/>
          <w:color w:val="000000"/>
          <w:sz w:val="20"/>
          <w:u w:val="none"/>
        </w:rPr>
        <w:t>87.1%</w:t>
      </w:r>
      <w:r>
        <w:rPr>
          <w:rFonts w:ascii="Times New Roman" w:eastAsia="Times New Roman" w:hAnsi="Times New Roman" w:cs="Times New Roman"/>
          <w:b w:val="0"/>
          <w:i w:val="0"/>
          <w:color w:val="000000"/>
          <w:sz w:val="20"/>
          <w:u w:val="none"/>
        </w:rPr>
        <w:t xml:space="preserve"> for a purchase price of </w:t>
      </w:r>
      <w:r>
        <w:rPr>
          <w:rFonts w:ascii="Times New Roman" w:eastAsia="Times New Roman" w:hAnsi="Times New Roman" w:cs="Times New Roman"/>
          <w:b w:val="0"/>
          <w:i w:val="0"/>
          <w:color w:val="000000"/>
          <w:sz w:val="20"/>
          <w:u w:val="none"/>
        </w:rPr>
        <w:t>$0.9 million</w:t>
      </w:r>
      <w:r>
        <w:rPr>
          <w:rFonts w:ascii="Times New Roman" w:eastAsia="Times New Roman" w:hAnsi="Times New Roman" w:cs="Times New Roman"/>
          <w:b w:val="0"/>
          <w:i w:val="0"/>
          <w:color w:val="000000"/>
          <w:sz w:val="20"/>
          <w:u w:val="none"/>
        </w:rPr>
        <w:t>, resulting in the Company</w:t>
      </w:r>
      <w:r>
        <w:rPr>
          <w:rFonts w:ascii="Times New Roman" w:eastAsia="Times New Roman" w:hAnsi="Times New Roman" w:cs="Times New Roman"/>
          <w:b w:val="0"/>
          <w:i w:val="0"/>
          <w:color w:val="000000"/>
          <w:sz w:val="20"/>
          <w:u w:val="none"/>
        </w:rPr>
        <w:t xml:space="preserve"> holding a controlling interest in MeVis Breastcare. The purchase of this additional ownership interest was accounted for as a business combination achieved in stages, or step acquisition. As a result, the previously held equity interest was remeasured to its acquisition-date fair value, with a gain of </w:t>
      </w:r>
      <w:r>
        <w:rPr>
          <w:rFonts w:ascii="Times New Roman" w:eastAsia="Times New Roman" w:hAnsi="Times New Roman" w:cs="Times New Roman"/>
          <w:b w:val="0"/>
          <w:i w:val="0"/>
          <w:color w:val="000000"/>
          <w:sz w:val="20"/>
          <w:u w:val="none"/>
        </w:rPr>
        <w:t>$0.9 million</w:t>
      </w:r>
      <w:r>
        <w:rPr>
          <w:rFonts w:ascii="Times New Roman" w:eastAsia="Times New Roman" w:hAnsi="Times New Roman" w:cs="Times New Roman"/>
          <w:b w:val="0"/>
          <w:i w:val="0"/>
          <w:color w:val="000000"/>
          <w:sz w:val="20"/>
          <w:u w:val="none"/>
        </w:rPr>
        <w:t xml:space="preserve"> recognized in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The assets and liabilities of MeVis Breastcare were then recorded on the Company's balance sheet at their fair values in accordance with ASC 805, and a gain on bargain purchase of </w:t>
      </w:r>
      <w:r>
        <w:rPr>
          <w:rFonts w:ascii="Times New Roman" w:eastAsia="Times New Roman" w:hAnsi="Times New Roman" w:cs="Times New Roman"/>
          <w:b w:val="0"/>
          <w:i w:val="0"/>
          <w:color w:val="000000"/>
          <w:sz w:val="20"/>
          <w:u w:val="none"/>
        </w:rPr>
        <w:t>$1.2 million</w:t>
      </w:r>
      <w:r>
        <w:rPr>
          <w:rFonts w:ascii="Times New Roman" w:eastAsia="Times New Roman" w:hAnsi="Times New Roman" w:cs="Times New Roman"/>
          <w:b w:val="0"/>
          <w:i w:val="0"/>
          <w:color w:val="000000"/>
          <w:sz w:val="20"/>
          <w:u w:val="none"/>
        </w:rPr>
        <w:t xml:space="preserve"> was recorded during the first quarter of fiscal year 2024 in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color w:val="000000"/>
          <w:sz w:val="20"/>
          <w:u w:val="none"/>
        </w:rPr>
        <w:t xml:space="preserve">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Because the purchase price did not give consideration to the other assets of the business, the fair value of the ownership interest acquired exceeded the price paid to the third party partial owner and this resulted in a gain on bargain purchase.</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the consideration paid for MeVis Breastcare and the amounts of the assets acquired and liabilities assumed recognized at their estimated acquisition date fair values, as well as the estimated fair value at the acquisition date of the noncontrolling interest in MeVis Breastcare.</w:t>
      </w:r>
    </w:p>
    <w:tbl>
      <w:tblPr>
        <w:tblW w:w="105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405"/>
        <w:gridCol w:w="1185"/>
      </w:tblGrid>
      <w:tr>
        <w:tblPrEx>
          <w:tblW w:w="10590" w:type="dxa"/>
          <w:tblInd w:w="0" w:type="dxa"/>
          <w:tblLayout w:type="fixed"/>
        </w:tblPrEx>
        <w:trPr>
          <w:cantSplit/>
          <w:trHeight w:hRule="exact" w:val="465"/>
        </w:trPr>
        <w:tc>
          <w:tcPr>
            <w:tcW w:w="94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18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USD</w:t>
            </w:r>
          </w:p>
          <w:p>
            <w:pPr>
              <w:spacing w:after="30" w:line="240" w:lineRule="auto"/>
              <w:jc w:val="center"/>
            </w:pPr>
            <w:r>
              <w:rPr>
                <w:rFonts w:ascii="Times New Roman" w:eastAsia="Times New Roman" w:hAnsi="Times New Roman" w:cs="Times New Roman"/>
                <w:b/>
                <w:i w:val="0"/>
                <w:color w:val="000000"/>
                <w:sz w:val="18"/>
                <w:u w:val="none"/>
              </w:rPr>
              <w:t>(in millions)</w:t>
            </w:r>
          </w:p>
        </w:tc>
      </w:tr>
      <w:tr>
        <w:tblPrEx>
          <w:tblW w:w="10590" w:type="dxa"/>
          <w:tblInd w:w="0" w:type="dxa"/>
          <w:tblLayout w:type="fixed"/>
        </w:tblPrEx>
        <w:trPr>
          <w:cantSplit/>
          <w:trHeight w:hRule="exact" w:val="300"/>
        </w:trPr>
        <w:tc>
          <w:tcPr>
            <w:tcW w:w="940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Consideration paid</w:t>
            </w:r>
          </w:p>
        </w:tc>
        <w:tc>
          <w:tcPr>
            <w:tcW w:w="118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Cash</w:t>
            </w: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w:t>
              <w:tab/>
              <w:t>0.9</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Fair value of total consideration transferred</w:t>
            </w:r>
          </w:p>
        </w:tc>
        <w:tc>
          <w:tcPr>
            <w:tcW w:w="118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55" w:after="30" w:line="240" w:lineRule="auto"/>
              <w:jc w:val="right"/>
            </w:pPr>
            <w:r>
              <w:rPr>
                <w:rFonts w:ascii="Times New Roman" w:eastAsia="Times New Roman" w:hAnsi="Times New Roman" w:cs="Times New Roman"/>
                <w:b w:val="0"/>
                <w:i w:val="0"/>
                <w:color w:val="000000"/>
                <w:sz w:val="18"/>
                <w:u w:val="none"/>
              </w:rPr>
              <w:tab/>
              <w:t>0.9</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Remeasurement of previous equity interest</w:t>
            </w: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Carrying value of previous equity interest before acquisition</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1.1</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Fair value of previous equity interest at acquisition date</w:t>
            </w:r>
          </w:p>
        </w:tc>
        <w:tc>
          <w:tcPr>
            <w:tcW w:w="118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2.0</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Remeasurement gain recorded on previous equity interest</w:t>
            </w:r>
          </w:p>
        </w:tc>
        <w:tc>
          <w:tcPr>
            <w:tcW w:w="118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55" w:after="30" w:line="240" w:lineRule="auto"/>
              <w:jc w:val="right"/>
            </w:pPr>
            <w:r>
              <w:rPr>
                <w:rFonts w:ascii="Times New Roman" w:eastAsia="Times New Roman" w:hAnsi="Times New Roman" w:cs="Times New Roman"/>
                <w:b w:val="0"/>
                <w:i w:val="0"/>
                <w:color w:val="000000"/>
                <w:sz w:val="18"/>
                <w:u w:val="none"/>
              </w:rPr>
              <w:tab/>
              <w:t>0.9</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Total of consideration paid and fair value of previous equity interest</w:t>
            </w:r>
          </w:p>
        </w:tc>
        <w:tc>
          <w:tcPr>
            <w:tcW w:w="118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w:t>
              <w:tab/>
              <w:t>2.9</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18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Recognized amounts of identifiable assets acquired and liabilities assumed</w:t>
            </w: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Cash and cash equivalents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w:t>
              <w:tab/>
              <w:t>1.8</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 xml:space="preserve">Accounts receivable, net </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1.2</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Intangible assets, net</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75" w:after="30" w:line="240" w:lineRule="auto"/>
              <w:jc w:val="right"/>
            </w:pPr>
            <w:r>
              <w:rPr>
                <w:rFonts w:ascii="Times New Roman" w:eastAsia="Times New Roman" w:hAnsi="Times New Roman" w:cs="Times New Roman"/>
                <w:b w:val="0"/>
                <w:i w:val="0"/>
                <w:color w:val="000000"/>
                <w:sz w:val="18"/>
                <w:u w:val="none"/>
              </w:rPr>
              <w:tab/>
              <w:t>2.6</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Accounts payable</w:t>
            </w:r>
          </w:p>
        </w:tc>
        <w:tc>
          <w:tcPr>
            <w:tcW w:w="118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(0.1)</w:t>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Accrued liabilities and other current liabilities</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(0.6)</w:t>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Other long-term liabilities</w:t>
            </w: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(0.1)</w:t>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Total identifiable net assets</w:t>
            </w:r>
          </w:p>
        </w:tc>
        <w:tc>
          <w:tcPr>
            <w:tcW w:w="118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17"/>
              </w:tabs>
              <w:spacing w:before="55" w:after="30" w:line="240" w:lineRule="auto"/>
              <w:jc w:val="right"/>
            </w:pPr>
            <w:r>
              <w:rPr>
                <w:rFonts w:ascii="Times New Roman" w:eastAsia="Times New Roman" w:hAnsi="Times New Roman" w:cs="Times New Roman"/>
                <w:b w:val="0"/>
                <w:i w:val="0"/>
                <w:color w:val="000000"/>
                <w:sz w:val="18"/>
                <w:u w:val="none"/>
              </w:rPr>
              <w:tab/>
              <w:t>4.8</w:t>
              <w:tab/>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18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Noncontrolling interest in MeVis Breastcare</w:t>
            </w:r>
          </w:p>
        </w:tc>
        <w:tc>
          <w:tcPr>
            <w:tcW w:w="118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(0.7)</w:t>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Bargain purchase gain</w:t>
            </w:r>
          </w:p>
        </w:tc>
        <w:tc>
          <w:tcPr>
            <w:tcW w:w="118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54"/>
              </w:tabs>
              <w:spacing w:before="75" w:after="30" w:line="240" w:lineRule="auto"/>
              <w:jc w:val="right"/>
            </w:pPr>
            <w:r>
              <w:rPr>
                <w:rFonts w:ascii="Times New Roman" w:eastAsia="Times New Roman" w:hAnsi="Times New Roman" w:cs="Times New Roman"/>
                <w:b w:val="0"/>
                <w:i w:val="0"/>
                <w:color w:val="000000"/>
                <w:sz w:val="18"/>
                <w:u w:val="none"/>
              </w:rPr>
              <w:tab/>
              <w:t>(1.2)</w:t>
            </w:r>
          </w:p>
        </w:tc>
      </w:tr>
      <w:tr>
        <w:tblPrEx>
          <w:tblW w:w="10590" w:type="dxa"/>
          <w:tblInd w:w="0" w:type="dxa"/>
          <w:tblLayout w:type="fixed"/>
        </w:tblPrEx>
        <w:trPr>
          <w:cantSplit/>
          <w:trHeight w:hRule="exact" w:val="300"/>
        </w:trPr>
        <w:tc>
          <w:tcPr>
            <w:tcW w:w="94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w:t>
            </w:r>
          </w:p>
        </w:tc>
        <w:tc>
          <w:tcPr>
            <w:tcW w:w="118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834"/>
                <w:tab w:val="left" w:pos="1117"/>
              </w:tabs>
              <w:spacing w:before="55" w:after="30" w:line="240" w:lineRule="auto"/>
              <w:jc w:val="right"/>
            </w:pPr>
            <w:r>
              <w:rPr>
                <w:rFonts w:ascii="Times New Roman" w:eastAsia="Times New Roman" w:hAnsi="Times New Roman" w:cs="Times New Roman"/>
                <w:b w:val="0"/>
                <w:i w:val="0"/>
                <w:color w:val="000000"/>
                <w:sz w:val="18"/>
                <w:u w:val="none"/>
              </w:rPr>
              <w:t>$</w:t>
              <w:tab/>
              <w:t>2.9</w:t>
              <w:tab/>
            </w:r>
          </w:p>
        </w:tc>
      </w:tr>
    </w:tbl>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pPr>
    </w:p>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sectPr>
          <w:headerReference w:type="default" r:id="rId29"/>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4" w:name="Section25"/>
      <w:bookmarkEnd w:id="24"/>
      <w:r>
        <w:rPr>
          <w:rFonts w:ascii="Times New Roman" w:eastAsia="Times New Roman" w:hAnsi="Times New Roman" w:cs="Times New Roman"/>
          <w:b/>
          <w:i w:val="0"/>
          <w:color w:val="000000"/>
          <w:sz w:val="20"/>
          <w:u w:val="none"/>
        </w:rPr>
        <w:t>11</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NONCONTROLLING INTERESTS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shd w:val="clear" w:color="auto" w:fill="FFFFFF"/>
        </w:rPr>
      </w:pPr>
      <w:r>
        <w:rPr>
          <w:rFonts w:ascii="Times New Roman" w:eastAsia="Times New Roman" w:hAnsi="Times New Roman" w:cs="Times New Roman"/>
          <w:b w:val="0"/>
          <w:i w:val="0"/>
          <w:color w:val="000000"/>
          <w:sz w:val="20"/>
          <w:u w:val="none"/>
          <w:shd w:val="clear" w:color="auto" w:fill="FFFFFF"/>
        </w:rPr>
        <w:tab/>
      </w:r>
      <w:r>
        <w:rPr>
          <w:rFonts w:ascii="Times New Roman" w:eastAsia="Times New Roman" w:hAnsi="Times New Roman" w:cs="Times New Roman"/>
          <w:b w:val="0"/>
          <w:i w:val="0"/>
          <w:color w:val="000000"/>
          <w:sz w:val="20"/>
          <w:u w:val="none"/>
          <w:shd w:val="clear" w:color="auto" w:fill="FFFFFF"/>
        </w:rPr>
        <w:t xml:space="preserve">In September 2018, the Company entered into a partnership in Saudi Arabia. </w:t>
      </w:r>
      <w:r>
        <w:rPr>
          <w:rFonts w:ascii="Times New Roman" w:eastAsia="Times New Roman" w:hAnsi="Times New Roman" w:cs="Times New Roman"/>
          <w:b w:val="0"/>
          <w:i w:val="0"/>
          <w:color w:val="000000"/>
          <w:sz w:val="20"/>
          <w:u w:val="none"/>
        </w:rPr>
        <w:t xml:space="preserve">The Company has majority voting rights with an approximate </w:t>
      </w:r>
      <w:r>
        <w:rPr>
          <w:rFonts w:ascii="Times New Roman" w:eastAsia="Times New Roman" w:hAnsi="Times New Roman" w:cs="Times New Roman"/>
          <w:b w:val="0"/>
          <w:i w:val="0"/>
          <w:color w:val="000000"/>
          <w:sz w:val="20"/>
          <w:u w:val="none"/>
        </w:rPr>
        <w:t>75%</w:t>
      </w:r>
      <w:r>
        <w:rPr>
          <w:rFonts w:ascii="Times New Roman" w:eastAsia="Times New Roman" w:hAnsi="Times New Roman" w:cs="Times New Roman"/>
          <w:b w:val="0"/>
          <w:i w:val="0"/>
          <w:color w:val="000000"/>
          <w:sz w:val="20"/>
          <w:u w:val="none"/>
        </w:rPr>
        <w:t xml:space="preserve"> interest. Accordingly, the Company has consolidated the operations of the Saudi Arabia partnership in its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color w:val="000000"/>
          <w:sz w:val="20"/>
          <w:u w:val="none"/>
        </w:rPr>
        <w:t xml:space="preserve"> and recorded the noncontrolling interests. The noncontrolling interest related to the partner’s approximate </w:t>
      </w:r>
      <w:r>
        <w:rPr>
          <w:rFonts w:ascii="Times New Roman" w:eastAsia="Times New Roman" w:hAnsi="Times New Roman" w:cs="Times New Roman"/>
          <w:b w:val="0"/>
          <w:i w:val="0"/>
          <w:color w:val="000000"/>
          <w:sz w:val="20"/>
          <w:u w:val="none"/>
        </w:rPr>
        <w:t>25%</w:t>
      </w:r>
      <w:r>
        <w:rPr>
          <w:rFonts w:ascii="Times New Roman" w:eastAsia="Times New Roman" w:hAnsi="Times New Roman" w:cs="Times New Roman"/>
          <w:b w:val="0"/>
          <w:i w:val="0"/>
          <w:color w:val="000000"/>
          <w:sz w:val="20"/>
          <w:u w:val="none"/>
        </w:rPr>
        <w:t xml:space="preserve"> interest is included in </w:t>
      </w:r>
      <w:r>
        <w:rPr>
          <w:rFonts w:ascii="Times New Roman" w:eastAsia="Times New Roman" w:hAnsi="Times New Roman" w:cs="Times New Roman"/>
          <w:b w:val="0"/>
          <w:i w:val="0"/>
          <w:color w:val="000000"/>
          <w:sz w:val="20"/>
          <w:u w:val="none"/>
        </w:rPr>
        <w:t>noncontrolling interests</w:t>
      </w:r>
      <w:r>
        <w:rPr>
          <w:rFonts w:ascii="Times New Roman" w:eastAsia="Times New Roman" w:hAnsi="Times New Roman" w:cs="Times New Roman"/>
          <w:b w:val="0"/>
          <w:i w:val="0"/>
          <w:color w:val="000000"/>
          <w:sz w:val="20"/>
          <w:u w:val="none"/>
        </w:rPr>
        <w:t xml:space="preserve"> in the equity section of the Company’s </w:t>
      </w:r>
      <w:r>
        <w:rPr>
          <w:rFonts w:ascii="Times New Roman" w:eastAsia="Times New Roman" w:hAnsi="Times New Roman" w:cs="Times New Roman"/>
          <w:b w:val="0"/>
          <w:i w:val="0"/>
          <w:color w:val="000000"/>
          <w:sz w:val="20"/>
          <w:u w:val="none"/>
        </w:rPr>
        <w:t>Condensed Consolidated Balance Sheets</w:t>
      </w:r>
      <w:r>
        <w:rPr>
          <w:rFonts w:ascii="Times New Roman" w:eastAsia="Times New Roman" w:hAnsi="Times New Roman" w:cs="Times New Roman"/>
          <w:b w:val="0"/>
          <w:i w:val="0"/>
          <w:color w:val="000000"/>
          <w:sz w:val="20"/>
          <w:u w:val="none"/>
        </w:rPr>
        <w:t xml:space="preserve">. Income representing the noncontrolling partner's share of income from operations is included in the Company's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In April 2015, the Company acquired </w:t>
      </w:r>
      <w:r>
        <w:rPr>
          <w:rFonts w:ascii="Times New Roman" w:eastAsia="Times New Roman" w:hAnsi="Times New Roman" w:cs="Times New Roman"/>
          <w:b w:val="0"/>
          <w:i w:val="0"/>
          <w:color w:val="000000"/>
          <w:sz w:val="20"/>
          <w:u w:val="none"/>
        </w:rPr>
        <w:t>73.5%</w:t>
      </w:r>
      <w:r>
        <w:rPr>
          <w:rFonts w:ascii="Times New Roman" w:eastAsia="Times New Roman" w:hAnsi="Times New Roman" w:cs="Times New Roman"/>
          <w:b w:val="0"/>
          <w:i w:val="0"/>
          <w:color w:val="000000"/>
          <w:sz w:val="20"/>
          <w:u w:val="none"/>
        </w:rPr>
        <w:t xml:space="preserve"> of the then outstanding shares of </w:t>
      </w:r>
      <w:r>
        <w:rPr>
          <w:rFonts w:ascii="Times New Roman" w:eastAsia="Times New Roman" w:hAnsi="Times New Roman" w:cs="Times New Roman"/>
          <w:b w:val="0"/>
          <w:i w:val="0"/>
          <w:color w:val="000000"/>
          <w:sz w:val="20"/>
          <w:u w:val="none"/>
          <w:shd w:val="clear" w:color="auto" w:fill="FFFFFF"/>
        </w:rPr>
        <w:t>MeVis Medical</w:t>
      </w:r>
      <w:r>
        <w:rPr>
          <w:rFonts w:ascii="Times New Roman" w:eastAsia="Times New Roman" w:hAnsi="Times New Roman" w:cs="Times New Roman"/>
          <w:b w:val="0"/>
          <w:i w:val="0"/>
          <w:color w:val="000000"/>
          <w:sz w:val="20"/>
          <w:u w:val="none"/>
        </w:rPr>
        <w:t xml:space="preserve">, a publicly traded company based in Bremen, Germany that provides image processing software and services for cancer screening. In August 2015, the Company, through one of its German subsidiaries, entered into a Domination and Profit and Loss Transfer Agreement (the “DPLTA”) with MeVis Medical. In fiscal years 2017 and 2018, the Company purchased an additional </w:t>
      </w:r>
      <w:r>
        <w:rPr>
          <w:rFonts w:ascii="Times New Roman" w:eastAsia="Times New Roman" w:hAnsi="Times New Roman" w:cs="Times New Roman"/>
          <w:b w:val="0"/>
          <w:i w:val="0"/>
          <w:color w:val="000000"/>
          <w:sz w:val="20"/>
          <w:u w:val="none"/>
        </w:rPr>
        <w:t>0.2%</w:t>
      </w:r>
      <w:r>
        <w:rPr>
          <w:rFonts w:ascii="Times New Roman" w:eastAsia="Times New Roman" w:hAnsi="Times New Roman" w:cs="Times New Roman"/>
          <w:b w:val="0"/>
          <w:i w:val="0"/>
          <w:color w:val="000000"/>
          <w:sz w:val="20"/>
          <w:u w:val="none"/>
        </w:rPr>
        <w:t xml:space="preserve"> of outstanding shares such that the Company now owns </w:t>
      </w:r>
      <w:r>
        <w:rPr>
          <w:rFonts w:ascii="Times New Roman" w:eastAsia="Times New Roman" w:hAnsi="Times New Roman" w:cs="Times New Roman"/>
          <w:b w:val="0"/>
          <w:i w:val="0"/>
          <w:color w:val="000000"/>
          <w:sz w:val="20"/>
          <w:u w:val="none"/>
        </w:rPr>
        <w:t>73.7%</w:t>
      </w:r>
      <w:r>
        <w:rPr>
          <w:rFonts w:ascii="Times New Roman" w:eastAsia="Times New Roman" w:hAnsi="Times New Roman" w:cs="Times New Roman"/>
          <w:b w:val="0"/>
          <w:i w:val="0"/>
          <w:color w:val="000000"/>
          <w:sz w:val="20"/>
          <w:u w:val="none"/>
        </w:rPr>
        <w:t xml:space="preserve"> of the outstanding shares of common stock of MeVis Medical. Under the DPLTA, MeVis Medical subordinates its management to the Company and undertakes to transfer all its annual profits and losses to the Company. In return, the DPLTA grants the noncontrolling shareholders of MeVis Medical, an annual recurring net compensation of </w:t>
      </w:r>
      <w:r>
        <w:rPr>
          <w:rFonts w:ascii="Times New Roman" w:eastAsia="Times New Roman" w:hAnsi="Times New Roman" w:cs="Times New Roman"/>
          <w:b w:val="0"/>
          <w:i w:val="0"/>
          <w:color w:val="000000"/>
          <w:sz w:val="20"/>
          <w:u w:val="none"/>
        </w:rPr>
        <w:t>€0.95</w:t>
      </w:r>
      <w:r>
        <w:rPr>
          <w:rFonts w:ascii="Times New Roman" w:eastAsia="Times New Roman" w:hAnsi="Times New Roman" w:cs="Times New Roman"/>
          <w:b w:val="0"/>
          <w:i w:val="0"/>
          <w:color w:val="000000"/>
          <w:sz w:val="20"/>
          <w:u w:val="none"/>
        </w:rPr>
        <w:t xml:space="preserve"> per MeVis Medical share. At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noncontrolling shareholders together held approximately </w:t>
      </w:r>
      <w:r>
        <w:rPr>
          <w:rFonts w:ascii="Times New Roman" w:eastAsia="Times New Roman" w:hAnsi="Times New Roman" w:cs="Times New Roman"/>
          <w:b w:val="0"/>
          <w:i w:val="0"/>
          <w:color w:val="000000"/>
          <w:sz w:val="20"/>
          <w:u w:val="none"/>
        </w:rPr>
        <w:t>0.5 million</w:t>
      </w:r>
      <w:r>
        <w:rPr>
          <w:rFonts w:ascii="Times New Roman" w:eastAsia="Times New Roman" w:hAnsi="Times New Roman" w:cs="Times New Roman"/>
          <w:b w:val="0"/>
          <w:i w:val="0"/>
          <w:color w:val="000000"/>
          <w:sz w:val="20"/>
          <w:u w:val="none"/>
        </w:rPr>
        <w:t xml:space="preserve"> shares of MeVis Medical, representing </w:t>
      </w:r>
      <w:r>
        <w:rPr>
          <w:rFonts w:ascii="Times New Roman" w:eastAsia="Times New Roman" w:hAnsi="Times New Roman" w:cs="Times New Roman"/>
          <w:b w:val="0"/>
          <w:i w:val="0"/>
          <w:color w:val="000000"/>
          <w:sz w:val="20"/>
          <w:u w:val="none"/>
        </w:rPr>
        <w:t>26.3%</w:t>
      </w:r>
      <w:r>
        <w:rPr>
          <w:rFonts w:ascii="Times New Roman" w:eastAsia="Times New Roman" w:hAnsi="Times New Roman" w:cs="Times New Roman"/>
          <w:b w:val="0"/>
          <w:i w:val="0"/>
          <w:color w:val="000000"/>
          <w:sz w:val="20"/>
          <w:u w:val="none"/>
        </w:rPr>
        <w:t xml:space="preserve"> of the outstanding shares.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shd w:val="clear" w:color="auto" w:fill="FFFFFF"/>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During the first quarter of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color w:val="000000"/>
          <w:sz w:val="20"/>
          <w:u w:val="none"/>
        </w:rPr>
        <w:t xml:space="preserve">, the Company acquired a controlling interest in MeVis Breastcare, in which the Company now holds an </w:t>
      </w:r>
      <w:r>
        <w:rPr>
          <w:rFonts w:ascii="Times New Roman" w:eastAsia="Times New Roman" w:hAnsi="Times New Roman" w:cs="Times New Roman"/>
          <w:b w:val="0"/>
          <w:i w:val="0"/>
          <w:color w:val="000000"/>
          <w:sz w:val="20"/>
          <w:u w:val="none"/>
        </w:rPr>
        <w:t>87.1%</w:t>
      </w:r>
      <w:r>
        <w:rPr>
          <w:rFonts w:ascii="Times New Roman" w:eastAsia="Times New Roman" w:hAnsi="Times New Roman" w:cs="Times New Roman"/>
          <w:b w:val="0"/>
          <w:i w:val="0"/>
          <w:color w:val="000000"/>
          <w:sz w:val="20"/>
          <w:u w:val="none"/>
        </w:rPr>
        <w:t xml:space="preserve"> ownership interest. In association with this acquisition, the Company recorded an associated noncontrolling interest of </w:t>
      </w:r>
      <w:r>
        <w:rPr>
          <w:rFonts w:ascii="Times New Roman" w:eastAsia="Times New Roman" w:hAnsi="Times New Roman" w:cs="Times New Roman"/>
          <w:b w:val="0"/>
          <w:i w:val="0"/>
          <w:color w:val="000000"/>
          <w:sz w:val="20"/>
          <w:u w:val="none"/>
        </w:rPr>
        <w:t>$0.7 million</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w:t>
      </w:r>
      <w:r>
        <w:rPr>
          <w:rFonts w:ascii="Times New Roman" w:eastAsia="Times New Roman" w:hAnsi="Times New Roman" w:cs="Times New Roman"/>
          <w:b w:val="0"/>
          <w:i w:val="0"/>
          <w:color w:val="000000"/>
          <w:sz w:val="20"/>
          <w:u w:val="none"/>
        </w:rPr>
        <w:t xml:space="preserve">hanges in </w:t>
      </w:r>
      <w:r>
        <w:rPr>
          <w:rFonts w:ascii="Times New Roman" w:eastAsia="Times New Roman" w:hAnsi="Times New Roman" w:cs="Times New Roman"/>
          <w:b w:val="0"/>
          <w:i w:val="0"/>
          <w:color w:val="000000"/>
          <w:sz w:val="20"/>
          <w:u w:val="none"/>
        </w:rPr>
        <w:t>noncontrolling interests</w:t>
      </w:r>
      <w:r>
        <w:rPr>
          <w:rFonts w:ascii="Times New Roman" w:eastAsia="Times New Roman" w:hAnsi="Times New Roman" w:cs="Times New Roman"/>
          <w:b w:val="0"/>
          <w:i w:val="0"/>
          <w:color w:val="000000"/>
          <w:sz w:val="20"/>
          <w:u w:val="none"/>
        </w:rPr>
        <w:t xml:space="preserve"> were as follows: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25"/>
        <w:gridCol w:w="1800"/>
        <w:gridCol w:w="75"/>
        <w:gridCol w:w="1800"/>
      </w:tblGrid>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712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Noncontrolling interests, at beginning of period</w:t>
            </w: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13.3</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00" w:hanging="180"/>
              <w:jc w:val="left"/>
            </w:pPr>
            <w:r>
              <w:rPr>
                <w:rFonts w:ascii="Times New Roman" w:eastAsia="Times New Roman" w:hAnsi="Times New Roman" w:cs="Times New Roman"/>
                <w:b w:val="0"/>
                <w:i w:val="0"/>
                <w:color w:val="000000"/>
                <w:sz w:val="18"/>
                <w:u w:val="none"/>
              </w:rPr>
              <w:t>Net income attributable to noncontrolling interests</w:t>
            </w: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00" w:hanging="180"/>
              <w:jc w:val="left"/>
            </w:pPr>
            <w:r>
              <w:rPr>
                <w:rFonts w:ascii="Times New Roman" w:eastAsia="Times New Roman" w:hAnsi="Times New Roman" w:cs="Times New Roman"/>
                <w:b w:val="0"/>
                <w:i w:val="0"/>
                <w:color w:val="000000"/>
                <w:sz w:val="18"/>
                <w:u w:val="none"/>
              </w:rPr>
              <w:t>Business acquisitions</w:t>
            </w: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94"/>
                <w:tab w:val="left" w:pos="17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449"/>
                <w:tab w:val="left" w:pos="1732"/>
              </w:tabs>
              <w:spacing w:before="75" w:after="30" w:line="240" w:lineRule="auto"/>
              <w:jc w:val="right"/>
            </w:pPr>
            <w:r>
              <w:rPr>
                <w:rFonts w:ascii="Times New Roman" w:eastAsia="Times New Roman" w:hAnsi="Times New Roman" w:cs="Times New Roman"/>
                <w:b w:val="0"/>
                <w:i w:val="0"/>
                <w:color w:val="000000"/>
                <w:sz w:val="18"/>
                <w:u w:val="none"/>
              </w:rPr>
              <w:tab/>
              <w:t>0.7</w:t>
              <w:tab/>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Other</w:t>
            </w: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(0.3)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369"/>
              </w:tabs>
              <w:spacing w:before="75" w:after="30" w:line="240" w:lineRule="auto"/>
              <w:jc w:val="right"/>
            </w:pPr>
            <w:r>
              <w:rPr>
                <w:rFonts w:ascii="Times New Roman" w:eastAsia="Times New Roman" w:hAnsi="Times New Roman" w:cs="Times New Roman"/>
                <w:b w:val="0"/>
                <w:i w:val="0"/>
                <w:color w:val="000000"/>
                <w:sz w:val="18"/>
                <w:u w:val="none"/>
              </w:rPr>
              <w:tab/>
              <w:t>(0.3)</w:t>
            </w:r>
          </w:p>
        </w:tc>
      </w:tr>
      <w:tr>
        <w:tblPrEx>
          <w:tblW w:w="10800" w:type="dxa"/>
          <w:tblInd w:w="0" w:type="dxa"/>
          <w:tblLayout w:type="fixed"/>
        </w:tblPrEx>
        <w:trPr>
          <w:cantSplit/>
          <w:trHeight w:hRule="exact" w:val="300"/>
        </w:trPr>
        <w:tc>
          <w:tcPr>
            <w:tcW w:w="71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val="0"/>
                <w:i w:val="0"/>
                <w:color w:val="000000"/>
                <w:sz w:val="18"/>
                <w:u w:val="none"/>
              </w:rPr>
              <w:t>Noncontrolling interests, at end of period</w:t>
            </w: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14.2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8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359"/>
                <w:tab w:val="left" w:pos="1732"/>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r>
    </w:tbl>
    <w:p>
      <w:pPr>
        <w:keepNext w:val="0"/>
        <w:keepLines/>
        <w:pageBreakBefore w:val="0"/>
        <w:widowControl w:val="0"/>
        <w:numPr>
          <w:ilvl w:val="0"/>
          <w:numId w:val="0"/>
        </w:numPr>
        <w:spacing w:before="0" w:after="0" w:line="288" w:lineRule="auto"/>
        <w:ind w:left="0" w:right="0" w:firstLine="0"/>
        <w:jc w:val="left"/>
        <w:outlineLvl w:val="9"/>
        <w:rPr>
          <w:sz w:val="2"/>
        </w:rPr>
      </w:pPr>
    </w:p>
    <w:p>
      <w:pPr>
        <w:keepNext w:val="0"/>
        <w:keepLines/>
        <w:pageBreakBefore w:val="0"/>
        <w:widowControl w:val="0"/>
        <w:numPr>
          <w:ilvl w:val="0"/>
          <w:numId w:val="0"/>
        </w:numPr>
        <w:spacing w:before="0" w:after="0" w:line="288" w:lineRule="auto"/>
        <w:ind w:left="0" w:right="0" w:firstLine="0"/>
        <w:jc w:val="left"/>
        <w:outlineLvl w:val="9"/>
        <w:rPr>
          <w:sz w:val="2"/>
        </w:rPr>
        <w:sectPr>
          <w:headerReference w:type="default" r:id="rId30"/>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5" w:name="Section26"/>
      <w:bookmarkEnd w:id="25"/>
      <w:r>
        <w:rPr>
          <w:rFonts w:ascii="Times New Roman" w:eastAsia="Times New Roman" w:hAnsi="Times New Roman" w:cs="Times New Roman"/>
          <w:b/>
          <w:i w:val="0"/>
          <w:color w:val="000000"/>
          <w:sz w:val="20"/>
          <w:u w:val="none"/>
        </w:rPr>
        <w:t>12</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NET (LOSS) INCOME PER SHARE</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Basic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per common share is computed by dividing the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for the period by the weighted average number of shares of common stock outstanding during the reporting period. Diluted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per common share reflects the effects of potentially dilutive securities, which is computed by dividing the sum of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and any adjustments to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by the sum of the weighted average number of common shares outstanding and dilutive common shares.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A reconciliation of the numerator and denominator used in the calculation of basic and diluted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per common share is as follows: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50"/>
        <w:gridCol w:w="1560"/>
        <w:gridCol w:w="75"/>
        <w:gridCol w:w="1560"/>
        <w:gridCol w:w="180"/>
        <w:gridCol w:w="1500"/>
        <w:gridCol w:w="75"/>
        <w:gridCol w:w="1500"/>
      </w:tblGrid>
      <w:tr>
        <w:tblPrEx>
          <w:tblW w:w="10800" w:type="dxa"/>
          <w:tblInd w:w="0" w:type="dxa"/>
          <w:tblLayout w:type="fixed"/>
        </w:tblPrEx>
        <w:trPr>
          <w:cantSplit/>
          <w:trHeight w:hRule="exact" w:val="285"/>
        </w:trPr>
        <w:tc>
          <w:tcPr>
            <w:tcW w:w="435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07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465"/>
        </w:trPr>
        <w:tc>
          <w:tcPr>
            <w:tcW w:w="435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(In millions, except per share amounts)</w:t>
            </w: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18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88" w:lineRule="auto"/>
              <w:ind w:left="180" w:hanging="180"/>
              <w:jc w:val="left"/>
            </w:pPr>
            <w:r>
              <w:rPr>
                <w:rFonts w:ascii="Times New Roman" w:eastAsia="Times New Roman" w:hAnsi="Times New Roman" w:cs="Times New Roman"/>
                <w:b/>
                <w:i w:val="0"/>
                <w:color w:val="000000"/>
                <w:sz w:val="18"/>
                <w:u w:val="none"/>
              </w:rPr>
              <w:t>Net (loss) income per share - basic</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88" w:lineRule="auto"/>
              <w:jc w:val="left"/>
            </w:pPr>
            <w:r>
              <w:rPr>
                <w:rFonts w:ascii="Times New Roman" w:eastAsia="Times New Roman" w:hAnsi="Times New Roman" w:cs="Times New Roman"/>
                <w:b w:val="0"/>
                <w:i w:val="0"/>
                <w:color w:val="000000"/>
                <w:sz w:val="18"/>
                <w:u w:val="none"/>
              </w:rPr>
              <w:t>Net (loss) income attributable to Varex</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39"/>
              </w:tabs>
              <w:spacing w:before="75" w:after="30" w:line="240" w:lineRule="auto"/>
              <w:jc w:val="right"/>
            </w:pPr>
            <w:r>
              <w:rPr>
                <w:rFonts w:ascii="Times New Roman" w:eastAsia="Times New Roman" w:hAnsi="Times New Roman" w:cs="Times New Roman"/>
                <w:b w:val="0"/>
                <w:i w:val="0"/>
                <w:color w:val="000000"/>
                <w:sz w:val="18"/>
                <w:u w:val="none"/>
              </w:rPr>
              <w:t>$</w:t>
              <w:tab/>
              <w:t>(89.1)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1.4</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79"/>
              </w:tabs>
              <w:spacing w:before="75" w:after="30" w:line="240" w:lineRule="auto"/>
              <w:jc w:val="right"/>
            </w:pPr>
            <w:r>
              <w:rPr>
                <w:rFonts w:ascii="Times New Roman" w:eastAsia="Times New Roman" w:hAnsi="Times New Roman" w:cs="Times New Roman"/>
                <w:b w:val="0"/>
                <w:i w:val="0"/>
                <w:color w:val="000000"/>
                <w:sz w:val="18"/>
                <w:u w:val="none"/>
              </w:rPr>
              <w:t>$</w:t>
              <w:tab/>
              <w:t>(82.5)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w:t>
              <w:tab/>
              <w:t>2.3</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Basic weighted average shares outstanding</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40.9</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75" w:after="30" w:line="240" w:lineRule="auto"/>
              <w:jc w:val="right"/>
            </w:pPr>
            <w:r>
              <w:rPr>
                <w:rFonts w:ascii="Times New Roman" w:eastAsia="Times New Roman" w:hAnsi="Times New Roman" w:cs="Times New Roman"/>
                <w:b w:val="0"/>
                <w:i w:val="0"/>
                <w:color w:val="000000"/>
                <w:sz w:val="18"/>
                <w:u w:val="none"/>
              </w:rPr>
              <w:tab/>
              <w:t>41.3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75" w:after="30" w:line="240" w:lineRule="auto"/>
              <w:jc w:val="right"/>
            </w:pPr>
            <w:r>
              <w:rPr>
                <w:rFonts w:ascii="Times New Roman" w:eastAsia="Times New Roman" w:hAnsi="Times New Roman" w:cs="Times New Roman"/>
                <w:b w:val="0"/>
                <w:i w:val="0"/>
                <w:color w:val="000000"/>
                <w:sz w:val="18"/>
                <w:u w:val="none"/>
              </w:rPr>
              <w:tab/>
              <w:t>40.7</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88" w:lineRule="auto"/>
              <w:ind w:left="240"/>
              <w:jc w:val="left"/>
            </w:pPr>
            <w:r>
              <w:rPr>
                <w:rFonts w:ascii="Times New Roman" w:eastAsia="Times New Roman" w:hAnsi="Times New Roman" w:cs="Times New Roman"/>
                <w:b w:val="0"/>
                <w:i w:val="0"/>
                <w:color w:val="000000"/>
                <w:sz w:val="18"/>
                <w:u w:val="none"/>
              </w:rPr>
              <w:t>Basic net (loss) income per share attributable to Varex</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(2.15)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0.03</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979"/>
              </w:tabs>
              <w:spacing w:before="55" w:after="30" w:line="240" w:lineRule="auto"/>
              <w:jc w:val="right"/>
            </w:pPr>
            <w:r>
              <w:rPr>
                <w:rFonts w:ascii="Times New Roman" w:eastAsia="Times New Roman" w:hAnsi="Times New Roman" w:cs="Times New Roman"/>
                <w:b w:val="0"/>
                <w:i w:val="0"/>
                <w:color w:val="000000"/>
                <w:sz w:val="18"/>
                <w:u w:val="none"/>
              </w:rPr>
              <w:t>$</w:t>
              <w:tab/>
              <w:t>(2.00)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0.06</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15" w:after="30" w:line="240" w:lineRule="auto"/>
              <w:ind w:left="240" w:hanging="180"/>
              <w:jc w:val="left"/>
            </w:pPr>
          </w:p>
        </w:tc>
        <w:tc>
          <w:tcPr>
            <w:tcW w:w="156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1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15" w:after="30" w:line="240" w:lineRule="auto"/>
              <w:jc w:val="righ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88" w:lineRule="auto"/>
              <w:jc w:val="left"/>
            </w:pPr>
            <w:r>
              <w:rPr>
                <w:rFonts w:ascii="Times New Roman" w:eastAsia="Times New Roman" w:hAnsi="Times New Roman" w:cs="Times New Roman"/>
                <w:b/>
                <w:i w:val="0"/>
                <w:color w:val="000000"/>
                <w:sz w:val="18"/>
                <w:u w:val="none"/>
              </w:rPr>
              <w:t>Net (loss) income per share - diluted</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88" w:lineRule="auto"/>
              <w:ind w:left="180" w:hanging="180"/>
              <w:jc w:val="left"/>
            </w:pPr>
            <w:r>
              <w:rPr>
                <w:rFonts w:ascii="Times New Roman" w:eastAsia="Times New Roman" w:hAnsi="Times New Roman" w:cs="Times New Roman"/>
                <w:b w:val="0"/>
                <w:i w:val="0"/>
                <w:color w:val="000000"/>
                <w:sz w:val="18"/>
                <w:u w:val="none"/>
              </w:rPr>
              <w:t>Net (loss) income attributable to Varex</w:t>
            </w: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75" w:after="30" w:line="240" w:lineRule="auto"/>
              <w:jc w:val="right"/>
            </w:pPr>
            <w:r>
              <w:rPr>
                <w:rFonts w:ascii="Times New Roman" w:eastAsia="Times New Roman" w:hAnsi="Times New Roman" w:cs="Times New Roman"/>
                <w:b w:val="0"/>
                <w:i w:val="0"/>
                <w:color w:val="000000"/>
                <w:sz w:val="18"/>
                <w:u w:val="none"/>
              </w:rPr>
              <w:t>$</w:t>
              <w:tab/>
              <w:t>(89.1)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1.4</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79"/>
              </w:tabs>
              <w:spacing w:before="75" w:after="30" w:line="240" w:lineRule="auto"/>
              <w:jc w:val="right"/>
            </w:pPr>
            <w:r>
              <w:rPr>
                <w:rFonts w:ascii="Times New Roman" w:eastAsia="Times New Roman" w:hAnsi="Times New Roman" w:cs="Times New Roman"/>
                <w:b w:val="0"/>
                <w:i w:val="0"/>
                <w:color w:val="000000"/>
                <w:sz w:val="18"/>
                <w:u w:val="none"/>
              </w:rPr>
              <w:t>$</w:t>
              <w:tab/>
              <w:t>(82.5)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w:t>
              <w:tab/>
              <w:t>2.3</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jc w:val="left"/>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Basic weighted average shares outstanding</w:t>
            </w: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40.9</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75" w:after="30" w:line="240" w:lineRule="auto"/>
              <w:jc w:val="right"/>
            </w:pPr>
            <w:r>
              <w:rPr>
                <w:rFonts w:ascii="Times New Roman" w:eastAsia="Times New Roman" w:hAnsi="Times New Roman" w:cs="Times New Roman"/>
                <w:b w:val="0"/>
                <w:i w:val="0"/>
                <w:color w:val="000000"/>
                <w:sz w:val="18"/>
                <w:u w:val="none"/>
              </w:rPr>
              <w:tab/>
              <w:t>41.3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75" w:after="30" w:line="240" w:lineRule="auto"/>
              <w:jc w:val="right"/>
            </w:pPr>
            <w:r>
              <w:rPr>
                <w:rFonts w:ascii="Times New Roman" w:eastAsia="Times New Roman" w:hAnsi="Times New Roman" w:cs="Times New Roman"/>
                <w:b w:val="0"/>
                <w:i w:val="0"/>
                <w:color w:val="000000"/>
                <w:sz w:val="18"/>
                <w:u w:val="none"/>
              </w:rPr>
              <w:tab/>
              <w:t>40.7</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20"/>
              <w:jc w:val="left"/>
            </w:pPr>
            <w:r>
              <w:rPr>
                <w:rFonts w:ascii="Times New Roman" w:eastAsia="Times New Roman" w:hAnsi="Times New Roman" w:cs="Times New Roman"/>
                <w:b w:val="0"/>
                <w:i w:val="0"/>
                <w:color w:val="000000"/>
                <w:sz w:val="18"/>
                <w:u w:val="none"/>
              </w:rPr>
              <w:t>Dilutive effect of share-based awards and other</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0.3</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0.5</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Diluted weighted average shares outstanding</w:t>
            </w: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41.5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41.2</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ab/>
              <w:t>41.3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ab/>
              <w:t>41.2</w:t>
              <w:tab/>
            </w:r>
          </w:p>
        </w:tc>
      </w:tr>
      <w:tr>
        <w:tblPrEx>
          <w:tblW w:w="10800" w:type="dxa"/>
          <w:tblInd w:w="0" w:type="dxa"/>
          <w:tblLayout w:type="fixed"/>
        </w:tblPrEx>
        <w:trPr>
          <w:cantSplit/>
          <w:trHeight w:hRule="exact" w:val="46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420" w:hanging="180"/>
              <w:jc w:val="left"/>
            </w:pPr>
            <w:r>
              <w:rPr>
                <w:rFonts w:ascii="Times New Roman" w:eastAsia="Times New Roman" w:hAnsi="Times New Roman" w:cs="Times New Roman"/>
                <w:b w:val="0"/>
                <w:i w:val="0"/>
                <w:color w:val="000000"/>
                <w:sz w:val="18"/>
                <w:u w:val="none"/>
              </w:rPr>
              <w:t>Diluted net (loss) income per share attributable to Varex</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(2.15)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0.03</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979"/>
              </w:tabs>
              <w:spacing w:before="55" w:after="30" w:line="240" w:lineRule="auto"/>
              <w:jc w:val="right"/>
            </w:pPr>
            <w:r>
              <w:rPr>
                <w:rFonts w:ascii="Times New Roman" w:eastAsia="Times New Roman" w:hAnsi="Times New Roman" w:cs="Times New Roman"/>
                <w:b w:val="0"/>
                <w:i w:val="0"/>
                <w:color w:val="000000"/>
                <w:sz w:val="18"/>
                <w:u w:val="none"/>
              </w:rPr>
              <w:t>$</w:t>
              <w:tab/>
              <w:t>(2.00)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w:t>
              <w:tab/>
              <w:t>0.06</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15" w:after="30" w:line="240" w:lineRule="auto"/>
              <w:ind w:left="180" w:hanging="180"/>
              <w:jc w:val="left"/>
            </w:pPr>
          </w:p>
        </w:tc>
        <w:tc>
          <w:tcPr>
            <w:tcW w:w="156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15" w:after="30" w:line="240" w:lineRule="auto"/>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15" w:after="30" w:line="240" w:lineRule="auto"/>
              <w:jc w:val="right"/>
            </w:pP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doub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i w:val="0"/>
                <w:color w:val="000000"/>
                <w:sz w:val="18"/>
                <w:u w:val="none"/>
              </w:rPr>
              <w:t>Anti-dilutive share summary</w:t>
            </w: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40" w:lineRule="auto"/>
              <w:ind w:left="180" w:right="0" w:hanging="18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Share-based awards and other</w:t>
            </w: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3.5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2.8</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3.4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3.0</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Convertible notes</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9.6</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94"/>
                <w:tab w:val="left" w:pos="143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9.6</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Warrants</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9.6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9.6</w:t>
              <w:tab/>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9.6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49"/>
                <w:tab w:val="left" w:pos="1432"/>
              </w:tabs>
              <w:spacing w:before="75" w:after="30" w:line="240" w:lineRule="auto"/>
              <w:jc w:val="right"/>
            </w:pPr>
            <w:r>
              <w:rPr>
                <w:rFonts w:ascii="Times New Roman" w:eastAsia="Times New Roman" w:hAnsi="Times New Roman" w:cs="Times New Roman"/>
                <w:b w:val="0"/>
                <w:i w:val="0"/>
                <w:color w:val="000000"/>
                <w:sz w:val="18"/>
                <w:u w:val="none"/>
              </w:rPr>
              <w:tab/>
              <w:t>9.6</w:t>
              <w:tab/>
            </w:r>
          </w:p>
        </w:tc>
      </w:tr>
      <w:tr>
        <w:tblPrEx>
          <w:tblW w:w="10800" w:type="dxa"/>
          <w:tblInd w:w="0" w:type="dxa"/>
          <w:tblLayout w:type="fixed"/>
        </w:tblPrEx>
        <w:trPr>
          <w:cantSplit/>
          <w:trHeight w:hRule="exact" w:val="285"/>
        </w:trPr>
        <w:tc>
          <w:tcPr>
            <w:tcW w:w="435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180"/>
              <w:jc w:val="left"/>
            </w:pPr>
            <w:r>
              <w:rPr>
                <w:rFonts w:ascii="Times New Roman" w:eastAsia="Times New Roman" w:hAnsi="Times New Roman" w:cs="Times New Roman"/>
                <w:b w:val="0"/>
                <w:i w:val="0"/>
                <w:color w:val="000000"/>
                <w:sz w:val="18"/>
                <w:u w:val="none"/>
              </w:rPr>
              <w:t>Total anti-dilutive shares</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13.1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22.0</w:t>
              <w:tab/>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ab/>
              <w:t>13.0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59"/>
                <w:tab w:val="left" w:pos="1432"/>
              </w:tabs>
              <w:spacing w:before="55" w:after="30" w:line="240" w:lineRule="auto"/>
              <w:jc w:val="right"/>
            </w:pPr>
            <w:r>
              <w:rPr>
                <w:rFonts w:ascii="Times New Roman" w:eastAsia="Times New Roman" w:hAnsi="Times New Roman" w:cs="Times New Roman"/>
                <w:b w:val="0"/>
                <w:i w:val="0"/>
                <w:color w:val="000000"/>
                <w:sz w:val="18"/>
                <w:u w:val="none"/>
              </w:rPr>
              <w:tab/>
              <w:t>22.2</w:t>
              <w:tab/>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singl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Potentially dilutive shares, which are based on the weighted-average shares of common stock underlying stock options, unvested stock awards, purchase rights granted under the employee stock purchase plan, </w:t>
      </w:r>
      <w:r>
        <w:rPr>
          <w:rFonts w:ascii="Times New Roman" w:eastAsia="Times New Roman" w:hAnsi="Times New Roman" w:cs="Times New Roman"/>
          <w:b w:val="0"/>
          <w:i w:val="0"/>
          <w:color w:val="000000"/>
          <w:sz w:val="20"/>
          <w:u w:val="none"/>
        </w:rPr>
        <w:t>warrants</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 xml:space="preserve">Convertible Notes </w:t>
      </w:r>
      <w:r>
        <w:rPr>
          <w:rFonts w:ascii="Times New Roman" w:eastAsia="Times New Roman" w:hAnsi="Times New Roman" w:cs="Times New Roman"/>
          <w:b w:val="0"/>
          <w:i w:val="0"/>
          <w:color w:val="000000"/>
          <w:sz w:val="20"/>
          <w:u w:val="none"/>
        </w:rPr>
        <w:t>using the treasury stock method or the if-converted method, as applicable, are included when calculating diluted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net (loss) income</w:t>
      </w:r>
      <w:r>
        <w:rPr>
          <w:rFonts w:ascii="Times New Roman" w:eastAsia="Times New Roman" w:hAnsi="Times New Roman" w:cs="Times New Roman"/>
          <w:b w:val="0"/>
          <w:i w:val="0"/>
          <w:color w:val="000000"/>
          <w:sz w:val="20"/>
          <w:u w:val="none"/>
        </w:rPr>
        <w:t xml:space="preserve"> per share attributable to Varex when their effect is dilutive.</w:t>
      </w:r>
      <w:r>
        <w:rPr>
          <w:rFonts w:ascii="Times New Roman" w:eastAsia="Times New Roman" w:hAnsi="Times New Roman" w:cs="Times New Roman"/>
          <w:b w:val="0"/>
          <w:i w:val="0"/>
          <w:color w:val="000000"/>
          <w:sz w:val="20"/>
          <w:u w:val="none"/>
        </w:rPr>
        <w:t xml:space="preserve">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single"/>
        </w:rPr>
        <w:sectPr>
          <w:headerReference w:type="default" r:id="rId31"/>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6" w:name="Section27"/>
      <w:bookmarkEnd w:id="26"/>
      <w:r>
        <w:rPr>
          <w:rFonts w:ascii="Times New Roman" w:eastAsia="Times New Roman" w:hAnsi="Times New Roman" w:cs="Times New Roman"/>
          <w:b/>
          <w:i w:val="0"/>
          <w:color w:val="000000"/>
          <w:sz w:val="20"/>
          <w:u w:val="none"/>
        </w:rPr>
        <w:t>13</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EMPLOYEE STOCK PLANS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Share-Based Compensation Expense</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Share-based compensation expense recognized in the </w:t>
      </w:r>
      <w:r>
        <w:rPr>
          <w:rFonts w:ascii="Times New Roman" w:eastAsia="Times New Roman" w:hAnsi="Times New Roman" w:cs="Times New Roman"/>
          <w:b w:val="0"/>
          <w:i w:val="0"/>
          <w:color w:val="000000"/>
          <w:sz w:val="20"/>
          <w:u w:val="none"/>
        </w:rPr>
        <w:t>Condensed Consolidated Statements of Operations</w:t>
      </w:r>
      <w:r>
        <w:rPr>
          <w:rFonts w:ascii="Times New Roman" w:eastAsia="Times New Roman" w:hAnsi="Times New Roman" w:cs="Times New Roman"/>
          <w:b w:val="0"/>
          <w:i w:val="0"/>
          <w:color w:val="000000"/>
          <w:sz w:val="20"/>
          <w:u w:val="none"/>
        </w:rPr>
        <w:t xml:space="preserve"> is based on awards ultimately expected to vest. Share-based compensation expense includes expenses related to the Company’s direct employees.</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table below summarizes the effect of recording share-based compensation expense and the option value of the employee stock purchase plan shares: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0"/>
        <w:gridCol w:w="1560"/>
        <w:gridCol w:w="75"/>
        <w:gridCol w:w="1560"/>
        <w:gridCol w:w="60"/>
        <w:gridCol w:w="1605"/>
        <w:gridCol w:w="75"/>
        <w:gridCol w:w="1605"/>
      </w:tblGrid>
      <w:tr>
        <w:tblPrEx>
          <w:tblW w:w="10800" w:type="dxa"/>
          <w:tblInd w:w="0" w:type="dxa"/>
          <w:tblLayout w:type="fixed"/>
        </w:tblPrEx>
        <w:trPr>
          <w:cantSplit/>
          <w:trHeight w:hRule="exact" w:val="285"/>
        </w:trPr>
        <w:tc>
          <w:tcPr>
            <w:tcW w:w="42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42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42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Cost of revenues</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0.4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1.4</w:t>
              <w:tab/>
            </w:r>
          </w:p>
        </w:tc>
      </w:tr>
      <w:tr>
        <w:tblPrEx>
          <w:tblW w:w="10800" w:type="dxa"/>
          <w:tblInd w:w="0" w:type="dxa"/>
          <w:tblLayout w:type="fixed"/>
        </w:tblPrEx>
        <w:trPr>
          <w:cantSplit/>
          <w:trHeight w:hRule="exact" w:val="285"/>
        </w:trPr>
        <w:tc>
          <w:tcPr>
            <w:tcW w:w="42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Research and development</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2.6</w:t>
              <w:tab/>
            </w:r>
          </w:p>
        </w:tc>
      </w:tr>
      <w:tr>
        <w:tblPrEx>
          <w:tblW w:w="10800" w:type="dxa"/>
          <w:tblInd w:w="0" w:type="dxa"/>
          <w:tblLayout w:type="fixed"/>
        </w:tblPrEx>
        <w:trPr>
          <w:cantSplit/>
          <w:trHeight w:hRule="exact" w:val="285"/>
        </w:trPr>
        <w:tc>
          <w:tcPr>
            <w:tcW w:w="42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Selling, general, and administrative</w:t>
            </w:r>
            <w:r>
              <w:rPr>
                <w:rFonts w:ascii="Times New Roman" w:eastAsia="Times New Roman" w:hAnsi="Times New Roman" w:cs="Times New Roman"/>
                <w:b w:val="0"/>
                <w:i w:val="0"/>
                <w:sz w:val="18"/>
                <w:vertAlign w:val="superscript"/>
              </w:rPr>
              <w:t xml:space="preserve"> </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7.6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7.8</w:t>
              <w:tab/>
            </w:r>
          </w:p>
        </w:tc>
      </w:tr>
      <w:tr>
        <w:tblPrEx>
          <w:tblW w:w="10800" w:type="dxa"/>
          <w:tblInd w:w="0" w:type="dxa"/>
          <w:tblLayout w:type="fixed"/>
        </w:tblPrEx>
        <w:trPr>
          <w:cantSplit/>
          <w:trHeight w:hRule="exact" w:val="285"/>
        </w:trPr>
        <w:tc>
          <w:tcPr>
            <w:tcW w:w="426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225"/>
              <w:jc w:val="left"/>
            </w:pPr>
            <w:r>
              <w:rPr>
                <w:rFonts w:ascii="Times New Roman" w:eastAsia="Times New Roman" w:hAnsi="Times New Roman" w:cs="Times New Roman"/>
                <w:b w:val="0"/>
                <w:i w:val="0"/>
                <w:color w:val="000000"/>
                <w:sz w:val="18"/>
                <w:u w:val="none"/>
              </w:rPr>
              <w:t>Total share-based compensation expense</w:t>
            </w: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3.7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3.9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11.6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11.8</w:t>
              <w:tab/>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Stock Option Activity</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stock option activity under Varex’s employee incentive plans for the Company's employees: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975"/>
        <w:gridCol w:w="1305"/>
        <w:gridCol w:w="75"/>
        <w:gridCol w:w="1305"/>
        <w:gridCol w:w="75"/>
        <w:gridCol w:w="1305"/>
        <w:gridCol w:w="75"/>
        <w:gridCol w:w="1305"/>
        <w:gridCol w:w="75"/>
        <w:gridCol w:w="1305"/>
      </w:tblGrid>
      <w:tr>
        <w:tblPrEx>
          <w:tblW w:w="10800" w:type="dxa"/>
          <w:tblInd w:w="0" w:type="dxa"/>
          <w:tblLayout w:type="fixed"/>
        </w:tblPrEx>
        <w:trPr>
          <w:cantSplit/>
          <w:trHeight w:hRule="exact" w:val="900"/>
        </w:trPr>
        <w:tc>
          <w:tcPr>
            <w:tcW w:w="39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thousands, except per share amounts and the remaining term)</w:t>
            </w: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Options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Price Range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Weighted Average Exercise Price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Weighted Average Remaining Term (in years)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center"/>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Aggregate Intrinsic Value</w:t>
            </w:r>
            <w:r>
              <w:rPr>
                <w:rFonts w:ascii="Times New Roman" w:eastAsia="Times New Roman" w:hAnsi="Times New Roman" w:cs="Times New Roman"/>
                <w:b/>
                <w:i w:val="0"/>
                <w:sz w:val="18"/>
                <w:vertAlign w:val="superscript"/>
              </w:rPr>
              <w:t>(1)</w:t>
            </w:r>
          </w:p>
        </w:tc>
      </w:tr>
      <w:tr>
        <w:tblPrEx>
          <w:tblW w:w="10800" w:type="dxa"/>
          <w:tblInd w:w="0" w:type="dxa"/>
          <w:tblLayout w:type="fixed"/>
        </w:tblPrEx>
        <w:trPr>
          <w:cantSplit/>
          <w:trHeight w:hRule="exact" w:val="285"/>
        </w:trPr>
        <w:tc>
          <w:tcPr>
            <w:tcW w:w="39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Outstanding at September 27, 2024</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4"/>
                <w:tab w:val="left" w:pos="1237"/>
              </w:tabs>
              <w:spacing w:before="55" w:after="30" w:line="240" w:lineRule="auto"/>
              <w:jc w:val="right"/>
            </w:pPr>
            <w:r>
              <w:rPr>
                <w:rFonts w:ascii="Times New Roman" w:eastAsia="Times New Roman" w:hAnsi="Times New Roman" w:cs="Times New Roman"/>
                <w:b w:val="0"/>
                <w:i w:val="0"/>
                <w:color w:val="000000"/>
                <w:sz w:val="18"/>
                <w:u w:val="none"/>
              </w:rPr>
              <w:tab/>
              <w:t>2,097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righ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color w:val="000000"/>
                <w:sz w:val="18"/>
                <w:u w:val="none"/>
              </w:rPr>
              <w:t>$13.61</w:t>
            </w:r>
            <w:r>
              <w:rPr>
                <w:rFonts w:ascii="Times New Roman" w:eastAsia="Times New Roman" w:hAnsi="Times New Roman" w:cs="Times New Roman"/>
                <w:b w:val="0"/>
                <w:i w:val="0"/>
                <w:sz w:val="18"/>
              </w:rPr>
              <w:t xml:space="preserve"> - </w:t>
            </w:r>
            <w:r>
              <w:rPr>
                <w:rFonts w:ascii="Times New Roman" w:eastAsia="Times New Roman" w:hAnsi="Times New Roman" w:cs="Times New Roman"/>
                <w:b w:val="0"/>
                <w:i w:val="0"/>
                <w:color w:val="000000"/>
                <w:sz w:val="18"/>
                <w:u w:val="none"/>
              </w:rPr>
              <w:t>$37.60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26.79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8"/>
                <w:u w:val="none"/>
              </w:rPr>
              <w:t>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w:t>
              <w:tab/>
            </w:r>
          </w:p>
        </w:tc>
      </w:tr>
      <w:tr>
        <w:tblPrEx>
          <w:tblW w:w="10800" w:type="dxa"/>
          <w:tblInd w:w="0" w:type="dxa"/>
          <w:tblLayout w:type="fixed"/>
        </w:tblPrEx>
        <w:trPr>
          <w:cantSplit/>
          <w:trHeight w:hRule="exact" w:val="285"/>
        </w:trPr>
        <w:tc>
          <w:tcPr>
            <w:tcW w:w="39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585" w:hanging="360"/>
              <w:jc w:val="left"/>
            </w:pPr>
            <w:r>
              <w:rPr>
                <w:rFonts w:ascii="Times New Roman" w:eastAsia="Times New Roman" w:hAnsi="Times New Roman" w:cs="Times New Roman"/>
                <w:b w:val="0"/>
                <w:i w:val="0"/>
                <w:color w:val="000000"/>
                <w:sz w:val="18"/>
                <w:u w:val="none"/>
              </w:rPr>
              <w:t>Canceled, expired, or forfeited</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29"/>
              </w:tabs>
              <w:spacing w:before="55" w:after="30" w:line="240" w:lineRule="auto"/>
              <w:jc w:val="right"/>
            </w:pPr>
            <w:r>
              <w:rPr>
                <w:rFonts w:ascii="Times New Roman" w:eastAsia="Times New Roman" w:hAnsi="Times New Roman" w:cs="Times New Roman"/>
                <w:b w:val="0"/>
                <w:i w:val="0"/>
                <w:color w:val="000000"/>
                <w:sz w:val="18"/>
                <w:u w:val="none"/>
              </w:rPr>
              <w:tab/>
              <w:t>(223)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righ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color w:val="000000"/>
                <w:sz w:val="18"/>
                <w:u w:val="none"/>
              </w:rPr>
              <w:t>$22.13</w:t>
            </w:r>
            <w:r>
              <w:rPr>
                <w:rFonts w:ascii="Times New Roman" w:eastAsia="Times New Roman" w:hAnsi="Times New Roman" w:cs="Times New Roman"/>
                <w:b w:val="0"/>
                <w:i w:val="0"/>
                <w:sz w:val="18"/>
              </w:rPr>
              <w:t xml:space="preserve"> - </w:t>
            </w:r>
            <w:r>
              <w:rPr>
                <w:rFonts w:ascii="Times New Roman" w:eastAsia="Times New Roman" w:hAnsi="Times New Roman" w:cs="Times New Roman"/>
                <w:b w:val="0"/>
                <w:i w:val="0"/>
                <w:color w:val="000000"/>
                <w:sz w:val="18"/>
                <w:u w:val="none"/>
              </w:rPr>
              <w:t>$37.60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774"/>
                <w:tab w:val="left" w:pos="1237"/>
              </w:tabs>
              <w:spacing w:before="55" w:after="30" w:line="240" w:lineRule="auto"/>
              <w:jc w:val="right"/>
            </w:pPr>
            <w:r>
              <w:rPr>
                <w:rFonts w:ascii="Times New Roman" w:eastAsia="Times New Roman" w:hAnsi="Times New Roman" w:cs="Times New Roman"/>
                <w:b w:val="0"/>
                <w:i w:val="0"/>
                <w:color w:val="000000"/>
                <w:sz w:val="18"/>
                <w:u w:val="none"/>
              </w:rPr>
              <w:tab/>
              <w:t>35.91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9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88" w:lineRule="auto"/>
              <w:ind w:left="180" w:hanging="180"/>
              <w:jc w:val="left"/>
            </w:pPr>
            <w:r>
              <w:rPr>
                <w:rFonts w:ascii="Times New Roman" w:eastAsia="Times New Roman" w:hAnsi="Times New Roman" w:cs="Times New Roman"/>
                <w:b w:val="0"/>
                <w:i w:val="0"/>
                <w:color w:val="000000"/>
                <w:sz w:val="18"/>
                <w:u w:val="none"/>
              </w:rPr>
              <w:t>Outstanding at July 4, 2025</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774"/>
                <w:tab w:val="left" w:pos="1237"/>
              </w:tabs>
              <w:spacing w:before="55" w:after="30" w:line="240" w:lineRule="auto"/>
              <w:jc w:val="right"/>
            </w:pPr>
            <w:r>
              <w:rPr>
                <w:rFonts w:ascii="Times New Roman" w:eastAsia="Times New Roman" w:hAnsi="Times New Roman" w:cs="Times New Roman"/>
                <w:b w:val="0"/>
                <w:i w:val="0"/>
                <w:color w:val="000000"/>
                <w:sz w:val="18"/>
                <w:u w:val="none"/>
              </w:rPr>
              <w:tab/>
              <w:t>1,874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righ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color w:val="000000"/>
                <w:sz w:val="18"/>
                <w:u w:val="none"/>
              </w:rPr>
              <w:t>$13.61</w:t>
            </w:r>
            <w:r>
              <w:rPr>
                <w:rFonts w:ascii="Times New Roman" w:eastAsia="Times New Roman" w:hAnsi="Times New Roman" w:cs="Times New Roman"/>
                <w:b w:val="0"/>
                <w:i w:val="0"/>
                <w:sz w:val="18"/>
              </w:rPr>
              <w:t xml:space="preserve"> - </w:t>
            </w:r>
            <w:r>
              <w:rPr>
                <w:rFonts w:ascii="Times New Roman" w:eastAsia="Times New Roman" w:hAnsi="Times New Roman" w:cs="Times New Roman"/>
                <w:b w:val="0"/>
                <w:i w:val="0"/>
                <w:color w:val="000000"/>
                <w:sz w:val="18"/>
                <w:u w:val="none"/>
              </w:rPr>
              <w:t>$31.42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74"/>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25.70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8"/>
                <w:u w:val="none"/>
              </w:rPr>
              <w:t>5.2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99"/>
                <w:tab w:val="left" w:pos="1237"/>
              </w:tabs>
              <w:spacing w:before="55" w:after="30" w:line="240" w:lineRule="auto"/>
              <w:jc w:val="right"/>
            </w:pPr>
            <w:r>
              <w:rPr>
                <w:rFonts w:ascii="Times New Roman" w:eastAsia="Times New Roman" w:hAnsi="Times New Roman" w:cs="Times New Roman"/>
                <w:b w:val="0"/>
                <w:i w:val="0"/>
                <w:color w:val="000000"/>
                <w:sz w:val="18"/>
                <w:u w:val="none"/>
              </w:rPr>
              <w:t>$</w:t>
              <w:tab/>
              <w:t>—</w:t>
              <w:tab/>
            </w:r>
          </w:p>
        </w:tc>
      </w:tr>
      <w:tr>
        <w:tblPrEx>
          <w:tblW w:w="10800" w:type="dxa"/>
          <w:tblInd w:w="0" w:type="dxa"/>
          <w:tblLayout w:type="fixed"/>
        </w:tblPrEx>
        <w:trPr>
          <w:cantSplit/>
          <w:trHeight w:hRule="exact" w:val="285"/>
        </w:trPr>
        <w:tc>
          <w:tcPr>
            <w:tcW w:w="39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39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88" w:lineRule="auto"/>
              <w:ind w:left="180" w:hanging="180"/>
              <w:jc w:val="left"/>
            </w:pPr>
            <w:r>
              <w:rPr>
                <w:rFonts w:ascii="Times New Roman" w:eastAsia="Times New Roman" w:hAnsi="Times New Roman" w:cs="Times New Roman"/>
                <w:b w:val="0"/>
                <w:i w:val="0"/>
                <w:color w:val="000000"/>
                <w:sz w:val="18"/>
                <w:u w:val="none"/>
              </w:rPr>
              <w:t>Exercisable at July 4, 2025</w:t>
            </w:r>
          </w:p>
        </w:tc>
        <w:tc>
          <w:tcPr>
            <w:tcW w:w="130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774"/>
                <w:tab w:val="left" w:pos="1237"/>
              </w:tabs>
              <w:spacing w:before="75" w:after="30" w:line="240" w:lineRule="auto"/>
              <w:jc w:val="right"/>
            </w:pPr>
            <w:r>
              <w:rPr>
                <w:rFonts w:ascii="Times New Roman" w:eastAsia="Times New Roman" w:hAnsi="Times New Roman" w:cs="Times New Roman"/>
                <w:b w:val="0"/>
                <w:i w:val="0"/>
                <w:color w:val="000000"/>
                <w:sz w:val="18"/>
                <w:u w:val="none"/>
              </w:rPr>
              <w:tab/>
              <w:t>1,674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double" w:sz="8" w:space="0" w:color="000000"/>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color w:val="000000"/>
                <w:sz w:val="18"/>
                <w:u w:val="none"/>
              </w:rPr>
              <w:t>$13.61</w:t>
            </w:r>
            <w:r>
              <w:rPr>
                <w:rFonts w:ascii="Times New Roman" w:eastAsia="Times New Roman" w:hAnsi="Times New Roman" w:cs="Times New Roman"/>
                <w:b w:val="0"/>
                <w:i w:val="0"/>
                <w:sz w:val="18"/>
              </w:rPr>
              <w:t xml:space="preserve"> - </w:t>
            </w:r>
            <w:r>
              <w:rPr>
                <w:rFonts w:ascii="Times New Roman" w:eastAsia="Times New Roman" w:hAnsi="Times New Roman" w:cs="Times New Roman"/>
                <w:b w:val="0"/>
                <w:i w:val="0"/>
                <w:color w:val="000000"/>
                <w:sz w:val="18"/>
                <w:u w:val="none"/>
              </w:rPr>
              <w:t>$31.42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774"/>
                <w:tab w:val="left" w:pos="1237"/>
              </w:tabs>
              <w:spacing w:before="75" w:after="30" w:line="240" w:lineRule="auto"/>
              <w:jc w:val="right"/>
            </w:pPr>
            <w:r>
              <w:rPr>
                <w:rFonts w:ascii="Times New Roman" w:eastAsia="Times New Roman" w:hAnsi="Times New Roman" w:cs="Times New Roman"/>
                <w:b w:val="0"/>
                <w:i w:val="0"/>
                <w:color w:val="000000"/>
                <w:sz w:val="18"/>
                <w:u w:val="none"/>
              </w:rPr>
              <w:t>$</w:t>
              <w:tab/>
              <w:t>26.02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double" w:sz="8" w:space="0" w:color="000000"/>
              <w:right w:val="nil"/>
            </w:tcBorders>
            <w:shd w:val="clear" w:color="auto" w:fill="CCEE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8"/>
                <w:u w:val="none"/>
              </w:rPr>
              <w:t>5.0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999"/>
                <w:tab w:val="left" w:pos="1237"/>
              </w:tabs>
              <w:spacing w:before="75" w:after="30" w:line="240" w:lineRule="auto"/>
              <w:jc w:val="right"/>
            </w:pPr>
            <w:r>
              <w:rPr>
                <w:rFonts w:ascii="Times New Roman" w:eastAsia="Times New Roman" w:hAnsi="Times New Roman" w:cs="Times New Roman"/>
                <w:b w:val="0"/>
                <w:i w:val="0"/>
                <w:color w:val="000000"/>
                <w:sz w:val="18"/>
                <w:u w:val="none"/>
              </w:rPr>
              <w:t>$</w:t>
              <w:tab/>
              <w:t>—</w:t>
              <w:tab/>
            </w:r>
          </w:p>
        </w:tc>
      </w:tr>
    </w:tbl>
    <w:p>
      <w:pPr>
        <w:keepNext w:val="0"/>
        <w:keepLines w:val="0"/>
        <w:pageBreakBefore w:val="0"/>
        <w:widowControl/>
        <w:numPr>
          <w:ilvl w:val="0"/>
          <w:numId w:val="0"/>
        </w:numPr>
        <w:spacing w:before="100" w:after="0" w:line="216" w:lineRule="exact"/>
        <w:ind w:left="0" w:right="0" w:firstLine="0"/>
        <w:jc w:val="left"/>
        <w:outlineLvl w:val="9"/>
        <w:rPr>
          <w:rFonts w:ascii="Times New Roman" w:eastAsia="Times New Roman" w:hAnsi="Times New Roman" w:cs="Times New Roman"/>
          <w:b w:val="0"/>
          <w:i w:val="0"/>
          <w:color w:val="000000"/>
          <w:sz w:val="18"/>
          <w:u w:val="none"/>
        </w:rPr>
      </w:pPr>
      <w:r>
        <w:rPr>
          <w:rFonts w:ascii="Times New Roman" w:eastAsia="Times New Roman" w:hAnsi="Times New Roman" w:cs="Times New Roman"/>
          <w:b w:val="0"/>
          <w:i w:val="0"/>
          <w:color w:val="000000"/>
          <w:sz w:val="18"/>
          <w:u w:val="none"/>
          <w:vertAlign w:val="superscript"/>
        </w:rPr>
        <w:t>(1)</w:t>
      </w:r>
      <w:r>
        <w:rPr>
          <w:rFonts w:ascii="Times New Roman" w:eastAsia="Times New Roman" w:hAnsi="Times New Roman" w:cs="Times New Roman"/>
          <w:b w:val="0"/>
          <w:i w:val="0"/>
          <w:color w:val="000000"/>
          <w:sz w:val="18"/>
          <w:u w:val="none"/>
        </w:rPr>
        <w:t xml:space="preserve"> The aggregate intrinsic value represents the total pre-tax intrinsic value, which is computed based on the difference between the exercise price and the closing price of Varex common stock of </w:t>
      </w:r>
      <w:r>
        <w:rPr>
          <w:rFonts w:ascii="Times New Roman" w:eastAsia="Times New Roman" w:hAnsi="Times New Roman" w:cs="Times New Roman"/>
          <w:b w:val="0"/>
          <w:i w:val="0"/>
          <w:color w:val="000000"/>
          <w:sz w:val="18"/>
          <w:u w:val="none"/>
        </w:rPr>
        <w:t>$8.80</w:t>
      </w:r>
      <w:r>
        <w:rPr>
          <w:rFonts w:ascii="Times New Roman" w:eastAsia="Times New Roman" w:hAnsi="Times New Roman" w:cs="Times New Roman"/>
          <w:b w:val="0"/>
          <w:i w:val="0"/>
          <w:color w:val="000000"/>
          <w:sz w:val="18"/>
          <w:u w:val="none"/>
        </w:rPr>
        <w:t xml:space="preserve"> as of </w:t>
      </w:r>
      <w:r>
        <w:rPr>
          <w:rFonts w:ascii="Times New Roman" w:eastAsia="Times New Roman" w:hAnsi="Times New Roman" w:cs="Times New Roman"/>
          <w:b w:val="0"/>
          <w:i w:val="0"/>
          <w:color w:val="000000"/>
          <w:sz w:val="18"/>
          <w:u w:val="none"/>
        </w:rPr>
        <w:t>July 3, 2025</w:t>
      </w:r>
      <w:r>
        <w:rPr>
          <w:rFonts w:ascii="Times New Roman" w:eastAsia="Times New Roman" w:hAnsi="Times New Roman" w:cs="Times New Roman"/>
          <w:b w:val="0"/>
          <w:i w:val="0"/>
          <w:color w:val="000000"/>
          <w:sz w:val="18"/>
          <w:u w:val="none"/>
        </w:rPr>
        <w:t xml:space="preserve">, the last trading date of the Company's </w:t>
      </w:r>
      <w:r>
        <w:rPr>
          <w:rFonts w:ascii="Times New Roman" w:eastAsia="Times New Roman" w:hAnsi="Times New Roman" w:cs="Times New Roman"/>
          <w:b w:val="0"/>
          <w:i w:val="0"/>
          <w:color w:val="000000"/>
          <w:sz w:val="18"/>
          <w:u w:val="none"/>
        </w:rPr>
        <w:t>third</w:t>
      </w:r>
      <w:r>
        <w:rPr>
          <w:rFonts w:ascii="Times New Roman" w:eastAsia="Times New Roman" w:hAnsi="Times New Roman" w:cs="Times New Roman"/>
          <w:b w:val="0"/>
          <w:i w:val="0"/>
          <w:color w:val="000000"/>
          <w:sz w:val="18"/>
          <w:u w:val="none"/>
        </w:rPr>
        <w:t xml:space="preserve"> quarter, and which represents the amount that would have been received by the option holders had all option holders exercised their in-the-money options and sold the shares received upon exercise as of that date.</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 xml:space="preserve">Restricted Stock Units, Performance Stock Units, and Deferred Stock Units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issues performance stock units ("PSUs") to certain officers and key employees in connection with our long-term incentive program. Each PSU represents the right to receive one share of our common stock, provided that the applicable performance and vesting conditions are satisfied. The fair value of certain PSUs are linked to the achievement of performance goals based on Adjusted EBITDA margin. The fair value of certain other PSUs are linked to a market condition based on our relative total shareholder return over the performance period compared to a predetermined peer group.</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following table summarizes the activity for restricted stock units, performance stock units, and deferred stock units under the 2020 Omnibus Stock Plan:</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515"/>
        <w:gridCol w:w="1605"/>
        <w:gridCol w:w="75"/>
        <w:gridCol w:w="1605"/>
      </w:tblGrid>
      <w:tr>
        <w:tblPrEx>
          <w:tblW w:w="10800" w:type="dxa"/>
          <w:tblInd w:w="0" w:type="dxa"/>
          <w:tblLayout w:type="fixed"/>
        </w:tblPrEx>
        <w:trPr>
          <w:cantSplit/>
          <w:trHeight w:hRule="exact" w:val="645"/>
        </w:trPr>
        <w:tc>
          <w:tcPr>
            <w:tcW w:w="751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thousands, except per share amounts)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180" w:lineRule="exact"/>
              <w:jc w:val="center"/>
            </w:pPr>
            <w:r>
              <w:rPr>
                <w:rFonts w:ascii="Times New Roman" w:eastAsia="Times New Roman" w:hAnsi="Times New Roman" w:cs="Times New Roman"/>
                <w:b/>
                <w:i w:val="0"/>
                <w:color w:val="000000"/>
                <w:sz w:val="18"/>
                <w:u w:val="none"/>
              </w:rPr>
              <w:t>Number of Shares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180" w:lineRule="exact"/>
              <w:jc w:val="center"/>
            </w:pPr>
            <w:r>
              <w:rPr>
                <w:rFonts w:ascii="Times New Roman" w:eastAsia="Times New Roman" w:hAnsi="Times New Roman" w:cs="Times New Roman"/>
                <w:b/>
                <w:i w:val="0"/>
                <w:color w:val="000000"/>
                <w:sz w:val="18"/>
                <w:u w:val="none"/>
              </w:rPr>
              <w:t>Weighted Average Grant-Date Fair Value</w:t>
            </w:r>
          </w:p>
        </w:tc>
      </w:tr>
      <w:tr>
        <w:tblPrEx>
          <w:tblW w:w="10800" w:type="dxa"/>
          <w:tblInd w:w="0" w:type="dxa"/>
          <w:tblLayout w:type="fixed"/>
        </w:tblPrEx>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Outstanding at September 27, 2024</w:t>
            </w: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ab/>
              <w:t>1,670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20.74</w:t>
              <w:tab/>
            </w:r>
          </w:p>
        </w:tc>
      </w:tr>
      <w:tr>
        <w:tblPrEx>
          <w:tblW w:w="10800" w:type="dxa"/>
          <w:tblInd w:w="0" w:type="dxa"/>
          <w:tblLayout w:type="fixed"/>
        </w:tblPrEx>
        <w:trPr>
          <w:cantSplit/>
          <w:trHeight w:hRule="exact" w:val="30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585" w:hanging="360"/>
              <w:jc w:val="left"/>
            </w:pPr>
            <w:r>
              <w:rPr>
                <w:rFonts w:ascii="Times New Roman" w:eastAsia="Times New Roman" w:hAnsi="Times New Roman" w:cs="Times New Roman"/>
                <w:b w:val="0"/>
                <w:i w:val="0"/>
                <w:color w:val="000000"/>
                <w:sz w:val="18"/>
                <w:u w:val="none"/>
              </w:rPr>
              <w:t>Granted</w:t>
            </w: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537"/>
              </w:tabs>
              <w:spacing w:before="55" w:after="30" w:line="240" w:lineRule="auto"/>
              <w:jc w:val="right"/>
            </w:pPr>
            <w:r>
              <w:rPr>
                <w:rFonts w:ascii="Times New Roman" w:eastAsia="Times New Roman" w:hAnsi="Times New Roman" w:cs="Times New Roman"/>
                <w:b w:val="0"/>
                <w:i w:val="0"/>
                <w:color w:val="000000"/>
                <w:sz w:val="18"/>
                <w:u w:val="none"/>
              </w:rPr>
              <w:tab/>
              <w:t>771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ab/>
              <w:t>14.93</w:t>
              <w:tab/>
            </w:r>
          </w:p>
        </w:tc>
      </w:tr>
      <w:tr>
        <w:tblPrEx>
          <w:tblW w:w="10800" w:type="dxa"/>
          <w:tblInd w:w="0" w:type="dxa"/>
          <w:tblLayout w:type="fixed"/>
        </w:tblPrEx>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585" w:hanging="360"/>
              <w:jc w:val="left"/>
            </w:pPr>
            <w:r>
              <w:rPr>
                <w:rFonts w:ascii="Times New Roman" w:eastAsia="Times New Roman" w:hAnsi="Times New Roman" w:cs="Times New Roman"/>
                <w:b w:val="0"/>
                <w:i w:val="0"/>
                <w:color w:val="000000"/>
                <w:sz w:val="18"/>
                <w:u w:val="none"/>
              </w:rPr>
              <w:t>Vested</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(405)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74"/>
                <w:tab w:val="left" w:pos="1537"/>
              </w:tabs>
              <w:spacing w:before="75" w:after="30" w:line="240" w:lineRule="auto"/>
              <w:jc w:val="right"/>
            </w:pPr>
            <w:r>
              <w:rPr>
                <w:rFonts w:ascii="Times New Roman" w:eastAsia="Times New Roman" w:hAnsi="Times New Roman" w:cs="Times New Roman"/>
                <w:b w:val="0"/>
                <w:i w:val="0"/>
                <w:color w:val="000000"/>
                <w:sz w:val="18"/>
                <w:u w:val="none"/>
              </w:rPr>
              <w:tab/>
              <w:t>21.28</w:t>
              <w:tab/>
            </w:r>
          </w:p>
        </w:tc>
      </w:tr>
      <w:tr>
        <w:tblPrEx>
          <w:tblW w:w="10800" w:type="dxa"/>
          <w:tblInd w:w="0" w:type="dxa"/>
          <w:tblLayout w:type="fixed"/>
        </w:tblPrEx>
        <w:trPr>
          <w:cantSplit/>
          <w:trHeight w:hRule="exact" w:val="300"/>
        </w:trPr>
        <w:tc>
          <w:tcPr>
            <w:tcW w:w="751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585" w:hanging="360"/>
              <w:jc w:val="left"/>
            </w:pPr>
            <w:r>
              <w:rPr>
                <w:rFonts w:ascii="Times New Roman" w:eastAsia="Times New Roman" w:hAnsi="Times New Roman" w:cs="Times New Roman"/>
                <w:b w:val="0"/>
                <w:i w:val="0"/>
                <w:color w:val="000000"/>
                <w:sz w:val="18"/>
                <w:u w:val="none"/>
              </w:rPr>
              <w:t>Canceled or expired</w:t>
            </w: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19"/>
              </w:tabs>
              <w:spacing w:before="75" w:after="30" w:line="240" w:lineRule="auto"/>
              <w:jc w:val="right"/>
            </w:pPr>
            <w:r>
              <w:rPr>
                <w:rFonts w:ascii="Times New Roman" w:eastAsia="Times New Roman" w:hAnsi="Times New Roman" w:cs="Times New Roman"/>
                <w:b w:val="0"/>
                <w:i w:val="0"/>
                <w:color w:val="000000"/>
                <w:sz w:val="18"/>
                <w:u w:val="none"/>
              </w:rPr>
              <w:tab/>
              <w:t>(73)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74"/>
                <w:tab w:val="left" w:pos="1537"/>
              </w:tabs>
              <w:spacing w:before="75" w:after="30" w:line="240" w:lineRule="auto"/>
              <w:jc w:val="right"/>
            </w:pPr>
            <w:r>
              <w:rPr>
                <w:rFonts w:ascii="Times New Roman" w:eastAsia="Times New Roman" w:hAnsi="Times New Roman" w:cs="Times New Roman"/>
                <w:b w:val="0"/>
                <w:i w:val="0"/>
                <w:color w:val="000000"/>
                <w:sz w:val="18"/>
                <w:u w:val="none"/>
              </w:rPr>
              <w:tab/>
              <w:t>20.69</w:t>
              <w:tab/>
            </w:r>
          </w:p>
        </w:tc>
      </w:tr>
      <w:tr>
        <w:tblPrEx>
          <w:tblW w:w="10800" w:type="dxa"/>
          <w:tblInd w:w="0" w:type="dxa"/>
          <w:tblLayout w:type="fixed"/>
        </w:tblPrEx>
        <w:trPr>
          <w:cantSplit/>
          <w:trHeight w:hRule="exact" w:val="300"/>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88" w:lineRule="auto"/>
              <w:ind w:left="180" w:hanging="180"/>
              <w:jc w:val="left"/>
            </w:pPr>
            <w:r>
              <w:rPr>
                <w:rFonts w:ascii="Times New Roman" w:eastAsia="Times New Roman" w:hAnsi="Times New Roman" w:cs="Times New Roman"/>
                <w:b w:val="0"/>
                <w:i w:val="0"/>
                <w:color w:val="000000"/>
                <w:sz w:val="18"/>
                <w:u w:val="none"/>
              </w:rPr>
              <w:t>Outstanding at July 4, 2025</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ab/>
              <w:t>1,963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18.33</w:t>
              <w:tab/>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sectPr>
          <w:headerReference w:type="default" r:id="rId32"/>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sz w:val="20"/>
        </w:rPr>
      </w:pPr>
      <w:bookmarkStart w:id="27" w:name="Section28"/>
      <w:bookmarkEnd w:id="27"/>
      <w:r>
        <w:rPr>
          <w:rFonts w:ascii="Times New Roman" w:eastAsia="Times New Roman" w:hAnsi="Times New Roman" w:cs="Times New Roman"/>
          <w:b/>
          <w:i w:val="0"/>
          <w:color w:val="000000"/>
          <w:sz w:val="20"/>
          <w:u w:val="none"/>
        </w:rPr>
        <w:t>14</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TAXES ON (LOSS) INCOME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For</w:t>
      </w:r>
      <w:r>
        <w:rPr>
          <w:rFonts w:ascii="Times New Roman" w:eastAsia="Times New Roman" w:hAnsi="Times New Roman" w:cs="Times New Roman"/>
          <w:b w:val="0"/>
          <w:i w:val="0"/>
          <w:color w:val="000000"/>
          <w:sz w:val="20"/>
          <w:u w:val="none"/>
        </w:rPr>
        <w:t xml:space="preserve">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the </w:t>
      </w:r>
      <w:r>
        <w:rPr>
          <w:rFonts w:ascii="Times New Roman" w:eastAsia="Times New Roman" w:hAnsi="Times New Roman" w:cs="Times New Roman"/>
          <w:b w:val="0"/>
          <w:i w:val="0"/>
          <w:color w:val="000000"/>
          <w:sz w:val="20"/>
          <w:u w:val="none"/>
        </w:rPr>
        <w:t>Company</w:t>
      </w:r>
      <w:r>
        <w:rPr>
          <w:rFonts w:ascii="Times New Roman" w:eastAsia="Times New Roman" w:hAnsi="Times New Roman" w:cs="Times New Roman"/>
          <w:b w:val="0"/>
          <w:i w:val="0"/>
          <w:color w:val="000000"/>
          <w:sz w:val="20"/>
          <w:u w:val="none"/>
        </w:rPr>
        <w:t xml:space="preserve"> re</w:t>
      </w:r>
      <w:r>
        <w:rPr>
          <w:rFonts w:ascii="Times New Roman" w:eastAsia="Times New Roman" w:hAnsi="Times New Roman" w:cs="Times New Roman"/>
          <w:b w:val="0"/>
          <w:i w:val="0"/>
          <w:color w:val="000000"/>
          <w:sz w:val="20"/>
          <w:u w:val="none"/>
        </w:rPr>
        <w:t>cognize</w:t>
      </w:r>
      <w:r>
        <w:rPr>
          <w:rFonts w:ascii="Times New Roman" w:eastAsia="Times New Roman" w:hAnsi="Times New Roman" w:cs="Times New Roman"/>
          <w:b w:val="0"/>
          <w:i w:val="0"/>
          <w:color w:val="000000"/>
          <w:sz w:val="20"/>
          <w:u w:val="none"/>
        </w:rPr>
        <w:t xml:space="preserve">d income tax </w:t>
      </w:r>
      <w:r>
        <w:rPr>
          <w:rFonts w:ascii="Times New Roman" w:eastAsia="Times New Roman" w:hAnsi="Times New Roman" w:cs="Times New Roman"/>
          <w:b w:val="0"/>
          <w:i w:val="0"/>
          <w:color w:val="000000"/>
          <w:sz w:val="20"/>
          <w:u w:val="none"/>
        </w:rPr>
        <w:t>expense</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$2.5 million</w:t>
      </w:r>
      <w:r>
        <w:rPr>
          <w:rFonts w:ascii="Times New Roman" w:eastAsia="Times New Roman" w:hAnsi="Times New Roman" w:cs="Times New Roman"/>
          <w:b w:val="0"/>
          <w:i w:val="0"/>
          <w:color w:val="000000"/>
          <w:sz w:val="20"/>
          <w:u w:val="none"/>
        </w:rPr>
        <w:t xml:space="preserve"> on </w:t>
      </w:r>
      <w:r>
        <w:rPr>
          <w:rFonts w:ascii="Times New Roman" w:eastAsia="Times New Roman" w:hAnsi="Times New Roman" w:cs="Times New Roman"/>
          <w:b w:val="0"/>
          <w:i w:val="0"/>
          <w:color w:val="000000"/>
          <w:sz w:val="20"/>
          <w:u w:val="none"/>
        </w:rPr>
        <w:t>$86.6 million</w:t>
      </w:r>
      <w:r>
        <w:rPr>
          <w:rFonts w:ascii="Times New Roman" w:eastAsia="Times New Roman" w:hAnsi="Times New Roman" w:cs="Times New Roman"/>
          <w:b w:val="0"/>
          <w:i w:val="0"/>
          <w:color w:val="000000"/>
          <w:sz w:val="20"/>
          <w:u w:val="none"/>
        </w:rPr>
        <w:t xml:space="preserve"> of pre-tax </w:t>
      </w:r>
      <w:r>
        <w:rPr>
          <w:rFonts w:ascii="Times New Roman" w:eastAsia="Times New Roman" w:hAnsi="Times New Roman" w:cs="Times New Roman"/>
          <w:b w:val="0"/>
          <w:i w:val="0"/>
          <w:color w:val="000000"/>
          <w:sz w:val="20"/>
          <w:u w:val="none"/>
        </w:rPr>
        <w:t>loss</w:t>
      </w:r>
      <w:r>
        <w:rPr>
          <w:rFonts w:ascii="Times New Roman" w:eastAsia="Times New Roman" w:hAnsi="Times New Roman" w:cs="Times New Roman"/>
          <w:b w:val="0"/>
          <w:i w:val="0"/>
          <w:color w:val="000000"/>
          <w:sz w:val="20"/>
          <w:u w:val="none"/>
        </w:rPr>
        <w:t xml:space="preserve">. For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color w:val="000000"/>
          <w:sz w:val="20"/>
          <w:u w:val="none"/>
        </w:rPr>
        <w:t xml:space="preserve">, the Company recognized income tax </w:t>
      </w:r>
      <w:r>
        <w:rPr>
          <w:rFonts w:ascii="Times New Roman" w:eastAsia="Times New Roman" w:hAnsi="Times New Roman" w:cs="Times New Roman"/>
          <w:b w:val="0"/>
          <w:i w:val="0"/>
          <w:color w:val="000000"/>
          <w:sz w:val="20"/>
          <w:u w:val="none"/>
        </w:rPr>
        <w:t>benefit</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$0.7 million</w:t>
      </w:r>
      <w:r>
        <w:rPr>
          <w:rFonts w:ascii="Times New Roman" w:eastAsia="Times New Roman" w:hAnsi="Times New Roman" w:cs="Times New Roman"/>
          <w:b w:val="0"/>
          <w:i w:val="0"/>
          <w:color w:val="000000"/>
          <w:sz w:val="20"/>
          <w:u w:val="none"/>
        </w:rPr>
        <w:t xml:space="preserve"> on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color w:val="000000"/>
          <w:sz w:val="20"/>
          <w:u w:val="none"/>
        </w:rPr>
        <w:t xml:space="preserve"> of pre-tax </w:t>
      </w:r>
      <w:r>
        <w:rPr>
          <w:rFonts w:ascii="Times New Roman" w:eastAsia="Times New Roman" w:hAnsi="Times New Roman" w:cs="Times New Roman"/>
          <w:b w:val="0"/>
          <w:i w:val="0"/>
          <w:color w:val="000000"/>
          <w:sz w:val="20"/>
          <w:u w:val="none"/>
        </w:rPr>
        <w:t>income</w:t>
      </w:r>
      <w:r>
        <w:rPr>
          <w:rFonts w:ascii="Times New Roman" w:eastAsia="Times New Roman" w:hAnsi="Times New Roman" w:cs="Times New Roman"/>
          <w:b w:val="0"/>
          <w:i w:val="0"/>
          <w:color w:val="000000"/>
          <w:sz w:val="20"/>
          <w:u w:val="none"/>
        </w:rPr>
        <w:t xml:space="preserve">.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the Company recognized income tax </w:t>
      </w:r>
      <w:r>
        <w:rPr>
          <w:rFonts w:ascii="Times New Roman" w:eastAsia="Times New Roman" w:hAnsi="Times New Roman" w:cs="Times New Roman"/>
          <w:b w:val="0"/>
          <w:i w:val="0"/>
          <w:color w:val="000000"/>
          <w:sz w:val="20"/>
          <w:u w:val="none"/>
        </w:rPr>
        <w:t>expense</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$8.8 million</w:t>
      </w:r>
      <w:r>
        <w:rPr>
          <w:rFonts w:ascii="Times New Roman" w:eastAsia="Times New Roman" w:hAnsi="Times New Roman" w:cs="Times New Roman"/>
          <w:b w:val="0"/>
          <w:i w:val="0"/>
          <w:color w:val="000000"/>
          <w:sz w:val="20"/>
          <w:u w:val="none"/>
        </w:rPr>
        <w:t xml:space="preserve"> on </w:t>
      </w:r>
      <w:r>
        <w:rPr>
          <w:rFonts w:ascii="Times New Roman" w:eastAsia="Times New Roman" w:hAnsi="Times New Roman" w:cs="Times New Roman"/>
          <w:b w:val="0"/>
          <w:i w:val="0"/>
          <w:color w:val="000000"/>
          <w:sz w:val="20"/>
          <w:u w:val="none"/>
        </w:rPr>
        <w:t>$73.3 million</w:t>
      </w:r>
      <w:r>
        <w:rPr>
          <w:rFonts w:ascii="Times New Roman" w:eastAsia="Times New Roman" w:hAnsi="Times New Roman" w:cs="Times New Roman"/>
          <w:b w:val="0"/>
          <w:i w:val="0"/>
          <w:color w:val="000000"/>
          <w:sz w:val="20"/>
          <w:u w:val="none"/>
        </w:rPr>
        <w:t xml:space="preserve"> of pre-tax </w:t>
      </w:r>
      <w:r>
        <w:rPr>
          <w:rFonts w:ascii="Times New Roman" w:eastAsia="Times New Roman" w:hAnsi="Times New Roman" w:cs="Times New Roman"/>
          <w:b w:val="0"/>
          <w:i w:val="0"/>
          <w:color w:val="000000"/>
          <w:sz w:val="20"/>
          <w:u w:val="none"/>
        </w:rPr>
        <w:t>loss</w:t>
      </w:r>
      <w:r>
        <w:rPr>
          <w:rFonts w:ascii="Times New Roman" w:eastAsia="Times New Roman" w:hAnsi="Times New Roman" w:cs="Times New Roman"/>
          <w:b w:val="0"/>
          <w:i w:val="0"/>
          <w:color w:val="000000"/>
          <w:sz w:val="20"/>
          <w:u w:val="none"/>
        </w:rPr>
        <w:t xml:space="preserve">. For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color w:val="000000"/>
          <w:sz w:val="20"/>
          <w:u w:val="none"/>
        </w:rPr>
        <w:t xml:space="preserve">, the Company recognized income tax </w:t>
      </w:r>
      <w:r>
        <w:rPr>
          <w:rFonts w:ascii="Times New Roman" w:eastAsia="Times New Roman" w:hAnsi="Times New Roman" w:cs="Times New Roman"/>
          <w:b w:val="0"/>
          <w:i w:val="0"/>
          <w:color w:val="000000"/>
          <w:sz w:val="20"/>
          <w:u w:val="none"/>
        </w:rPr>
        <w:t>benefit</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$0.2 million</w:t>
      </w:r>
      <w:r>
        <w:rPr>
          <w:rFonts w:ascii="Times New Roman" w:eastAsia="Times New Roman" w:hAnsi="Times New Roman" w:cs="Times New Roman"/>
          <w:b w:val="0"/>
          <w:i w:val="0"/>
          <w:color w:val="000000"/>
          <w:sz w:val="20"/>
          <w:u w:val="none"/>
        </w:rPr>
        <w:t xml:space="preserve"> on </w:t>
      </w:r>
      <w:r>
        <w:rPr>
          <w:rFonts w:ascii="Times New Roman" w:eastAsia="Times New Roman" w:hAnsi="Times New Roman" w:cs="Times New Roman"/>
          <w:b w:val="0"/>
          <w:i w:val="0"/>
          <w:color w:val="000000"/>
          <w:sz w:val="20"/>
          <w:u w:val="none"/>
        </w:rPr>
        <w:t>$2.5 million</w:t>
      </w:r>
      <w:r>
        <w:rPr>
          <w:rFonts w:ascii="Times New Roman" w:eastAsia="Times New Roman" w:hAnsi="Times New Roman" w:cs="Times New Roman"/>
          <w:b w:val="0"/>
          <w:i w:val="0"/>
          <w:color w:val="000000"/>
          <w:sz w:val="20"/>
          <w:u w:val="none"/>
        </w:rPr>
        <w:t xml:space="preserve"> of pre-tax </w:t>
      </w:r>
      <w:r>
        <w:rPr>
          <w:rFonts w:ascii="Times New Roman" w:eastAsia="Times New Roman" w:hAnsi="Times New Roman" w:cs="Times New Roman"/>
          <w:b w:val="0"/>
          <w:i w:val="0"/>
          <w:color w:val="000000"/>
          <w:sz w:val="20"/>
          <w:u w:val="none"/>
        </w:rPr>
        <w:t>income</w:t>
      </w:r>
      <w:r>
        <w:rPr>
          <w:rFonts w:ascii="Times New Roman" w:eastAsia="Times New Roman" w:hAnsi="Times New Roman" w:cs="Times New Roman"/>
          <w:b w:val="0"/>
          <w:i w:val="0"/>
          <w:color w:val="000000"/>
          <w:sz w:val="20"/>
          <w:u w:val="none"/>
        </w:rPr>
        <w:t>. The Company is unable to recognize a tax benefit for pre-tax book losses in certain foreign jurisdictions but has recognized tax expense for profitable jurisdictions.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Company's tax expense increased for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color w:val="000000"/>
          <w:sz w:val="20"/>
          <w:u w:val="none"/>
        </w:rPr>
        <w:t xml:space="preserve">, primarily due to </w:t>
      </w:r>
      <w:r>
        <w:rPr>
          <w:rFonts w:ascii="Times New Roman" w:eastAsia="Times New Roman" w:hAnsi="Times New Roman" w:cs="Times New Roman"/>
          <w:b w:val="0"/>
          <w:i w:val="0"/>
          <w:color w:val="000000"/>
          <w:sz w:val="20"/>
          <w:u w:val="none"/>
        </w:rPr>
        <w:t xml:space="preserve">the non-tax deductible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color w:val="000000"/>
          <w:sz w:val="20"/>
          <w:u w:val="none"/>
        </w:rPr>
        <w:t xml:space="preserve"> goodwill impairment, increased pre-tax income in certain jurisdictions,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valuation allowance positions in the U.S. on deferred tax assets</w:t>
      </w:r>
      <w:r>
        <w:rPr>
          <w:rFonts w:ascii="Times New Roman" w:eastAsia="Times New Roman" w:hAnsi="Times New Roman" w:cs="Times New Roman"/>
          <w:b w:val="0"/>
          <w:i w:val="0"/>
          <w:color w:val="000000"/>
          <w:sz w:val="20"/>
          <w:u w:val="none"/>
        </w:rPr>
        <w:t xml:space="preserve"> and losses in certain foreign jurisdictions for which no benefit can be recorded.</w:t>
      </w:r>
      <w:r>
        <w:rPr>
          <w:rFonts w:ascii="Times New Roman" w:eastAsia="Times New Roman" w:hAnsi="Times New Roman" w:cs="Times New Roman"/>
          <w:b w:val="0"/>
          <w:i w:val="0"/>
          <w:color w:val="000000"/>
          <w:sz w:val="20"/>
          <w:u w:val="none"/>
        </w:rPr>
        <w:t xml:space="preserve">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Organization for Economic Cooperation and Development enacted model rules for a </w:t>
      </w:r>
      <w:r>
        <w:rPr>
          <w:rFonts w:ascii="Times New Roman" w:eastAsia="Times New Roman" w:hAnsi="Times New Roman" w:cs="Times New Roman"/>
          <w:b w:val="0"/>
          <w:i w:val="0"/>
          <w:color w:val="000000"/>
          <w:sz w:val="20"/>
          <w:u w:val="none"/>
        </w:rPr>
        <w:t>15%</w:t>
      </w:r>
      <w:r>
        <w:rPr>
          <w:rFonts w:ascii="Times New Roman" w:eastAsia="Times New Roman" w:hAnsi="Times New Roman" w:cs="Times New Roman"/>
          <w:b w:val="0"/>
          <w:i w:val="0"/>
          <w:color w:val="000000"/>
          <w:sz w:val="20"/>
          <w:u w:val="none"/>
        </w:rPr>
        <w:t xml:space="preserve"> global minimum tax framework ("Pillar Two"), which became effective for the Company in fiscal year 2025. There remains uncertainty as to the final Pillar Two model rules. The Company continues to evaluate the Pillar Two rules and their potential impact on future periods but does not expect the rules to have a material impact on the effective tax rate.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On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the One Big Beautiful Bill Act ("OBBBA") was enacted in the U</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S.</w:t>
      </w:r>
      <w:r>
        <w:rPr>
          <w:rFonts w:ascii="Times New Roman" w:eastAsia="Times New Roman" w:hAnsi="Times New Roman" w:cs="Times New Roman"/>
          <w:b w:val="0"/>
          <w:i w:val="0"/>
          <w:color w:val="000000"/>
          <w:sz w:val="20"/>
          <w:u w:val="none"/>
        </w:rPr>
        <w:t xml:space="preserve"> The OBBBA includes </w:t>
      </w:r>
      <w:r>
        <w:rPr>
          <w:rFonts w:ascii="Times New Roman" w:eastAsia="Times New Roman" w:hAnsi="Times New Roman" w:cs="Times New Roman"/>
          <w:b w:val="0"/>
          <w:i w:val="0"/>
          <w:color w:val="000000"/>
          <w:sz w:val="20"/>
          <w:u w:val="none"/>
        </w:rPr>
        <w:t>significant</w:t>
      </w:r>
      <w:r>
        <w:rPr>
          <w:rFonts w:ascii="Times New Roman" w:eastAsia="Times New Roman" w:hAnsi="Times New Roman" w:cs="Times New Roman"/>
          <w:b w:val="0"/>
          <w:i w:val="0"/>
          <w:color w:val="000000"/>
          <w:sz w:val="20"/>
          <w:u w:val="none"/>
        </w:rPr>
        <w:t xml:space="preserve"> provisions, such as the permanent extension of certain expiring provisions of the Tax Cuts and Jobs Act, modi</w:t>
      </w:r>
      <w:r>
        <w:rPr>
          <w:rFonts w:ascii="Times New Roman" w:eastAsia="Times New Roman" w:hAnsi="Times New Roman" w:cs="Times New Roman"/>
          <w:b w:val="0"/>
          <w:i w:val="0"/>
          <w:color w:val="000000"/>
          <w:sz w:val="20"/>
          <w:u w:val="none"/>
        </w:rPr>
        <w:t>fica</w:t>
      </w:r>
      <w:r>
        <w:rPr>
          <w:rFonts w:ascii="Times New Roman" w:eastAsia="Times New Roman" w:hAnsi="Times New Roman" w:cs="Times New Roman"/>
          <w:b w:val="0"/>
          <w:i w:val="0"/>
          <w:color w:val="000000"/>
          <w:sz w:val="20"/>
          <w:u w:val="none"/>
        </w:rPr>
        <w:t xml:space="preserve">tions to the international tax framework </w:t>
      </w:r>
      <w:r>
        <w:rPr>
          <w:rFonts w:ascii="Times New Roman" w:eastAsia="Times New Roman" w:hAnsi="Times New Roman" w:cs="Times New Roman"/>
          <w:b w:val="0"/>
          <w:i w:val="0"/>
          <w:color w:val="000000"/>
          <w:sz w:val="20"/>
          <w:u w:val="none"/>
        </w:rPr>
        <w:t>and</w:t>
      </w:r>
      <w:r>
        <w:rPr>
          <w:rFonts w:ascii="Times New Roman" w:eastAsia="Times New Roman" w:hAnsi="Times New Roman" w:cs="Times New Roman"/>
          <w:b w:val="0"/>
          <w:i w:val="0"/>
          <w:color w:val="000000"/>
          <w:sz w:val="20"/>
          <w:u w:val="none"/>
        </w:rPr>
        <w:t xml:space="preserve"> the restoration of favo</w:t>
      </w:r>
      <w:r>
        <w:rPr>
          <w:rFonts w:ascii="Times New Roman" w:eastAsia="Times New Roman" w:hAnsi="Times New Roman" w:cs="Times New Roman"/>
          <w:b w:val="0"/>
          <w:i w:val="0"/>
          <w:color w:val="000000"/>
          <w:sz w:val="20"/>
          <w:u w:val="none"/>
        </w:rPr>
        <w:t>rable tax treatment fo</w:t>
      </w:r>
      <w:r>
        <w:rPr>
          <w:rFonts w:ascii="Times New Roman" w:eastAsia="Times New Roman" w:hAnsi="Times New Roman" w:cs="Times New Roman"/>
          <w:b w:val="0"/>
          <w:i w:val="0"/>
          <w:color w:val="000000"/>
          <w:sz w:val="20"/>
          <w:u w:val="none"/>
        </w:rPr>
        <w:t>r certain business provisions, including the op</w:t>
      </w:r>
      <w:r>
        <w:rPr>
          <w:rFonts w:ascii="Times New Roman" w:eastAsia="Times New Roman" w:hAnsi="Times New Roman" w:cs="Times New Roman"/>
          <w:b w:val="0"/>
          <w:i w:val="0"/>
          <w:color w:val="000000"/>
          <w:sz w:val="20"/>
          <w:u w:val="none"/>
        </w:rPr>
        <w:t xml:space="preserve">tion to claim 100% accelerated depreciation deductions on qualified </w:t>
      </w:r>
      <w:r>
        <w:rPr>
          <w:rFonts w:ascii="Times New Roman" w:eastAsia="Times New Roman" w:hAnsi="Times New Roman" w:cs="Times New Roman"/>
          <w:b w:val="0"/>
          <w:i w:val="0"/>
          <w:color w:val="000000"/>
          <w:sz w:val="20"/>
          <w:u w:val="none"/>
        </w:rPr>
        <w:t>property</w:t>
      </w:r>
      <w:r>
        <w:rPr>
          <w:rFonts w:ascii="Times New Roman" w:eastAsia="Times New Roman" w:hAnsi="Times New Roman" w:cs="Times New Roman"/>
          <w:b w:val="0"/>
          <w:i w:val="0"/>
          <w:color w:val="000000"/>
          <w:sz w:val="20"/>
          <w:u w:val="none"/>
        </w:rPr>
        <w:t>, with retro</w:t>
      </w:r>
      <w:r>
        <w:rPr>
          <w:rFonts w:ascii="Times New Roman" w:eastAsia="Times New Roman" w:hAnsi="Times New Roman" w:cs="Times New Roman"/>
          <w:b w:val="0"/>
          <w:i w:val="0"/>
          <w:color w:val="000000"/>
          <w:sz w:val="20"/>
          <w:u w:val="none"/>
        </w:rPr>
        <w:t xml:space="preserve">active application beginning </w:t>
      </w:r>
      <w:r>
        <w:rPr>
          <w:rFonts w:ascii="Times New Roman" w:eastAsia="Times New Roman" w:hAnsi="Times New Roman" w:cs="Times New Roman"/>
          <w:b w:val="0"/>
          <w:i w:val="0"/>
          <w:color w:val="000000"/>
          <w:sz w:val="20"/>
          <w:u w:val="none"/>
        </w:rPr>
        <w:t>January 20, 2025</w:t>
      </w:r>
      <w:r>
        <w:rPr>
          <w:rFonts w:ascii="Times New Roman" w:eastAsia="Times New Roman" w:hAnsi="Times New Roman" w:cs="Times New Roman"/>
          <w:b w:val="0"/>
          <w:i w:val="0"/>
          <w:color w:val="000000"/>
          <w:sz w:val="20"/>
          <w:u w:val="none"/>
        </w:rPr>
        <w:t>. The legislation has multiple effective dates, with the 100% accelerated depreciation deduction starting to be effective during</w:t>
      </w:r>
      <w:r>
        <w:rPr>
          <w:rFonts w:ascii="Times New Roman" w:eastAsia="Times New Roman" w:hAnsi="Times New Roman" w:cs="Times New Roman"/>
          <w:b w:val="0"/>
          <w:i w:val="0"/>
          <w:color w:val="000000"/>
          <w:sz w:val="20"/>
          <w:u w:val="none"/>
        </w:rPr>
        <w:t xml:space="preserve"> the</w:t>
      </w:r>
      <w:r>
        <w:rPr>
          <w:rFonts w:ascii="Times New Roman" w:eastAsia="Times New Roman" w:hAnsi="Times New Roman" w:cs="Times New Roman"/>
          <w:b w:val="0"/>
          <w:i w:val="0"/>
          <w:color w:val="000000"/>
          <w:sz w:val="20"/>
          <w:u w:val="none"/>
        </w:rPr>
        <w:t xml:space="preserve"> fiscal year ending </w:t>
      </w:r>
      <w:r>
        <w:rPr>
          <w:rFonts w:ascii="Times New Roman" w:eastAsia="Times New Roman" w:hAnsi="Times New Roman" w:cs="Times New Roman"/>
          <w:b w:val="0"/>
          <w:i w:val="0"/>
          <w:color w:val="000000"/>
          <w:sz w:val="20"/>
          <w:u w:val="none"/>
        </w:rPr>
        <w:t xml:space="preserve">on October </w:t>
      </w:r>
      <w:r>
        <w:rPr>
          <w:rFonts w:ascii="Times New Roman" w:eastAsia="Times New Roman" w:hAnsi="Times New Roman" w:cs="Times New Roman"/>
          <w:b w:val="0"/>
          <w:i w:val="0"/>
          <w:color w:val="000000"/>
          <w:sz w:val="20"/>
          <w:u w:val="none"/>
        </w:rPr>
        <w:t>3, 2</w:t>
      </w:r>
      <w:r>
        <w:rPr>
          <w:rFonts w:ascii="Times New Roman" w:eastAsia="Times New Roman" w:hAnsi="Times New Roman" w:cs="Times New Roman"/>
          <w:b w:val="0"/>
          <w:i w:val="0"/>
          <w:color w:val="000000"/>
          <w:sz w:val="20"/>
          <w:u w:val="none"/>
        </w:rPr>
        <w:t>025</w:t>
      </w:r>
      <w:r>
        <w:rPr>
          <w:rFonts w:ascii="Times New Roman" w:eastAsia="Times New Roman" w:hAnsi="Times New Roman" w:cs="Times New Roman"/>
          <w:b w:val="0"/>
          <w:i w:val="0"/>
          <w:color w:val="000000"/>
          <w:sz w:val="20"/>
          <w:u w:val="none"/>
        </w:rPr>
        <w:t>, and other</w:t>
      </w:r>
      <w:r>
        <w:rPr>
          <w:rFonts w:ascii="Times New Roman" w:eastAsia="Times New Roman" w:hAnsi="Times New Roman" w:cs="Times New Roman"/>
          <w:b w:val="0"/>
          <w:i w:val="0"/>
          <w:color w:val="000000"/>
          <w:sz w:val="20"/>
          <w:u w:val="none"/>
        </w:rPr>
        <w:t xml:space="preserve">s implemented through </w:t>
      </w:r>
      <w:r>
        <w:rPr>
          <w:rFonts w:ascii="Times New Roman" w:eastAsia="Times New Roman" w:hAnsi="Times New Roman" w:cs="Times New Roman"/>
          <w:b w:val="0"/>
          <w:i w:val="0"/>
          <w:color w:val="000000"/>
          <w:sz w:val="20"/>
          <w:u w:val="none"/>
        </w:rPr>
        <w:t>future</w:t>
      </w:r>
      <w:r>
        <w:rPr>
          <w:rFonts w:ascii="Times New Roman" w:eastAsia="Times New Roman" w:hAnsi="Times New Roman" w:cs="Times New Roman"/>
          <w:b w:val="0"/>
          <w:i w:val="0"/>
          <w:color w:val="000000"/>
          <w:sz w:val="20"/>
          <w:u w:val="none"/>
        </w:rPr>
        <w:t xml:space="preserve"> years. </w:t>
      </w:r>
      <w:r>
        <w:rPr>
          <w:rFonts w:ascii="Times New Roman" w:eastAsia="Times New Roman" w:hAnsi="Times New Roman" w:cs="Times New Roman"/>
          <w:b w:val="0"/>
          <w:i w:val="0"/>
          <w:color w:val="000000"/>
          <w:sz w:val="20"/>
          <w:u w:val="none"/>
        </w:rPr>
        <w:t>The Company is</w:t>
      </w:r>
      <w:r>
        <w:rPr>
          <w:rFonts w:ascii="Times New Roman" w:eastAsia="Times New Roman" w:hAnsi="Times New Roman" w:cs="Times New Roman"/>
          <w:b w:val="0"/>
          <w:i w:val="0"/>
          <w:color w:val="000000"/>
          <w:sz w:val="20"/>
          <w:u w:val="none"/>
        </w:rPr>
        <w:t xml:space="preserve"> currently assessing</w:t>
      </w:r>
      <w:r>
        <w:rPr>
          <w:rFonts w:ascii="Times New Roman" w:eastAsia="Times New Roman" w:hAnsi="Times New Roman" w:cs="Times New Roman"/>
          <w:b w:val="0"/>
          <w:i w:val="0"/>
          <w:color w:val="000000"/>
          <w:sz w:val="20"/>
          <w:u w:val="none"/>
        </w:rPr>
        <w:t xml:space="preserve"> the</w:t>
      </w:r>
      <w:r>
        <w:rPr>
          <w:rFonts w:ascii="Times New Roman" w:eastAsia="Times New Roman" w:hAnsi="Times New Roman" w:cs="Times New Roman"/>
          <w:b w:val="0"/>
          <w:i w:val="0"/>
          <w:color w:val="000000"/>
          <w:sz w:val="20"/>
          <w:u w:val="none"/>
        </w:rPr>
        <w:t xml:space="preserve"> OBBBA's im</w:t>
      </w:r>
      <w:r>
        <w:rPr>
          <w:rFonts w:ascii="Times New Roman" w:eastAsia="Times New Roman" w:hAnsi="Times New Roman" w:cs="Times New Roman"/>
          <w:b w:val="0"/>
          <w:i w:val="0"/>
          <w:color w:val="000000"/>
          <w:sz w:val="20"/>
          <w:u w:val="none"/>
        </w:rPr>
        <w:t xml:space="preserve">pact on </w:t>
      </w:r>
      <w:r>
        <w:rPr>
          <w:rFonts w:ascii="Times New Roman" w:eastAsia="Times New Roman" w:hAnsi="Times New Roman" w:cs="Times New Roman"/>
          <w:b w:val="0"/>
          <w:i w:val="0"/>
          <w:color w:val="000000"/>
          <w:sz w:val="20"/>
          <w:u w:val="none"/>
        </w:rPr>
        <w:t>its</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future</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c</w:t>
      </w:r>
      <w:r>
        <w:rPr>
          <w:rFonts w:ascii="Times New Roman" w:eastAsia="Times New Roman" w:hAnsi="Times New Roman" w:cs="Times New Roman"/>
          <w:b w:val="0"/>
          <w:i w:val="0"/>
          <w:color w:val="000000"/>
          <w:sz w:val="20"/>
          <w:u w:val="none"/>
        </w:rPr>
        <w:t xml:space="preserve">onsolidated </w:t>
      </w:r>
      <w:r>
        <w:rPr>
          <w:rFonts w:ascii="Times New Roman" w:eastAsia="Times New Roman" w:hAnsi="Times New Roman" w:cs="Times New Roman"/>
          <w:b w:val="0"/>
          <w:i w:val="0"/>
          <w:color w:val="000000"/>
          <w:sz w:val="20"/>
          <w:u w:val="none"/>
        </w:rPr>
        <w:t>f</w:t>
      </w:r>
      <w:r>
        <w:rPr>
          <w:rFonts w:ascii="Times New Roman" w:eastAsia="Times New Roman" w:hAnsi="Times New Roman" w:cs="Times New Roman"/>
          <w:b w:val="0"/>
          <w:i w:val="0"/>
          <w:color w:val="000000"/>
          <w:sz w:val="20"/>
          <w:u w:val="none"/>
        </w:rPr>
        <w:t>inancial statements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is maintaining its reinvestment assertion with respect to foreign earnings for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which is that all earnings prior to fiscal year 2018 are permanently reinvested for all countries, and that all earnings for Varex Imaging Sweden and Oy Varex Imaging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United States tax treatment of repatriated foreign earnings, the amount of deferred tax liability recorded related to the potential repatriation is approximately </w:t>
      </w:r>
      <w:r>
        <w:rPr>
          <w:rFonts w:ascii="Times New Roman" w:eastAsia="Times New Roman" w:hAnsi="Times New Roman" w:cs="Times New Roman"/>
          <w:b w:val="0"/>
          <w:i w:val="0"/>
          <w:color w:val="000000"/>
          <w:sz w:val="20"/>
          <w:u w:val="none"/>
        </w:rPr>
        <w:t>$0.1 million</w:t>
      </w:r>
      <w:r>
        <w:rPr>
          <w:rFonts w:ascii="Times New Roman" w:eastAsia="Times New Roman" w:hAnsi="Times New Roman" w:cs="Times New Roman"/>
          <w:b w:val="0"/>
          <w:i w:val="0"/>
          <w:color w:val="000000"/>
          <w:sz w:val="20"/>
          <w:u w:val="none"/>
        </w:rPr>
        <w:t>. This estimated liability is for United States state income taxes and foreign withholding taxes that would apply if the foreign earnings were repatriated in the form of a dividend.</w:t>
      </w:r>
      <w:r>
        <w:rPr>
          <w:rFonts w:ascii="Times New Roman" w:eastAsia="Times New Roman" w:hAnsi="Times New Roman" w:cs="Times New Roman"/>
          <w:b w:val="0"/>
          <w:i w:val="0"/>
          <w:color w:val="000000"/>
          <w:sz w:val="20"/>
          <w:u w:val="none"/>
        </w:rPr>
        <w:t xml:space="preserve"> </w:t>
      </w:r>
    </w:p>
    <w:p>
      <w:pPr>
        <w:keepNext w:val="0"/>
        <w:keepLines/>
        <w:pageBreakBefore w:val="0"/>
        <w:widowControl w:val="0"/>
        <w:numPr>
          <w:ilvl w:val="0"/>
          <w:numId w:val="0"/>
        </w:numPr>
        <w:spacing w:before="120" w:after="0" w:line="240" w:lineRule="exact"/>
        <w:ind w:left="0" w:right="0" w:firstLine="0"/>
        <w:jc w:val="left"/>
        <w:outlineLvl w:val="9"/>
        <w:sectPr>
          <w:headerReference w:type="default" r:id="rId33"/>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8" w:name="Section29"/>
      <w:bookmarkEnd w:id="28"/>
      <w:r>
        <w:rPr>
          <w:rFonts w:ascii="Times New Roman" w:eastAsia="Times New Roman" w:hAnsi="Times New Roman" w:cs="Times New Roman"/>
          <w:b/>
          <w:i w:val="0"/>
          <w:color w:val="000000"/>
          <w:sz w:val="20"/>
          <w:u w:val="none"/>
        </w:rPr>
        <w:t>15</w:t>
      </w:r>
      <w:r>
        <w:rPr>
          <w:rFonts w:ascii="Times New Roman" w:eastAsia="Times New Roman" w:hAnsi="Times New Roman" w:cs="Times New Roman"/>
          <w:b/>
          <w:i w:val="0"/>
          <w:sz w:val="20"/>
        </w:rPr>
        <w:t xml:space="preserve">. </w:t>
      </w:r>
      <w:r>
        <w:rPr>
          <w:rFonts w:ascii="Times New Roman" w:eastAsia="Times New Roman" w:hAnsi="Times New Roman" w:cs="Times New Roman"/>
          <w:b/>
          <w:i w:val="0"/>
          <w:color w:val="000000"/>
          <w:sz w:val="20"/>
          <w:u w:val="none"/>
        </w:rPr>
        <w:t>SEGMENT INFORMATION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The Company has </w:t>
      </w:r>
      <w:r>
        <w:rPr>
          <w:rFonts w:ascii="Times New Roman" w:eastAsia="Times New Roman" w:hAnsi="Times New Roman" w:cs="Times New Roman"/>
          <w:b w:val="0"/>
          <w:i w:val="0"/>
          <w:color w:val="000000"/>
          <w:sz w:val="20"/>
          <w:u w:val="none"/>
        </w:rPr>
        <w:t>two</w:t>
      </w:r>
      <w:r>
        <w:rPr>
          <w:rFonts w:ascii="Times New Roman" w:eastAsia="Times New Roman" w:hAnsi="Times New Roman" w:cs="Times New Roman"/>
          <w:b w:val="0"/>
          <w:i w:val="0"/>
          <w:color w:val="000000"/>
          <w:sz w:val="20"/>
          <w:u w:val="none"/>
        </w:rPr>
        <w:t xml:space="preserve"> reportable operating segments: Medical and Industrial, which aligns with how the CODM reviews the Company's performance. The segments align the Company’s products and service offerings with customer use in medical and industrial and are consistent with how the Company’s CEO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Description of Segments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Medical segment designs, manufactures, sells, and services X-ray imaging components, including X-ray tubes, digital detectors and accessories, ionization chambers, high voltage connectors, image-processing software and workstations, 3D reconstruction software, computer-aided diagnostic software, automatic exposure control devices, generators, and heat exchangers. These components are used in a range of medical imaging applications including CT, mammography, oncology, cardiac, surgery, dental, and other diagnostic radiography uses.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Industrial segment designs, develops, manufactures, sells and services X-ray imaging products for use in a number of markets, including security applications for cargo screening at ports and borders, baggage screening at airports, and nondestructive testing, irradiation, and inspection applications used in a number of other vertical markets, as well as X-ray imaging systems for industrial applications. The Company's industrial products include Linatron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X-ray linear accelerators, non-intrusive cargo inspection systems, X-ray tubes, digital detectors, high voltage connectors, and coolers. In addition, the Company licenses proprietary image-processing and detection software designed to work with other Varex products to provide packaged sub-assembly solutions to industrial customers.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Information related to the Company’s segments is as follows: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35"/>
        <w:gridCol w:w="1560"/>
        <w:gridCol w:w="75"/>
        <w:gridCol w:w="1560"/>
        <w:gridCol w:w="75"/>
        <w:gridCol w:w="1560"/>
        <w:gridCol w:w="75"/>
        <w:gridCol w:w="1560"/>
      </w:tblGrid>
      <w:tr>
        <w:tblPrEx>
          <w:tblW w:w="10800" w:type="dxa"/>
          <w:tblInd w:w="0" w:type="dxa"/>
          <w:tblLayout w:type="fixed"/>
        </w:tblPrEx>
        <w:trPr>
          <w:cantSplit/>
          <w:trHeight w:hRule="exact" w:val="285"/>
        </w:trPr>
        <w:tc>
          <w:tcPr>
            <w:tcW w:w="43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19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465"/>
        </w:trPr>
        <w:tc>
          <w:tcPr>
            <w:tcW w:w="43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Revenues, net</w:t>
            </w: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65"/>
              <w:jc w:val="left"/>
            </w:pPr>
            <w:r>
              <w:rPr>
                <w:rFonts w:ascii="Times New Roman" w:eastAsia="Times New Roman" w:hAnsi="Times New Roman" w:cs="Times New Roman"/>
                <w:b w:val="0"/>
                <w:i w:val="0"/>
                <w:color w:val="000000"/>
                <w:sz w:val="18"/>
                <w:u w:val="none"/>
              </w:rPr>
              <w:t>Medical</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142.1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148.6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440.5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437.3</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65"/>
              <w:jc w:val="left"/>
            </w:pPr>
            <w:r>
              <w:rPr>
                <w:rFonts w:ascii="Times New Roman" w:eastAsia="Times New Roman" w:hAnsi="Times New Roman" w:cs="Times New Roman"/>
                <w:b w:val="0"/>
                <w:i w:val="0"/>
                <w:color w:val="000000"/>
                <w:sz w:val="18"/>
                <w:u w:val="none"/>
              </w:rPr>
              <w:t>Industrial</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60.9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175.2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168.0</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Total revenues, net</w:t>
            </w: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203.0</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209.1</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615.7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605.3</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Gross profit</w:t>
            </w: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65"/>
              <w:jc w:val="left"/>
            </w:pPr>
            <w:r>
              <w:rPr>
                <w:rFonts w:ascii="Times New Roman" w:eastAsia="Times New Roman" w:hAnsi="Times New Roman" w:cs="Times New Roman"/>
                <w:b w:val="0"/>
                <w:i w:val="0"/>
                <w:color w:val="000000"/>
                <w:sz w:val="18"/>
                <w:u w:val="none"/>
              </w:rPr>
              <w:t>Medical</w:t>
            </w: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46.7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46.2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152.1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129.8</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65"/>
              <w:jc w:val="left"/>
            </w:pPr>
            <w:r>
              <w:rPr>
                <w:rFonts w:ascii="Times New Roman" w:eastAsia="Times New Roman" w:hAnsi="Times New Roman" w:cs="Times New Roman"/>
                <w:b w:val="0"/>
                <w:i w:val="0"/>
                <w:color w:val="000000"/>
                <w:sz w:val="18"/>
                <w:u w:val="none"/>
              </w:rPr>
              <w:t>Industrial</w:t>
            </w: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20.8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20.7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60.6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75" w:after="30" w:line="240" w:lineRule="auto"/>
              <w:jc w:val="right"/>
            </w:pPr>
            <w:r>
              <w:rPr>
                <w:rFonts w:ascii="Times New Roman" w:eastAsia="Times New Roman" w:hAnsi="Times New Roman" w:cs="Times New Roman"/>
                <w:b w:val="0"/>
                <w:i w:val="0"/>
                <w:color w:val="000000"/>
                <w:sz w:val="18"/>
                <w:u w:val="none"/>
              </w:rPr>
              <w:tab/>
              <w:t>60.0</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Total gross profit</w:t>
            </w: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67.5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66.9</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212.7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189.8</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Total operating expenses</w:t>
            </w: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148.2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19"/>
                <w:tab w:val="left" w:pos="1492"/>
              </w:tabs>
              <w:spacing w:before="55" w:after="30" w:line="240" w:lineRule="auto"/>
              <w:jc w:val="right"/>
            </w:pPr>
            <w:r>
              <w:rPr>
                <w:rFonts w:ascii="Times New Roman" w:eastAsia="Times New Roman" w:hAnsi="Times New Roman" w:cs="Times New Roman"/>
                <w:b w:val="0"/>
                <w:i w:val="0"/>
                <w:color w:val="000000"/>
                <w:sz w:val="18"/>
                <w:u w:val="none"/>
              </w:rPr>
              <w:tab/>
              <w:t>57.6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260.1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55" w:after="30" w:line="240" w:lineRule="auto"/>
              <w:jc w:val="right"/>
            </w:pPr>
            <w:r>
              <w:rPr>
                <w:rFonts w:ascii="Times New Roman" w:eastAsia="Times New Roman" w:hAnsi="Times New Roman" w:cs="Times New Roman"/>
                <w:b w:val="0"/>
                <w:i w:val="0"/>
                <w:color w:val="000000"/>
                <w:sz w:val="18"/>
                <w:u w:val="none"/>
              </w:rPr>
              <w:tab/>
              <w:t>168.6</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Interest and other expense, net</w:t>
            </w: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129"/>
              </w:tabs>
              <w:spacing w:before="55" w:after="30" w:line="240" w:lineRule="auto"/>
              <w:jc w:val="right"/>
            </w:pPr>
            <w:r>
              <w:rPr>
                <w:rFonts w:ascii="Times New Roman" w:eastAsia="Times New Roman" w:hAnsi="Times New Roman" w:cs="Times New Roman"/>
                <w:b w:val="0"/>
                <w:i w:val="0"/>
                <w:color w:val="000000"/>
                <w:sz w:val="18"/>
                <w:u w:val="none"/>
              </w:rPr>
              <w:tab/>
              <w:t>(5.9)</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129"/>
              </w:tabs>
              <w:spacing w:before="55" w:after="30" w:line="240" w:lineRule="auto"/>
              <w:jc w:val="right"/>
            </w:pPr>
            <w:r>
              <w:rPr>
                <w:rFonts w:ascii="Times New Roman" w:eastAsia="Times New Roman" w:hAnsi="Times New Roman" w:cs="Times New Roman"/>
                <w:b w:val="0"/>
                <w:i w:val="0"/>
                <w:color w:val="000000"/>
                <w:sz w:val="18"/>
                <w:u w:val="none"/>
              </w:rPr>
              <w:tab/>
              <w:t>(8.5)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(25.9)</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(18.7)</w:t>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(Loss) income before taxes</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(86.6)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(73.3)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2.5</w:t>
              <w:tab/>
            </w:r>
          </w:p>
        </w:tc>
      </w:tr>
      <w:tr>
        <w:tblPrEx>
          <w:tblW w:w="10800" w:type="dxa"/>
          <w:tblInd w:w="0" w:type="dxa"/>
          <w:tblLayout w:type="fixed"/>
        </w:tblPrEx>
        <w:trPr>
          <w:cantSplit/>
          <w:trHeight w:hRule="exact" w:val="285"/>
        </w:trPr>
        <w:tc>
          <w:tcPr>
            <w:tcW w:w="43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Income tax expense (benefit)</w:t>
            </w: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2.5</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(0.7)</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8.8</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(0.2)</w:t>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 income</w:t>
            </w: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ab/>
              <w:t>(82.1)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ab/>
              <w:t>2.7</w:t>
              <w:tab/>
            </w:r>
          </w:p>
        </w:tc>
      </w:tr>
      <w:tr>
        <w:tblPrEx>
          <w:tblW w:w="10800" w:type="dxa"/>
          <w:tblInd w:w="0" w:type="dxa"/>
          <w:tblLayout w:type="fixed"/>
        </w:tblPrEx>
        <w:trPr>
          <w:cantSplit/>
          <w:trHeight w:hRule="exact" w:val="285"/>
        </w:trPr>
        <w:tc>
          <w:tcPr>
            <w:tcW w:w="43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Less: Net income attributable to noncontrolling interests</w:t>
            </w: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ab/>
              <w:t>0.4</w:t>
              <w:tab/>
            </w:r>
          </w:p>
        </w:tc>
      </w:tr>
      <w:tr>
        <w:tblPrEx>
          <w:tblW w:w="10800" w:type="dxa"/>
          <w:tblInd w:w="0" w:type="dxa"/>
          <w:tblLayout w:type="fixed"/>
        </w:tblPrEx>
        <w:trPr>
          <w:cantSplit/>
          <w:trHeight w:hRule="exact" w:val="285"/>
        </w:trPr>
        <w:tc>
          <w:tcPr>
            <w:tcW w:w="433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Net (loss) income attributable to Varex</w:t>
            </w: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(89.1)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1.4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39"/>
              </w:tabs>
              <w:spacing w:before="55" w:after="30" w:line="240" w:lineRule="auto"/>
              <w:jc w:val="right"/>
            </w:pPr>
            <w:r>
              <w:rPr>
                <w:rFonts w:ascii="Times New Roman" w:eastAsia="Times New Roman" w:hAnsi="Times New Roman" w:cs="Times New Roman"/>
                <w:b w:val="0"/>
                <w:i w:val="0"/>
                <w:color w:val="000000"/>
                <w:sz w:val="18"/>
                <w:u w:val="none"/>
              </w:rPr>
              <w:t>$</w:t>
              <w:tab/>
              <w:t>(82.5)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09"/>
                <w:tab w:val="left" w:pos="1492"/>
              </w:tabs>
              <w:spacing w:before="55" w:after="30" w:line="240" w:lineRule="auto"/>
              <w:jc w:val="right"/>
            </w:pPr>
            <w:r>
              <w:rPr>
                <w:rFonts w:ascii="Times New Roman" w:eastAsia="Times New Roman" w:hAnsi="Times New Roman" w:cs="Times New Roman"/>
                <w:b w:val="0"/>
                <w:i w:val="0"/>
                <w:color w:val="000000"/>
                <w:sz w:val="18"/>
                <w:u w:val="none"/>
              </w:rPr>
              <w:t>$</w:t>
              <w:tab/>
              <w:t>2.3</w:t>
              <w:tab/>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The Company does not disclose total assets by segment as this information is not provided to the CODM.</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sectPr>
          <w:headerReference w:type="default" r:id="rId34"/>
          <w:type w:val="continuous"/>
          <w:pgSz w:w="12240" w:h="15840"/>
          <w:pgMar w:top="1080" w:right="720" w:bottom="1080" w:left="720" w:header="270" w:footer="270"/>
          <w:cols w:space="708"/>
        </w:sectPr>
      </w:pPr>
    </w:p>
    <w:p>
      <w:pPr>
        <w:keepNext w:val="0"/>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9" w:name="Section30"/>
      <w:bookmarkEnd w:id="29"/>
      <w:r>
        <w:rPr>
          <w:rFonts w:ascii="Times New Roman" w:eastAsia="Times New Roman" w:hAnsi="Times New Roman" w:cs="Times New Roman"/>
          <w:b/>
          <w:i w:val="0"/>
          <w:color w:val="000000"/>
          <w:sz w:val="20"/>
          <w:u w:val="none"/>
        </w:rPr>
        <w:t>16</w:t>
      </w:r>
      <w:r>
        <w:rPr>
          <w:rFonts w:ascii="Times New Roman" w:eastAsia="Times New Roman" w:hAnsi="Times New Roman" w:cs="Times New Roman"/>
          <w:b/>
          <w:i w:val="0"/>
          <w:sz w:val="20"/>
        </w:rPr>
        <w:t>.</w:t>
      </w:r>
      <w:r>
        <w:rPr>
          <w:rFonts w:ascii="Times New Roman" w:eastAsia="Times New Roman" w:hAnsi="Times New Roman" w:cs="Times New Roman"/>
          <w:b/>
          <w:i w:val="0"/>
          <w:color w:val="000000"/>
          <w:sz w:val="20"/>
          <w:u w:val="none"/>
        </w:rPr>
        <w:t xml:space="preserve"> </w:t>
      </w:r>
      <w:r>
        <w:rPr>
          <w:rFonts w:ascii="Times New Roman" w:eastAsia="Times New Roman" w:hAnsi="Times New Roman" w:cs="Times New Roman"/>
          <w:b/>
          <w:i w:val="0"/>
          <w:color w:val="000000"/>
          <w:sz w:val="20"/>
          <w:u w:val="none"/>
        </w:rPr>
        <w:t>OTHER FINANCIAL INFORMATION</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i/>
          <w:color w:val="000000"/>
          <w:sz w:val="24"/>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shd w:val="clear" w:color="auto" w:fill="FFFFFF"/>
        </w:rPr>
        <w:t xml:space="preserve">The following table summarizes the Company’s </w:t>
      </w:r>
      <w:r>
        <w:rPr>
          <w:rFonts w:ascii="Times New Roman" w:eastAsia="Times New Roman" w:hAnsi="Times New Roman" w:cs="Times New Roman"/>
          <w:b w:val="0"/>
          <w:i w:val="0"/>
          <w:color w:val="000000"/>
          <w:sz w:val="20"/>
          <w:u w:val="none"/>
        </w:rPr>
        <w:t>accrued liabilities and other current liabilities</w:t>
      </w:r>
      <w:r>
        <w:rPr>
          <w:rFonts w:ascii="Times New Roman" w:eastAsia="Times New Roman" w:hAnsi="Times New Roman" w:cs="Times New Roman"/>
          <w:b w:val="0"/>
          <w:i w:val="0"/>
          <w:color w:val="000000"/>
          <w:sz w:val="20"/>
          <w:u w:val="none"/>
          <w:shd w:val="clear" w:color="auto" w:fill="FFFFFF"/>
        </w:rPr>
        <w: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395"/>
        <w:gridCol w:w="1665"/>
        <w:gridCol w:w="75"/>
        <w:gridCol w:w="1665"/>
      </w:tblGrid>
      <w:tr>
        <w:tblPrEx>
          <w:tblW w:w="10800" w:type="dxa"/>
          <w:tblInd w:w="0" w:type="dxa"/>
          <w:tblLayout w:type="fixed"/>
        </w:tblPrEx>
        <w:trPr>
          <w:cantSplit/>
          <w:trHeight w:hRule="exact" w:val="285"/>
        </w:trPr>
        <w:tc>
          <w:tcPr>
            <w:tcW w:w="739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166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6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ind w:left="225" w:hanging="180"/>
              <w:jc w:val="left"/>
            </w:pPr>
            <w:r>
              <w:rPr>
                <w:rFonts w:ascii="Times New Roman" w:eastAsia="Times New Roman" w:hAnsi="Times New Roman" w:cs="Times New Roman"/>
                <w:b w:val="0"/>
                <w:i w:val="0"/>
                <w:color w:val="000000"/>
                <w:sz w:val="18"/>
                <w:u w:val="none"/>
              </w:rPr>
              <w:t>Accrued compensation and benefits</w:t>
            </w:r>
          </w:p>
        </w:tc>
        <w:tc>
          <w:tcPr>
            <w:tcW w:w="16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24"/>
                <w:tab w:val="left" w:pos="1597"/>
              </w:tabs>
              <w:spacing w:before="55" w:after="30" w:line="240" w:lineRule="auto"/>
              <w:jc w:val="right"/>
            </w:pPr>
            <w:r>
              <w:rPr>
                <w:rFonts w:ascii="Times New Roman" w:eastAsia="Times New Roman" w:hAnsi="Times New Roman" w:cs="Times New Roman"/>
                <w:b w:val="0"/>
                <w:i w:val="0"/>
                <w:color w:val="000000"/>
                <w:sz w:val="18"/>
                <w:u w:val="none"/>
              </w:rPr>
              <w:t>$</w:t>
              <w:tab/>
              <w:t>37.0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24"/>
                <w:tab w:val="left" w:pos="1597"/>
              </w:tabs>
              <w:spacing w:before="55" w:after="30" w:line="240" w:lineRule="auto"/>
              <w:jc w:val="right"/>
            </w:pPr>
            <w:r>
              <w:rPr>
                <w:rFonts w:ascii="Times New Roman" w:eastAsia="Times New Roman" w:hAnsi="Times New Roman" w:cs="Times New Roman"/>
                <w:b w:val="0"/>
                <w:i w:val="0"/>
                <w:color w:val="000000"/>
                <w:sz w:val="18"/>
                <w:u w:val="none"/>
              </w:rPr>
              <w:t>$</w:t>
              <w:tab/>
              <w:t>30.0</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Product warranty</w:t>
            </w: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9.2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24"/>
                <w:tab w:val="left" w:pos="1597"/>
              </w:tabs>
              <w:spacing w:before="75" w:after="30" w:line="240" w:lineRule="auto"/>
              <w:jc w:val="right"/>
            </w:pPr>
            <w:r>
              <w:rPr>
                <w:rFonts w:ascii="Times New Roman" w:eastAsia="Times New Roman" w:hAnsi="Times New Roman" w:cs="Times New Roman"/>
                <w:b w:val="0"/>
                <w:i w:val="0"/>
                <w:color w:val="000000"/>
                <w:sz w:val="18"/>
                <w:u w:val="none"/>
              </w:rPr>
              <w:tab/>
              <w:t>10.8</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Taxes payable</w:t>
            </w:r>
          </w:p>
        </w:tc>
        <w:tc>
          <w:tcPr>
            <w:tcW w:w="16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3.5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8.1</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Refund liability</w:t>
            </w: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7.6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7.5</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Derivative liabilities</w:t>
            </w:r>
          </w:p>
        </w:tc>
        <w:tc>
          <w:tcPr>
            <w:tcW w:w="16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24"/>
                <w:tab w:val="left" w:pos="1597"/>
              </w:tabs>
              <w:spacing w:before="75" w:after="30" w:line="240" w:lineRule="auto"/>
              <w:jc w:val="right"/>
            </w:pPr>
            <w:r>
              <w:rPr>
                <w:rFonts w:ascii="Times New Roman" w:eastAsia="Times New Roman" w:hAnsi="Times New Roman" w:cs="Times New Roman"/>
                <w:b w:val="0"/>
                <w:i w:val="0"/>
                <w:color w:val="000000"/>
                <w:sz w:val="18"/>
                <w:u w:val="none"/>
              </w:rPr>
              <w:tab/>
              <w:t>10.5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59"/>
                <w:tab w:val="left" w:pos="159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Accrued interest</w:t>
            </w: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97"/>
              </w:tabs>
              <w:spacing w:before="75" w:after="30" w:line="240" w:lineRule="auto"/>
              <w:jc w:val="right"/>
            </w:pPr>
            <w:r>
              <w:rPr>
                <w:rFonts w:ascii="Times New Roman" w:eastAsia="Times New Roman" w:hAnsi="Times New Roman" w:cs="Times New Roman"/>
                <w:b w:val="0"/>
                <w:i w:val="0"/>
                <w:color w:val="000000"/>
                <w:sz w:val="18"/>
                <w:u w:val="none"/>
              </w:rPr>
              <w:tab/>
              <w:t>6.3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24"/>
                <w:tab w:val="left" w:pos="1597"/>
              </w:tabs>
              <w:spacing w:before="75" w:after="30" w:line="240" w:lineRule="auto"/>
              <w:jc w:val="right"/>
            </w:pPr>
            <w:r>
              <w:rPr>
                <w:rFonts w:ascii="Times New Roman" w:eastAsia="Times New Roman" w:hAnsi="Times New Roman" w:cs="Times New Roman"/>
                <w:b w:val="0"/>
                <w:i w:val="0"/>
                <w:color w:val="000000"/>
                <w:sz w:val="18"/>
                <w:u w:val="none"/>
              </w:rPr>
              <w:tab/>
              <w:t>11.7</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hanging="180"/>
              <w:jc w:val="left"/>
            </w:pPr>
            <w:r>
              <w:rPr>
                <w:rFonts w:ascii="Times New Roman" w:eastAsia="Times New Roman" w:hAnsi="Times New Roman" w:cs="Times New Roman"/>
                <w:b w:val="0"/>
                <w:i w:val="0"/>
                <w:color w:val="000000"/>
                <w:sz w:val="18"/>
                <w:u w:val="none"/>
              </w:rPr>
              <w:t>Other</w:t>
            </w:r>
          </w:p>
        </w:tc>
        <w:tc>
          <w:tcPr>
            <w:tcW w:w="16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24"/>
                <w:tab w:val="left" w:pos="1597"/>
              </w:tabs>
              <w:spacing w:before="75" w:after="30" w:line="240" w:lineRule="auto"/>
              <w:jc w:val="right"/>
            </w:pPr>
            <w:r>
              <w:rPr>
                <w:rFonts w:ascii="Times New Roman" w:eastAsia="Times New Roman" w:hAnsi="Times New Roman" w:cs="Times New Roman"/>
                <w:b w:val="0"/>
                <w:i w:val="0"/>
                <w:color w:val="000000"/>
                <w:sz w:val="18"/>
                <w:u w:val="none"/>
              </w:rPr>
              <w:tab/>
              <w:t>11.9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24"/>
                <w:tab w:val="left" w:pos="1597"/>
              </w:tabs>
              <w:spacing w:before="75" w:after="30" w:line="240" w:lineRule="auto"/>
              <w:jc w:val="right"/>
            </w:pPr>
            <w:r>
              <w:rPr>
                <w:rFonts w:ascii="Times New Roman" w:eastAsia="Times New Roman" w:hAnsi="Times New Roman" w:cs="Times New Roman"/>
                <w:b w:val="0"/>
                <w:i w:val="0"/>
                <w:color w:val="000000"/>
                <w:sz w:val="18"/>
                <w:u w:val="none"/>
              </w:rPr>
              <w:tab/>
              <w:t>10.5</w:t>
              <w:tab/>
            </w:r>
          </w:p>
        </w:tc>
      </w:tr>
      <w:tr>
        <w:tblPrEx>
          <w:tblW w:w="10800" w:type="dxa"/>
          <w:tblInd w:w="0" w:type="dxa"/>
          <w:tblLayout w:type="fixed"/>
        </w:tblPrEx>
        <w:trPr>
          <w:cantSplit/>
          <w:trHeight w:hRule="exact" w:val="285"/>
        </w:trPr>
        <w:tc>
          <w:tcPr>
            <w:tcW w:w="73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720" w:hanging="180"/>
              <w:jc w:val="left"/>
            </w:pPr>
            <w:r>
              <w:rPr>
                <w:rFonts w:ascii="Times New Roman" w:eastAsia="Times New Roman" w:hAnsi="Times New Roman" w:cs="Times New Roman"/>
                <w:b w:val="0"/>
                <w:i w:val="0"/>
                <w:color w:val="000000"/>
                <w:sz w:val="18"/>
                <w:u w:val="none"/>
              </w:rPr>
              <w:t xml:space="preserve">Total </w:t>
            </w:r>
          </w:p>
        </w:tc>
        <w:tc>
          <w:tcPr>
            <w:tcW w:w="16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24"/>
                <w:tab w:val="left" w:pos="1597"/>
              </w:tabs>
              <w:spacing w:before="55" w:after="30" w:line="240" w:lineRule="auto"/>
              <w:jc w:val="right"/>
            </w:pPr>
            <w:r>
              <w:rPr>
                <w:rFonts w:ascii="Times New Roman" w:eastAsia="Times New Roman" w:hAnsi="Times New Roman" w:cs="Times New Roman"/>
                <w:b w:val="0"/>
                <w:i w:val="0"/>
                <w:color w:val="000000"/>
                <w:sz w:val="18"/>
                <w:u w:val="none"/>
              </w:rPr>
              <w:t>$</w:t>
              <w:tab/>
              <w:t>86.0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224"/>
                <w:tab w:val="left" w:pos="1597"/>
              </w:tabs>
              <w:spacing w:before="55" w:after="30" w:line="240" w:lineRule="auto"/>
              <w:jc w:val="right"/>
            </w:pPr>
            <w:r>
              <w:rPr>
                <w:rFonts w:ascii="Times New Roman" w:eastAsia="Times New Roman" w:hAnsi="Times New Roman" w:cs="Times New Roman"/>
                <w:b w:val="0"/>
                <w:i w:val="0"/>
                <w:color w:val="000000"/>
                <w:sz w:val="18"/>
                <w:u w:val="none"/>
              </w:rPr>
              <w:t>$</w:t>
              <w:tab/>
              <w:t>78.6</w:t>
              <w:tab/>
            </w:r>
          </w:p>
        </w:tc>
      </w:tr>
    </w:tbl>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pPr>
    </w:p>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color w:val="000000"/>
          <w:sz w:val="2"/>
          <w:u w:val="none"/>
        </w:rPr>
        <w:sectPr>
          <w:headerReference w:type="default" r:id="rId35"/>
          <w:type w:val="continuous"/>
          <w:pgSz w:w="12240" w:h="15840"/>
          <w:pgMar w:top="1080" w:right="720" w:bottom="1080" w:left="720" w:header="270" w:footer="270"/>
          <w:cols w:space="708"/>
        </w:sectPr>
      </w:pPr>
    </w:p>
    <w:p>
      <w:pPr>
        <w:keepNext/>
        <w:keepLines/>
        <w:pageBreakBefore w:val="0"/>
        <w:widowControl w:val="0"/>
        <w:numPr>
          <w:ilvl w:val="0"/>
          <w:numId w:val="0"/>
        </w:numPr>
        <w:spacing w:before="0" w:after="0" w:line="288" w:lineRule="auto"/>
        <w:ind w:left="0" w:right="0" w:firstLine="0"/>
        <w:jc w:val="left"/>
        <w:outlineLvl w:val="1"/>
        <w:rPr>
          <w:rFonts w:ascii="Times New Roman" w:eastAsia="Times New Roman" w:hAnsi="Times New Roman" w:cs="Times New Roman"/>
          <w:b/>
          <w:i w:val="0"/>
          <w:sz w:val="20"/>
        </w:rPr>
      </w:pPr>
      <w:bookmarkStart w:id="30" w:name="Section31"/>
      <w:bookmarkEnd w:id="30"/>
      <w:r>
        <w:rPr>
          <w:rFonts w:ascii="Times New Roman" w:eastAsia="Times New Roman" w:hAnsi="Times New Roman" w:cs="Times New Roman"/>
          <w:b/>
          <w:i w:val="0"/>
          <w:sz w:val="20"/>
        </w:rPr>
        <w:t xml:space="preserve"> Item 2. </w:t>
      </w:r>
      <w:r>
        <w:rPr>
          <w:rFonts w:ascii="Times New Roman" w:eastAsia="Times New Roman" w:hAnsi="Times New Roman" w:cs="Times New Roman"/>
          <w:b/>
          <w:i w:val="0"/>
          <w:color w:val="000000"/>
          <w:sz w:val="20"/>
          <w:u w:val="none"/>
        </w:rPr>
        <w:t>Management’s Discussion and Analysis of Financial Condition and Results of Operations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 xml:space="preserve">The following discussion and analysis of our financial condition and results of operations should be read together with the unaudited </w:t>
      </w:r>
      <w:r>
        <w:rPr>
          <w:rFonts w:ascii="Times New Roman" w:eastAsia="Times New Roman" w:hAnsi="Times New Roman" w:cs="Times New Roman"/>
          <w:b w:val="0"/>
          <w:i/>
          <w:color w:val="000000"/>
          <w:sz w:val="20"/>
          <w:u w:val="none"/>
        </w:rPr>
        <w:t>Condensed Consolidated Financial Statements</w:t>
      </w:r>
      <w:r>
        <w:rPr>
          <w:rFonts w:ascii="Times New Roman" w:eastAsia="Times New Roman" w:hAnsi="Times New Roman" w:cs="Times New Roman"/>
          <w:b w:val="0"/>
          <w:i/>
          <w:sz w:val="20"/>
        </w:rPr>
        <w:t xml:space="preserve"> and notes thereto that are contained in this Quarterly Report on Form 10-Q (this "Quarterly Report") as well as our Annual Report on Form 10-K for the fiscal year ended </w:t>
      </w:r>
      <w:r>
        <w:rPr>
          <w:rFonts w:ascii="Times New Roman" w:eastAsia="Times New Roman" w:hAnsi="Times New Roman" w:cs="Times New Roman"/>
          <w:b w:val="0"/>
          <w:i/>
          <w:color w:val="000000"/>
          <w:sz w:val="20"/>
          <w:u w:val="none"/>
        </w:rPr>
        <w:t>September 27, 2024</w:t>
      </w:r>
      <w:r>
        <w:rPr>
          <w:rFonts w:ascii="Times New Roman" w:eastAsia="Times New Roman" w:hAnsi="Times New Roman" w:cs="Times New Roman"/>
          <w:b w:val="0"/>
          <w:i/>
          <w:sz w:val="20"/>
        </w:rPr>
        <w:t xml:space="preserve"> ("Annual Report") and our other filings, including the Current Reports on Form 8-K, that have been filed with the Securities and Exchange Commission ("SEC") through the date of this report.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In this Quarterly Report, unless otherwise specified or the context otherwise requires, the "Company," "Varex," "we," "us," and "our" refer to Varex Imaging Corporation.</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Forward-Looking Statements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This Quarterly Report </w:t>
      </w:r>
      <w:r>
        <w:rPr>
          <w:rFonts w:ascii="Times New Roman" w:eastAsia="Times New Roman" w:hAnsi="Times New Roman" w:cs="Times New Roman"/>
          <w:b w:val="0"/>
          <w:i w:val="0"/>
          <w:color w:val="000000"/>
          <w:sz w:val="20"/>
          <w:u w:val="none"/>
        </w:rPr>
        <w:t>contains “forward-looking” statements within the meaning of the Private Securities Litigation Reform Act of 1995</w:t>
      </w:r>
      <w:r>
        <w:rPr>
          <w:rFonts w:ascii="Times New Roman" w:eastAsia="Times New Roman" w:hAnsi="Times New Roman" w:cs="Times New Roman"/>
          <w:b w:val="0"/>
          <w:i w:val="0"/>
          <w:sz w:val="20"/>
        </w:rPr>
        <w:t>, which provides a “safe harbor” for statements about future events, products, and future financial performance that are based on the beliefs of, estimates made by, and information currently available to the management of Varex. Actual results and the outcome or timing of certain events described in these forward-looking statements are subject to risk</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and uncertainties and may differ significantly from those described. Important factors that could cause our actual results and financial condition to differ significantly from those projections or expectations include, among other things, the following:</w:t>
      </w:r>
    </w:p>
    <w:p>
      <w:pPr>
        <w:keepNext w:val="0"/>
        <w:keepLines/>
        <w:pageBreakBefore w:val="0"/>
        <w:widowControl w:val="0"/>
        <w:numPr>
          <w:ilvl w:val="0"/>
          <w:numId w:val="19"/>
        </w:numPr>
        <w:spacing w:before="12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reduction in or loss of business of one or more o</w:t>
      </w:r>
      <w:r>
        <w:rPr>
          <w:rFonts w:ascii="Times New Roman" w:eastAsia="Times New Roman" w:hAnsi="Times New Roman" w:cs="Times New Roman"/>
          <w:b w:val="0"/>
          <w:i w:val="0"/>
          <w:sz w:val="20"/>
        </w:rPr>
        <w:t>f</w:t>
      </w:r>
      <w:r>
        <w:rPr>
          <w:rFonts w:ascii="Times New Roman" w:eastAsia="Times New Roman" w:hAnsi="Times New Roman" w:cs="Times New Roman"/>
          <w:b w:val="0"/>
          <w:i w:val="0"/>
          <w:sz w:val="20"/>
        </w:rPr>
        <w:t xml:space="preserve"> our limited original equipment manufacturing (“OEM”) customers;</w:t>
      </w:r>
    </w:p>
    <w:p>
      <w:pPr>
        <w:keepNext w:val="0"/>
        <w:keepLines/>
        <w:pageBreakBefore w:val="0"/>
        <w:widowControl w:val="0"/>
        <w:numPr>
          <w:ilvl w:val="0"/>
          <w:numId w:val="2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changes in import/export regulatory regimes, tariffs, trade wars, and national policies, including exemptions thereto;</w:t>
      </w:r>
    </w:p>
    <w:p>
      <w:pPr>
        <w:keepNext w:val="0"/>
        <w:keepLines w:val="0"/>
        <w:pageBreakBefore w:val="0"/>
        <w:widowControl/>
        <w:numPr>
          <w:ilvl w:val="0"/>
          <w:numId w:val="21"/>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loss of business to, and an inability to effectively compete with, competitors;</w:t>
      </w:r>
    </w:p>
    <w:p>
      <w:pPr>
        <w:keepNext w:val="0"/>
        <w:keepLines w:val="0"/>
        <w:pageBreakBefore w:val="0"/>
        <w:widowControl/>
        <w:numPr>
          <w:ilvl w:val="0"/>
          <w:numId w:val="22"/>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pricing pressures and other factors that could result in margin erosion and loss of customers;</w:t>
      </w:r>
    </w:p>
    <w:p>
      <w:pPr>
        <w:keepNext w:val="0"/>
        <w:keepLines w:val="0"/>
        <w:pageBreakBefore w:val="0"/>
        <w:widowControl/>
        <w:numPr>
          <w:ilvl w:val="0"/>
          <w:numId w:val="23"/>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failure to meet customers’ needs and demands;</w:t>
      </w:r>
    </w:p>
    <w:p>
      <w:pPr>
        <w:keepNext w:val="0"/>
        <w:keepLines w:val="0"/>
        <w:pageBreakBefore w:val="0"/>
        <w:widowControl/>
        <w:numPr>
          <w:ilvl w:val="0"/>
          <w:numId w:val="24"/>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global, regional, and country-specific economic instability, shifting political environments, changing tax treatment</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tariff</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trade</w:t>
      </w:r>
      <w:r>
        <w:rPr>
          <w:rFonts w:ascii="Times New Roman" w:eastAsia="Times New Roman" w:hAnsi="Times New Roman" w:cs="Times New Roman"/>
          <w:b w:val="0"/>
          <w:i w:val="0"/>
          <w:sz w:val="20"/>
        </w:rPr>
        <w:t xml:space="preserve"> wars</w:t>
      </w:r>
      <w:r>
        <w:rPr>
          <w:rFonts w:ascii="Times New Roman" w:eastAsia="Times New Roman" w:hAnsi="Times New Roman" w:cs="Times New Roman"/>
          <w:b w:val="0"/>
          <w:i w:val="0"/>
          <w:sz w:val="20"/>
        </w:rPr>
        <w:t>, and other risks associated with international manufacturing, operations, and sales;</w:t>
      </w:r>
    </w:p>
    <w:p>
      <w:pPr>
        <w:keepNext w:val="0"/>
        <w:keepLines w:val="0"/>
        <w:pageBreakBefore w:val="0"/>
        <w:widowControl/>
        <w:numPr>
          <w:ilvl w:val="0"/>
          <w:numId w:val="25"/>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supply chain disruptions resulting in delayed product delivery, and increased costs as a result of reliance on a limited number of suppliers for certain key components;</w:t>
      </w:r>
    </w:p>
    <w:p>
      <w:pPr>
        <w:keepNext w:val="0"/>
        <w:keepLines w:val="0"/>
        <w:pageBreakBefore w:val="0"/>
        <w:widowControl/>
        <w:numPr>
          <w:ilvl w:val="0"/>
          <w:numId w:val="2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inability to maintain or defend our intellectual property rights, and high cost of protecting and defending such rights and defending against infringement claims;</w:t>
      </w:r>
    </w:p>
    <w:p>
      <w:pPr>
        <w:keepNext w:val="0"/>
        <w:keepLines w:val="0"/>
        <w:pageBreakBefore w:val="0"/>
        <w:widowControl/>
        <w:numPr>
          <w:ilvl w:val="0"/>
          <w:numId w:val="2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disruption of critical information systems or material breaches in the security of our systems;</w:t>
      </w:r>
    </w:p>
    <w:p>
      <w:pPr>
        <w:keepNext w:val="0"/>
        <w:keepLines w:val="0"/>
        <w:pageBreakBefore w:val="0"/>
        <w:widowControl/>
        <w:numPr>
          <w:ilvl w:val="0"/>
          <w:numId w:val="2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noncompliance with regulations applicable to marketing, manufacturing, labeling, and distributing our products and delays in obtaining regulatory clearances or approvals; </w:t>
      </w:r>
    </w:p>
    <w:p>
      <w:pPr>
        <w:keepNext w:val="0"/>
        <w:keepLines w:val="0"/>
        <w:pageBreakBefore w:val="0"/>
        <w:widowControl/>
        <w:numPr>
          <w:ilvl w:val="0"/>
          <w:numId w:val="29"/>
        </w:numPr>
        <w:spacing w:before="0" w:after="0" w:line="269"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limitations imposed by operating and financial restrictions of our debt financing agreements that could harm our long-term interests, limit our ability to make payments on our debt obligations, and impact our ability to maintain sufficient liquidity and/or to refinance our debt obligations; and </w:t>
      </w:r>
    </w:p>
    <w:p>
      <w:pPr>
        <w:keepNext w:val="0"/>
        <w:keepLines w:val="0"/>
        <w:pageBreakBefore w:val="0"/>
        <w:widowControl/>
        <w:numPr>
          <w:ilvl w:val="0"/>
          <w:numId w:val="3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other factors cited in Part I, Item 1A, "</w:t>
      </w:r>
      <w:r>
        <w:rPr>
          <w:rFonts w:ascii="Times New Roman" w:eastAsia="Times New Roman" w:hAnsi="Times New Roman" w:cs="Times New Roman"/>
          <w:b w:val="0"/>
          <w:i/>
          <w:sz w:val="20"/>
        </w:rPr>
        <w:t>Risk Factors</w:t>
      </w:r>
      <w:r>
        <w:rPr>
          <w:rFonts w:ascii="Times New Roman" w:eastAsia="Times New Roman" w:hAnsi="Times New Roman" w:cs="Times New Roman"/>
          <w:b w:val="0"/>
          <w:i w:val="0"/>
          <w:sz w:val="20"/>
        </w:rPr>
        <w:t>" in our Annual Report and in Part II, Item 1A, "</w:t>
      </w:r>
      <w:r>
        <w:rPr>
          <w:rFonts w:ascii="Times New Roman" w:eastAsia="Times New Roman" w:hAnsi="Times New Roman" w:cs="Times New Roman"/>
          <w:b w:val="0"/>
          <w:i/>
          <w:sz w:val="20"/>
        </w:rPr>
        <w:t>Risk Factors</w:t>
      </w:r>
      <w:r>
        <w:rPr>
          <w:rFonts w:ascii="Times New Roman" w:eastAsia="Times New Roman" w:hAnsi="Times New Roman" w:cs="Times New Roman"/>
          <w:b w:val="0"/>
          <w:i w:val="0"/>
          <w:sz w:val="20"/>
        </w:rPr>
        <w:t>" of this Quarterly Report.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Statements concerning legislative, tariff, and trade</w:t>
      </w:r>
      <w:r>
        <w:rPr>
          <w:rFonts w:ascii="Times New Roman" w:eastAsia="Times New Roman" w:hAnsi="Times New Roman" w:cs="Times New Roman"/>
          <w:b w:val="0"/>
          <w:i w:val="0"/>
          <w:sz w:val="20"/>
        </w:rPr>
        <w:t xml:space="preserve"> wars and trade</w:t>
      </w:r>
      <w:r>
        <w:rPr>
          <w:rFonts w:ascii="Times New Roman" w:eastAsia="Times New Roman" w:hAnsi="Times New Roman" w:cs="Times New Roman"/>
          <w:b w:val="0"/>
          <w:i w:val="0"/>
          <w:sz w:val="20"/>
        </w:rPr>
        <w:t xml:space="preserve"> policy reforms, responsive retaliatory actions by affected countries, government investigations, and the uncertainty resulting therefrom; geopolitical tensions; supply chain and logistics challenges; cost increases and expense management; changes in U.S. and worldwide economic conditions, such as the impact of inflation, and fluctuations in foreign currency exchange rates; industry or business segment outlook; customer acceptance of or transition to new products or technologies such as advanced X-ray tube and digital flat panel detector products; growth drivers; future orders, revenues, market share, backlog, earnings or other financial results; and any statements using the terms “believe,” “expect,” “anticipate,” “can,” “should,” “would,” “could,” “estimate,” “expand,” “drive”, “may,” “intend,”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Any forward-looking statement made in this Quarterly Report (including in any exhibits or documents incorporated by reference) is based only on information currently available to Varex and its management and speaks only as of the date on which it is made. </w:t>
      </w:r>
      <w:r>
        <w:rPr>
          <w:rFonts w:ascii="Times New Roman" w:eastAsia="Times New Roman" w:hAnsi="Times New Roman" w:cs="Times New Roman"/>
          <w:b w:val="0"/>
          <w:i w:val="0"/>
          <w:color w:val="000000"/>
          <w:sz w:val="20"/>
          <w:u w:val="none"/>
        </w:rPr>
        <w:t>We have not assumed any obligation to, and you should not expect us to, update or revise those statements because of new information, future events or otherwise.</w:t>
      </w:r>
    </w:p>
    <w:p>
      <w:pPr>
        <w:keepNext w:val="0"/>
        <w:keepLines w:val="0"/>
        <w:pageBreakBefore w:val="0"/>
        <w:widowControl/>
        <w:numPr>
          <w:ilvl w:val="0"/>
          <w:numId w:val="0"/>
        </w:numPr>
        <w:spacing w:before="120" w:after="0" w:line="288" w:lineRule="auto"/>
        <w:ind w:left="0" w:right="0" w:firstLine="0"/>
        <w:jc w:val="left"/>
        <w:outlineLvl w:val="9"/>
        <w:sectPr>
          <w:headerReference w:type="default" r:id="rId36"/>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val="0"/>
          <w:sz w:val="20"/>
        </w:rPr>
      </w:pPr>
      <w:bookmarkStart w:id="31" w:name="Section32"/>
      <w:bookmarkEnd w:id="31"/>
      <w:r>
        <w:rPr>
          <w:rFonts w:ascii="Times New Roman" w:eastAsia="Times New Roman" w:hAnsi="Times New Roman" w:cs="Times New Roman"/>
          <w:b/>
          <w:i w:val="0"/>
          <w:sz w:val="20"/>
        </w:rPr>
        <w:t>Overview</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Varex Imaging Corporation is a leading innovator, designer and manufacturer of X-ray imaging components including X-ray tubes, flat panel and photon counting detectors and accessories, linear accelerators, image software processing solutions, and stand-alone X-ray based systems in select application areas. Our components are used in medical diagnostic imaging, security inspection systems, and industrial quality inspection systems, as well as for analysis and measurement applications in industrial manufacturing applications. Global OEMs incorporate our X-ray imaging components into their systems to detect, diagnose, protect, irradiate, and inspect. Varex has approximately </w:t>
      </w:r>
      <w:r>
        <w:rPr>
          <w:rFonts w:ascii="Times New Roman" w:eastAsia="Times New Roman" w:hAnsi="Times New Roman" w:cs="Times New Roman"/>
          <w:b w:val="0"/>
          <w:i w:val="0"/>
          <w:color w:val="000000"/>
          <w:sz w:val="20"/>
          <w:u w:val="none"/>
        </w:rPr>
        <w:t>2,300</w:t>
      </w:r>
      <w:r>
        <w:rPr>
          <w:rFonts w:ascii="Times New Roman" w:eastAsia="Times New Roman" w:hAnsi="Times New Roman" w:cs="Times New Roman"/>
          <w:b w:val="0"/>
          <w:i w:val="0"/>
          <w:sz w:val="20"/>
        </w:rPr>
        <w:t xml:space="preserve"> full-time equivalent employees, located at engineering, manufacturing, and service center sites in North America, Europe, and Asia.</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Our products are sold in three geographic regions: the Americas, EMEA, and APAC. The Americas includes North America (primarily the United States) and Latin America. EMEA includes Europe, the Middle East, India, and Africa. APAC includes Asia (other than India) and Australia. Revenues by region and country are based on the known final destination of products sold.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success depends, among other things, on our ability to anticipate and respond to changes in our business, the direction of technological innovation, and the demand from our customers. We continually invest in research and development and employ approximately </w:t>
      </w:r>
      <w:r>
        <w:rPr>
          <w:rFonts w:ascii="Times New Roman" w:eastAsia="Times New Roman" w:hAnsi="Times New Roman" w:cs="Times New Roman"/>
          <w:b w:val="0"/>
          <w:i w:val="0"/>
          <w:color w:val="000000"/>
          <w:sz w:val="20"/>
          <w:u w:val="none"/>
        </w:rPr>
        <w:t>400</w:t>
      </w:r>
      <w:r>
        <w:rPr>
          <w:rFonts w:ascii="Times New Roman" w:eastAsia="Times New Roman" w:hAnsi="Times New Roman" w:cs="Times New Roman"/>
          <w:b w:val="0"/>
          <w:i w:val="0"/>
          <w:sz w:val="20"/>
        </w:rPr>
        <w:t xml:space="preserve"> individuals in product development related activities. Our focus on innovation and product performance along with strong and long-term customer relationships allows us to collaborate with our customers to deliver industry-leading X-ray imaging products. We continue to work to improve the life and quality of our imaging components and leverage our scale as one of the largest independent X-ray imaging component suppliers to provide cost-effective solutions for our customers.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color w:val="000000"/>
          <w:sz w:val="20"/>
          <w:u w:val="none"/>
          <w:shd w:val="clear" w:color="auto" w:fill="FFFF00"/>
        </w:rPr>
      </w:pPr>
      <w:r>
        <w:rPr>
          <w:rFonts w:ascii="Times New Roman" w:eastAsia="Times New Roman" w:hAnsi="Times New Roman" w:cs="Times New Roman"/>
          <w:b/>
          <w:i w:val="0"/>
          <w:sz w:val="20"/>
        </w:rPr>
        <w:t>Impact of Current Economic and Trade Environment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current economic and trade environment remains dynamic and unpredictable. The uncertain outcome and effect of tariffs and reciprocal actions between the United States and other countries and its impact on the economic and geopolitical environment, supply chain and logistic challenges, and geopolitical tensions and local conflicts have contributed to, and may continue to contribute to, delayed customer purchasing decisions, increased tariff costs, higher inflation, higher interest rates and capital costs, supply chain disruption, increased costs of labor and materials, exchange rate volatility, increased shipping costs, and other similar effects.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During t</w:t>
      </w:r>
      <w:r>
        <w:rPr>
          <w:rFonts w:ascii="Times New Roman" w:eastAsia="Times New Roman" w:hAnsi="Times New Roman" w:cs="Times New Roman"/>
          <w:b w:val="0"/>
          <w:i w:val="0"/>
          <w:sz w:val="20"/>
        </w:rPr>
        <w:t>he calendar y</w:t>
      </w:r>
      <w:r>
        <w:rPr>
          <w:rFonts w:ascii="Times New Roman" w:eastAsia="Times New Roman" w:hAnsi="Times New Roman" w:cs="Times New Roman"/>
          <w:b w:val="0"/>
          <w:i w:val="0"/>
          <w:sz w:val="20"/>
        </w:rPr>
        <w:t>ear 2025, the United States Administration has announced and/or imposed a variety of new tar</w:t>
      </w:r>
      <w:r>
        <w:rPr>
          <w:rFonts w:ascii="Times New Roman" w:eastAsia="Times New Roman" w:hAnsi="Times New Roman" w:cs="Times New Roman"/>
          <w:b w:val="0"/>
          <w:i w:val="0"/>
          <w:sz w:val="20"/>
        </w:rPr>
        <w:t>iffs on imports from other countries. In response,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 number of those impacted or potentially impacted </w:t>
      </w:r>
      <w:r>
        <w:rPr>
          <w:rFonts w:ascii="Times New Roman" w:eastAsia="Times New Roman" w:hAnsi="Times New Roman" w:cs="Times New Roman"/>
          <w:b w:val="0"/>
          <w:i w:val="0"/>
          <w:sz w:val="20"/>
        </w:rPr>
        <w:t>c</w:t>
      </w:r>
      <w:r>
        <w:rPr>
          <w:rFonts w:ascii="Times New Roman" w:eastAsia="Times New Roman" w:hAnsi="Times New Roman" w:cs="Times New Roman"/>
          <w:b w:val="0"/>
          <w:i w:val="0"/>
          <w:sz w:val="20"/>
        </w:rPr>
        <w:t>ountries have announced and</w:t>
      </w:r>
      <w:r>
        <w:rPr>
          <w:rFonts w:ascii="Times New Roman" w:eastAsia="Times New Roman" w:hAnsi="Times New Roman" w:cs="Times New Roman"/>
          <w:b w:val="0"/>
          <w:i w:val="0"/>
          <w:sz w:val="20"/>
        </w:rPr>
        <w:t>/or imposed retal</w:t>
      </w:r>
      <w:r>
        <w:rPr>
          <w:rFonts w:ascii="Times New Roman" w:eastAsia="Times New Roman" w:hAnsi="Times New Roman" w:cs="Times New Roman"/>
          <w:b w:val="0"/>
          <w:i w:val="0"/>
          <w:sz w:val="20"/>
        </w:rPr>
        <w:t>iatory tarif</w:t>
      </w:r>
      <w:r>
        <w:rPr>
          <w:rFonts w:ascii="Times New Roman" w:eastAsia="Times New Roman" w:hAnsi="Times New Roman" w:cs="Times New Roman"/>
          <w:b w:val="0"/>
          <w:i w:val="0"/>
          <w:sz w:val="20"/>
        </w:rPr>
        <w:t>f</w:t>
      </w:r>
      <w:r>
        <w:rPr>
          <w:rFonts w:ascii="Times New Roman" w:eastAsia="Times New Roman" w:hAnsi="Times New Roman" w:cs="Times New Roman"/>
          <w:b w:val="0"/>
          <w:i w:val="0"/>
          <w:sz w:val="20"/>
        </w:rPr>
        <w:t xml:space="preserve">s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n </w:t>
      </w:r>
      <w:r>
        <w:rPr>
          <w:rFonts w:ascii="Times New Roman" w:eastAsia="Times New Roman" w:hAnsi="Times New Roman" w:cs="Times New Roman"/>
          <w:b w:val="0"/>
          <w:i w:val="0"/>
          <w:sz w:val="20"/>
        </w:rPr>
        <w:t xml:space="preserve">United States imports. </w:t>
      </w:r>
      <w:r>
        <w:rPr>
          <w:rFonts w:ascii="Times New Roman" w:eastAsia="Times New Roman" w:hAnsi="Times New Roman" w:cs="Times New Roman"/>
          <w:b w:val="0"/>
          <w:i w:val="0"/>
          <w:sz w:val="20"/>
        </w:rPr>
        <w:t>This situation is ongoing and remains fluid. These actions impacted our results of operations and profitability during the current fiscal year, particularly the bilateral United States and Chinese tariffs. Absent a de-escalation in the current trade wars, particularly the trade war between the United States and China, these tariffs could make our products less competitive with similar product not imported from the United States, which has had and could in the future have a material adverse impact on our business and financial results. Additional new tariffs, trade restrictions or other retaliatory actions aimed at specific industries, such as X-ray imaging products, could also materially impact our business.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We remain committed to working with our customers to minimize the effects of the tariffs.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 this regard, we are actively working to implement a number of options that could reduce the impact, including pursuing commonly utilized mitigation practices and localizing more manufacturing in the region.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At this time, however, we do not anticipate these efforts will allow us to fully offset the additional costs or other negative impacts resulting from such tariffs. Considering the mitigation efforts we have in flight at this point, we are not currently planning to do any restructuring in China.</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w:t>
      </w:r>
      <w:r>
        <w:rPr>
          <w:rFonts w:ascii="Times New Roman" w:eastAsia="Times New Roman" w:hAnsi="Times New Roman" w:cs="Times New Roman"/>
          <w:b w:val="0"/>
          <w:i w:val="0"/>
          <w:sz w:val="20"/>
        </w:rPr>
        <w:t>c</w:t>
      </w:r>
      <w:r>
        <w:rPr>
          <w:rFonts w:ascii="Times New Roman" w:eastAsia="Times New Roman" w:hAnsi="Times New Roman" w:cs="Times New Roman"/>
          <w:b w:val="0"/>
          <w:i w:val="0"/>
          <w:sz w:val="20"/>
        </w:rPr>
        <w:t xml:space="preserve">ontinue to </w:t>
      </w:r>
      <w:r>
        <w:rPr>
          <w:rFonts w:ascii="Times New Roman" w:eastAsia="Times New Roman" w:hAnsi="Times New Roman" w:cs="Times New Roman"/>
          <w:b w:val="0"/>
          <w:i w:val="0"/>
          <w:sz w:val="20"/>
        </w:rPr>
        <w:t>monitor potential changes in customer procurement decisions resulting from the current trade climate, along with other tariff-related actions, investigations and other activities that might negatively affect our costs or otherwise impact our business and results of operations. Furthermore, if international customers’ negative perceptions of the actions of the United States Administration influence their buying decisions, our business and results of operations could be negatively impacted.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April</w:t>
      </w:r>
      <w:r>
        <w:rPr>
          <w:rFonts w:ascii="Times New Roman" w:eastAsia="Times New Roman" w:hAnsi="Times New Roman" w:cs="Times New Roman"/>
          <w:b w:val="0"/>
          <w:i w:val="0"/>
          <w:sz w:val="20"/>
        </w:rPr>
        <w:t xml:space="preserve"> 2025, </w:t>
      </w:r>
      <w:r>
        <w:rPr>
          <w:rFonts w:ascii="Times New Roman" w:eastAsia="Times New Roman" w:hAnsi="Times New Roman" w:cs="Times New Roman"/>
          <w:b w:val="0"/>
          <w:i w:val="0"/>
          <w:sz w:val="20"/>
        </w:rPr>
        <w:t>the</w:t>
      </w:r>
      <w:r>
        <w:rPr>
          <w:rFonts w:ascii="Times New Roman" w:eastAsia="Times New Roman" w:hAnsi="Times New Roman" w:cs="Times New Roman"/>
          <w:b w:val="0"/>
          <w:i w:val="0"/>
          <w:sz w:val="20"/>
        </w:rPr>
        <w:t xml:space="preserve"> China Ministry of Commerce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initiated two investigations related to medical products imported into China</w:t>
      </w:r>
      <w:r>
        <w:rPr>
          <w:rFonts w:ascii="Times New Roman" w:eastAsia="Times New Roman" w:hAnsi="Times New Roman" w:cs="Times New Roman"/>
          <w:b w:val="0"/>
          <w:i w:val="0"/>
          <w:sz w:val="20"/>
        </w:rPr>
        <w:t>. One investigation relates to the impact of imports of X-ray tubes on the domestic industry and its competitiveness, and another relates to imports into China of certain medical CT X-ray tubes and tube inserts for CT devices (collectively “CT Tubes and Inserts”) originating from the United St</w:t>
      </w:r>
      <w:r>
        <w:rPr>
          <w:rFonts w:ascii="Times New Roman" w:eastAsia="Times New Roman" w:hAnsi="Times New Roman" w:cs="Times New Roman"/>
          <w:b w:val="0"/>
          <w:i w:val="0"/>
          <w:sz w:val="20"/>
        </w:rPr>
        <w:t xml:space="preserve">ates and India. We produce CT Tubes and Inserts in the United States and export them to China, but we do not produce CT Tubes and Inserts in India. Total sales of medical X-ray tubes we import into China represented approximately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sz w:val="20"/>
        </w:rPr>
        <w:t xml:space="preserve"> of our total revenue in fiscal year 2024. While we are actively monitoring the situation and cooperating in the proceedings, the outcome of the MOFCOM Investigations remains uncertain. We are committed to complying with all applicable regulations.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Currently, both investigations have been paused since mid-May 2025. If recommenced, we </w:t>
      </w:r>
      <w:r>
        <w:rPr>
          <w:rFonts w:ascii="Times New Roman" w:eastAsia="Times New Roman" w:hAnsi="Times New Roman" w:cs="Times New Roman"/>
          <w:b w:val="0"/>
          <w:i w:val="0"/>
          <w:sz w:val="20"/>
        </w:rPr>
        <w:t>anticipate that the MOFCOM Investigations may take approximately one year to resolve.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the past, we have experienced supply chain, manufacturing, and logistics challenges but these challenges have largely subsided. However, given the current tariff environment and uncertainty around how it may impact customer purchasing decisions and the timing of those decisions, supply chain and logistics challenges could re-emerge.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For additional information on risks related to tariffs and trade wars, supply chain and logistics challenges, cost increases, changes in U.S. and worldwide economic conditions, geopolitical tensions, and other risks that could impact our results, see Item 1A “</w:t>
      </w:r>
      <w:r>
        <w:rPr>
          <w:rFonts w:ascii="Times New Roman" w:eastAsia="Times New Roman" w:hAnsi="Times New Roman" w:cs="Times New Roman"/>
          <w:b w:val="0"/>
          <w:i/>
          <w:color w:val="000000"/>
          <w:sz w:val="20"/>
          <w:u w:val="none"/>
        </w:rPr>
        <w:t>Risk Factors</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Operating Segments and Products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have two reportable operating segments: Medical and Industrial. The segments align our products and service offerings with customer use in medical and industrial imaging. </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Medical</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our Medical segment, we design, manufacture, sell and service X-ray imaging components, including X-ray tubes, flat panel and photon counting detectors and accessories, high voltage connectors, image-processing software and workstations, 3D reconstruction software, computer-aided diagnostic software, automatic exposure control devices, generators, and coolers. These components are used in a range of medical imaging applications including computed tomography ("CT"), mammography, oncology, cardiac, surgery, dental, fluoroscopy, and other diagnostic radiography uses.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X-ray imaging components are primarily sold to OEM customers. These OEM customers then design-in our products to their X-ray imaging systems for a variety of medical modalities. A substantial majority of medical X-ray imaging OEMs globally are our customers, and many of these have been our customers for over 35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 xml:space="preserve">We are one of the largest independent global manufacturers of X-ray imaging components, and each year, we produce over </w:t>
      </w:r>
      <w:r>
        <w:rPr>
          <w:rFonts w:ascii="Times New Roman" w:eastAsia="Times New Roman" w:hAnsi="Times New Roman" w:cs="Times New Roman"/>
          <w:b w:val="0"/>
          <w:i w:val="0"/>
          <w:color w:val="000000"/>
          <w:sz w:val="20"/>
          <w:u w:val="none"/>
        </w:rPr>
        <w:t>27,000</w:t>
      </w:r>
      <w:r>
        <w:rPr>
          <w:rFonts w:ascii="Times New Roman" w:eastAsia="Times New Roman" w:hAnsi="Times New Roman" w:cs="Times New Roman"/>
          <w:b w:val="0"/>
          <w:i w:val="0"/>
          <w:color w:val="000000"/>
          <w:sz w:val="20"/>
          <w:u w:val="none"/>
        </w:rPr>
        <w:t xml:space="preserve"> X-ray tubes and </w:t>
      </w:r>
      <w:r>
        <w:rPr>
          <w:rFonts w:ascii="Times New Roman" w:eastAsia="Times New Roman" w:hAnsi="Times New Roman" w:cs="Times New Roman"/>
          <w:b w:val="0"/>
          <w:i w:val="0"/>
          <w:color w:val="000000"/>
          <w:sz w:val="20"/>
          <w:u w:val="none"/>
        </w:rPr>
        <w:t>20,000</w:t>
      </w:r>
      <w:r>
        <w:rPr>
          <w:rFonts w:ascii="Times New Roman" w:eastAsia="Times New Roman" w:hAnsi="Times New Roman" w:cs="Times New Roman"/>
          <w:b w:val="0"/>
          <w:i w:val="0"/>
          <w:color w:val="000000"/>
          <w:sz w:val="20"/>
          <w:u w:val="none"/>
        </w:rPr>
        <w:t xml:space="preserve"> X-ray detectors. We estimate that our world-wide installed base of products includes more than </w:t>
      </w:r>
      <w:r>
        <w:rPr>
          <w:rFonts w:ascii="Times New Roman" w:eastAsia="Times New Roman" w:hAnsi="Times New Roman" w:cs="Times New Roman"/>
          <w:b w:val="0"/>
          <w:i w:val="0"/>
          <w:color w:val="000000"/>
          <w:sz w:val="20"/>
          <w:u w:val="none"/>
        </w:rPr>
        <w:t>160,000</w:t>
      </w:r>
      <w:r>
        <w:rPr>
          <w:rFonts w:ascii="Times New Roman" w:eastAsia="Times New Roman" w:hAnsi="Times New Roman" w:cs="Times New Roman"/>
          <w:b w:val="0"/>
          <w:i w:val="0"/>
          <w:color w:val="000000"/>
          <w:sz w:val="20"/>
          <w:u w:val="none"/>
        </w:rPr>
        <w:t xml:space="preserve"> X-ray tubes, </w:t>
      </w:r>
      <w:r>
        <w:rPr>
          <w:rFonts w:ascii="Times New Roman" w:eastAsia="Times New Roman" w:hAnsi="Times New Roman" w:cs="Times New Roman"/>
          <w:b w:val="0"/>
          <w:i w:val="0"/>
          <w:color w:val="000000"/>
          <w:sz w:val="20"/>
          <w:u w:val="none"/>
        </w:rPr>
        <w:t>170,000</w:t>
      </w:r>
      <w:r>
        <w:rPr>
          <w:rFonts w:ascii="Times New Roman" w:eastAsia="Times New Roman" w:hAnsi="Times New Roman" w:cs="Times New Roman"/>
          <w:b w:val="0"/>
          <w:i w:val="0"/>
          <w:color w:val="000000"/>
          <w:sz w:val="20"/>
          <w:u w:val="none"/>
        </w:rPr>
        <w:t xml:space="preserve"> X-ray detectors, </w:t>
      </w:r>
      <w:r>
        <w:rPr>
          <w:rFonts w:ascii="Times New Roman" w:eastAsia="Times New Roman" w:hAnsi="Times New Roman" w:cs="Times New Roman"/>
          <w:b w:val="0"/>
          <w:i w:val="0"/>
          <w:color w:val="000000"/>
          <w:sz w:val="20"/>
          <w:u w:val="none"/>
        </w:rPr>
        <w:t>600,000</w:t>
      </w:r>
      <w:r>
        <w:rPr>
          <w:rFonts w:ascii="Times New Roman" w:eastAsia="Times New Roman" w:hAnsi="Times New Roman" w:cs="Times New Roman"/>
          <w:b w:val="0"/>
          <w:i w:val="0"/>
          <w:color w:val="000000"/>
          <w:sz w:val="20"/>
          <w:u w:val="none"/>
        </w:rPr>
        <w:t xml:space="preserve"> connect and control components, and </w:t>
      </w:r>
      <w:r>
        <w:rPr>
          <w:rFonts w:ascii="Times New Roman" w:eastAsia="Times New Roman" w:hAnsi="Times New Roman" w:cs="Times New Roman"/>
          <w:b w:val="0"/>
          <w:i w:val="0"/>
          <w:color w:val="000000"/>
          <w:sz w:val="20"/>
          <w:u w:val="none"/>
        </w:rPr>
        <w:t>16,500</w:t>
      </w:r>
      <w:r>
        <w:rPr>
          <w:rFonts w:ascii="Times New Roman" w:eastAsia="Times New Roman" w:hAnsi="Times New Roman" w:cs="Times New Roman"/>
          <w:b w:val="0"/>
          <w:i w:val="0"/>
          <w:color w:val="000000"/>
          <w:sz w:val="20"/>
          <w:u w:val="none"/>
        </w:rPr>
        <w:t xml:space="preserve"> software instances. Replacement and service of our existing installed base makes up a significant portion of our revenue. Many of our components need to be replaced regularly, depending upon usage and other factors. For example, CT X-ray tubes generally need to be replaced every </w:t>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6</w:t>
      </w:r>
      <w:r>
        <w:rPr>
          <w:rFonts w:ascii="Times New Roman" w:eastAsia="Times New Roman" w:hAnsi="Times New Roman" w:cs="Times New Roman"/>
          <w:b w:val="0"/>
          <w:i w:val="0"/>
          <w:color w:val="000000"/>
          <w:sz w:val="20"/>
          <w:u w:val="none"/>
        </w:rPr>
        <w:t xml:space="preserve"> years, in comparison to a general radiography tube which can last up to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color w:val="000000"/>
          <w:sz w:val="20"/>
          <w:u w:val="none"/>
        </w:rPr>
        <w:t xml:space="preserve"> years, depending on utilization. In China, the replacement cycle for CT X-ray tubes currently can be as frequent as every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color w:val="000000"/>
          <w:sz w:val="20"/>
          <w:u w:val="none"/>
        </w:rPr>
        <w:t xml:space="preserve"> to </w:t>
      </w:r>
      <w:r>
        <w:rPr>
          <w:rFonts w:ascii="Times New Roman" w:eastAsia="Times New Roman" w:hAnsi="Times New Roman" w:cs="Times New Roman"/>
          <w:b w:val="0"/>
          <w:i w:val="0"/>
          <w:color w:val="000000"/>
          <w:sz w:val="20"/>
          <w:u w:val="none"/>
        </w:rPr>
        <w:t>20</w:t>
      </w:r>
      <w:r>
        <w:rPr>
          <w:rFonts w:ascii="Times New Roman" w:eastAsia="Times New Roman" w:hAnsi="Times New Roman" w:cs="Times New Roman"/>
          <w:b w:val="0"/>
          <w:i w:val="0"/>
          <w:color w:val="000000"/>
          <w:sz w:val="20"/>
          <w:u w:val="none"/>
        </w:rPr>
        <w:t xml:space="preserve"> months due to high utilization of imaging equipment. Other products such as X-ray detectors have a useful life of as much as </w:t>
      </w:r>
      <w:r>
        <w:rPr>
          <w:rFonts w:ascii="Times New Roman" w:eastAsia="Times New Roman" w:hAnsi="Times New Roman" w:cs="Times New Roman"/>
          <w:b w:val="0"/>
          <w:i w:val="0"/>
          <w:color w:val="000000"/>
          <w:sz w:val="20"/>
          <w:u w:val="none"/>
        </w:rPr>
        <w:t>7</w:t>
      </w:r>
      <w:r>
        <w:rPr>
          <w:rFonts w:ascii="Times New Roman" w:eastAsia="Times New Roman" w:hAnsi="Times New Roman" w:cs="Times New Roman"/>
          <w:b w:val="0"/>
          <w:i w:val="0"/>
          <w:color w:val="000000"/>
          <w:sz w:val="20"/>
          <w:u w:val="none"/>
        </w:rPr>
        <w:t xml:space="preserve"> years or more but can require more frequent service and repairs during their useful life. In addition, our detector customers often elect to upgrade products to newer technology before the end of a </w:t>
      </w:r>
      <w:r>
        <w:rPr>
          <w:rFonts w:ascii="Times New Roman" w:eastAsia="Times New Roman" w:hAnsi="Times New Roman" w:cs="Times New Roman"/>
          <w:b w:val="0"/>
          <w:i w:val="0"/>
          <w:sz w:val="20"/>
        </w:rPr>
        <w:t>current product’s useful life. X-ray imaging software is a relatively small part of our business and includes maintenance revenue for software licenses.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China, the government has continued its efforts to broaden the availability of healthcare services. In the past 20 years, the number of medical institutions and diagnostic radiology equipment per million</w:t>
      </w:r>
      <w:r>
        <w:rPr>
          <w:rFonts w:ascii="Times New Roman" w:eastAsia="Times New Roman" w:hAnsi="Times New Roman" w:cs="Times New Roman"/>
          <w:b w:val="0"/>
          <w:i w:val="0"/>
          <w:sz w:val="20"/>
        </w:rPr>
        <w:t xml:space="preserve"> of</w:t>
      </w:r>
      <w:r>
        <w:rPr>
          <w:rFonts w:ascii="Times New Roman" w:eastAsia="Times New Roman" w:hAnsi="Times New Roman" w:cs="Times New Roman"/>
          <w:b w:val="0"/>
          <w:i w:val="0"/>
          <w:sz w:val="20"/>
        </w:rPr>
        <w:t xml:space="preserve"> population in China has increased substantially. We are developing CT X-ray tubes and related subsystems for Chinese OEMs as they introduce new systems in China. Over the long-term, our objective is to become the partner of choice both for new systems and for replacement components in existing systems as CT systems continue to be more widely adopted throughout China.</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Industrial</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our Industrial segment, we design, develop, manufacture, sell, and service X-ray imaging products for use in a number of applications, including security applications for cargo screening at ports and borders, baggage screening at airports, and nondestructive testing, irradiation, and inspection applications used in a number of other verticals. We also manufacture and sell our own X-ray imaging systems for industrial applications. Our Industrial products include Linatron® X-ray linear accelerators, non-intrusive cargo inspection systems, X-ray tubes, flat panel and photon counting detectors, computed radiography scanners, high voltage connectors, and coolers.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Security applications primarily consist of cargo security for the screening of trucks, trains, and cargo containers at ports and borders as well as airport security for checked baggage and palletized cargo. The end customers for border protection systems are typically government agencies, many of which are in oil-based economies and war zones where there can be significant variation in buying patterns. We have recently expanded our security offerings to include full systems that perform cargo and vehicle inspections. These systems are used for screening cargo at ports and borders.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Non-destructive testing and inspection verticals utilize X-ray imaging to scan items for inspection of manufacturing defects and product integrity in a wide range of industries including aerospace, automotive, electronics, oil and gas, food packaging, metal castings, and additive manufacturing.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non-destructive testing represents a significant growth opportunity for our business, and we are actively pursuing new potential applications for our products.</w:t>
      </w:r>
    </w:p>
    <w:p>
      <w:pPr>
        <w:keepNext w:val="0"/>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val="0"/>
          <w:sz w:val="20"/>
        </w:rPr>
      </w:pPr>
      <w:bookmarkStart w:id="32" w:name="Section33"/>
      <w:bookmarkEnd w:id="32"/>
      <w:r>
        <w:rPr>
          <w:rFonts w:ascii="Times New Roman" w:eastAsia="Times New Roman" w:hAnsi="Times New Roman" w:cs="Times New Roman"/>
          <w:b/>
          <w:i w:val="0"/>
          <w:sz w:val="20"/>
        </w:rPr>
        <w:t>Critical Accounting Policies and Estimates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preparation of our unaudited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sz w:val="20"/>
        </w:rPr>
        <w:t xml:space="preserve">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periodically review our accounting policies, estimates, and assumptions and make adjustments when facts and circumstances dictate. Refer to our Annual Report on Form 10-K for the fiscal year ended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sz w:val="20"/>
        </w:rPr>
        <w:t xml:space="preserve"> filed with the SEC on </w:t>
      </w:r>
      <w:r>
        <w:rPr>
          <w:rFonts w:ascii="Times New Roman" w:eastAsia="Times New Roman" w:hAnsi="Times New Roman" w:cs="Times New Roman"/>
          <w:b w:val="0"/>
          <w:i w:val="0"/>
          <w:color w:val="000000"/>
          <w:sz w:val="20"/>
          <w:u w:val="none"/>
        </w:rPr>
        <w:t>November 19, 2024</w:t>
      </w:r>
      <w:r>
        <w:rPr>
          <w:rFonts w:ascii="Times New Roman" w:eastAsia="Times New Roman" w:hAnsi="Times New Roman" w:cs="Times New Roman"/>
          <w:b w:val="0"/>
          <w:i w:val="0"/>
          <w:sz w:val="20"/>
        </w:rPr>
        <w:t xml:space="preserve"> and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Summary of Significant Accounting Policies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of the </w:t>
      </w:r>
      <w:r>
        <w:rPr>
          <w:rFonts w:ascii="Times New Roman" w:eastAsia="Times New Roman" w:hAnsi="Times New Roman" w:cs="Times New Roman"/>
          <w:b w:val="0"/>
          <w:i w:val="0"/>
          <w:color w:val="000000"/>
          <w:sz w:val="20"/>
          <w:u w:val="none"/>
        </w:rPr>
        <w:t>Notes to the</w:t>
      </w:r>
      <w:r>
        <w:rPr>
          <w:rFonts w:ascii="Times New Roman" w:eastAsia="Times New Roman" w:hAnsi="Times New Roman" w:cs="Times New Roman"/>
          <w:b w:val="0"/>
          <w:i w:val="0"/>
          <w:color w:val="000000"/>
          <w:sz w:val="20"/>
          <w:u w:val="none"/>
        </w:rPr>
        <w:t xml:space="preserve"> Conden</w:t>
      </w:r>
      <w:r>
        <w:rPr>
          <w:rFonts w:ascii="Times New Roman" w:eastAsia="Times New Roman" w:hAnsi="Times New Roman" w:cs="Times New Roman"/>
          <w:b w:val="0"/>
          <w:i w:val="0"/>
          <w:color w:val="000000"/>
          <w:sz w:val="20"/>
          <w:u w:val="none"/>
        </w:rPr>
        <w:t>sed</w:t>
      </w:r>
      <w:r>
        <w:rPr>
          <w:rFonts w:ascii="Times New Roman" w:eastAsia="Times New Roman" w:hAnsi="Times New Roman" w:cs="Times New Roman"/>
          <w:b w:val="0"/>
          <w:i w:val="0"/>
          <w:color w:val="000000"/>
          <w:sz w:val="20"/>
          <w:u w:val="none"/>
        </w:rPr>
        <w:t xml:space="preserve"> Consolidated Financial Statements</w:t>
      </w:r>
      <w:r>
        <w:rPr>
          <w:rFonts w:ascii="Times New Roman" w:eastAsia="Times New Roman" w:hAnsi="Times New Roman" w:cs="Times New Roman"/>
          <w:b w:val="0"/>
          <w:i w:val="0"/>
          <w:sz w:val="20"/>
        </w:rPr>
        <w:t xml:space="preserve"> of this report for further details. Our critical accounting policies that are affected by accounting estimates include valuation of inventories, assessment of recoverability of goodwill and intangible assets, and income </w:t>
      </w:r>
      <w:r>
        <w:rPr>
          <w:rFonts w:ascii="Times New Roman" w:eastAsia="Times New Roman" w:hAnsi="Times New Roman" w:cs="Times New Roman"/>
          <w:b w:val="0"/>
          <w:i w:val="0"/>
          <w:color w:val="000000"/>
          <w:sz w:val="20"/>
          <w:u w:val="none"/>
        </w:rPr>
        <w:t>taxes</w:t>
      </w:r>
      <w:r>
        <w:rPr>
          <w:rFonts w:ascii="Times New Roman" w:eastAsia="Times New Roman" w:hAnsi="Times New Roman" w:cs="Times New Roman"/>
          <w:b w:val="0"/>
          <w:i w:val="0"/>
          <w:sz w:val="20"/>
        </w:rPr>
        <w:t xml:space="preserve">. There have been no material changes to the Company’s significant accounting policies, compared to the accounting policies described in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Summary of Significant Accounting Policies</w:t>
      </w:r>
      <w:r>
        <w:rPr>
          <w:rFonts w:ascii="Times New Roman" w:eastAsia="Times New Roman" w:hAnsi="Times New Roman" w:cs="Times New Roman"/>
          <w:b w:val="0"/>
          <w:i w:val="0"/>
          <w:sz w:val="20"/>
        </w:rPr>
        <w:t xml:space="preserve">, in the Company’s Annual Report on Form 10-K for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Impairment</w:t>
      </w:r>
      <w:r>
        <w:rPr>
          <w:rFonts w:ascii="Times New Roman" w:eastAsia="Times New Roman" w:hAnsi="Times New Roman" w:cs="Times New Roman"/>
          <w:b/>
          <w:i/>
          <w:sz w:val="20"/>
        </w:rPr>
        <w: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During the three months en</w:t>
      </w:r>
      <w:r>
        <w:rPr>
          <w:rFonts w:ascii="Times New Roman" w:eastAsia="Times New Roman" w:hAnsi="Times New Roman" w:cs="Times New Roman"/>
          <w:b w:val="0"/>
          <w:i w:val="0"/>
          <w:sz w:val="20"/>
        </w:rPr>
        <w:t>ded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we recognized </w:t>
      </w:r>
      <w:r>
        <w:rPr>
          <w:rFonts w:ascii="Times New Roman" w:eastAsia="Times New Roman" w:hAnsi="Times New Roman" w:cs="Times New Roman"/>
          <w:b w:val="0"/>
          <w:i w:val="0"/>
          <w:color w:val="000000"/>
          <w:sz w:val="20"/>
          <w:u w:val="none"/>
        </w:rPr>
        <w:t xml:space="preserve">a </w:t>
      </w:r>
      <w:r>
        <w:rPr>
          <w:rFonts w:ascii="Times New Roman" w:eastAsia="Times New Roman" w:hAnsi="Times New Roman" w:cs="Times New Roman"/>
          <w:b w:val="0"/>
          <w:i w:val="0"/>
          <w:color w:val="000000"/>
          <w:sz w:val="20"/>
          <w:u w:val="none"/>
        </w:rPr>
        <w:t>g</w:t>
      </w:r>
      <w:r>
        <w:rPr>
          <w:rFonts w:ascii="Times New Roman" w:eastAsia="Times New Roman" w:hAnsi="Times New Roman" w:cs="Times New Roman"/>
          <w:b w:val="0"/>
          <w:i w:val="0"/>
          <w:color w:val="000000"/>
          <w:sz w:val="20"/>
          <w:u w:val="none"/>
        </w:rPr>
        <w:t>oodwill impairment charge</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color w:val="000000"/>
          <w:sz w:val="20"/>
          <w:u w:val="none"/>
        </w:rPr>
        <w:t xml:space="preserve">, representing a partial impairment related to our Medical reporting </w:t>
      </w:r>
      <w:r>
        <w:rPr>
          <w:rFonts w:ascii="Times New Roman" w:eastAsia="Times New Roman" w:hAnsi="Times New Roman" w:cs="Times New Roman"/>
          <w:b w:val="0"/>
          <w:i w:val="0"/>
          <w:color w:val="000000"/>
          <w:sz w:val="20"/>
          <w:u w:val="none"/>
        </w:rPr>
        <w:t>unit</w:t>
      </w:r>
      <w:r>
        <w:rPr>
          <w:rFonts w:ascii="Times New Roman" w:eastAsia="Times New Roman" w:hAnsi="Times New Roman" w:cs="Times New Roman"/>
          <w:b w:val="0"/>
          <w:i w:val="0"/>
          <w:color w:val="000000"/>
          <w:sz w:val="20"/>
          <w:u w:val="none"/>
        </w:rPr>
        <w:t>. The i</w:t>
      </w:r>
      <w:r>
        <w:rPr>
          <w:rFonts w:ascii="Times New Roman" w:eastAsia="Times New Roman" w:hAnsi="Times New Roman" w:cs="Times New Roman"/>
          <w:b w:val="0"/>
          <w:i w:val="0"/>
          <w:color w:val="000000"/>
          <w:sz w:val="20"/>
          <w:u w:val="none"/>
        </w:rPr>
        <w:t>mpairment charges are a result o</w:t>
      </w:r>
      <w:r>
        <w:rPr>
          <w:rFonts w:ascii="Times New Roman" w:eastAsia="Times New Roman" w:hAnsi="Times New Roman" w:cs="Times New Roman"/>
          <w:b w:val="0"/>
          <w:i w:val="0"/>
          <w:color w:val="000000"/>
          <w:sz w:val="20"/>
          <w:u w:val="none"/>
        </w:rPr>
        <w:t>f</w:t>
      </w:r>
      <w:r>
        <w:rPr>
          <w:rFonts w:ascii="Times New Roman" w:eastAsia="Times New Roman" w:hAnsi="Times New Roman" w:cs="Times New Roman"/>
          <w:b w:val="0"/>
          <w:i w:val="0"/>
          <w:color w:val="000000"/>
          <w:sz w:val="20"/>
          <w:u w:val="none"/>
        </w:rPr>
        <w:t xml:space="preserve"> macroeconomic challenges, such as tariffs and the MOFCOM Investigation</w:t>
      </w:r>
      <w:r>
        <w:rPr>
          <w:rFonts w:ascii="Times New Roman" w:eastAsia="Times New Roman" w:hAnsi="Times New Roman" w:cs="Times New Roman"/>
          <w:b w:val="0"/>
          <w:i w:val="0"/>
          <w:color w:val="000000"/>
          <w:sz w:val="20"/>
          <w:u w:val="none"/>
        </w:rPr>
        <w:t>s</w:t>
      </w:r>
      <w:r>
        <w:rPr>
          <w:rFonts w:ascii="Times New Roman" w:eastAsia="Times New Roman" w:hAnsi="Times New Roman" w:cs="Times New Roman"/>
          <w:b w:val="0"/>
          <w:i w:val="0"/>
          <w:color w:val="000000"/>
          <w:sz w:val="20"/>
          <w:u w:val="none"/>
        </w:rPr>
        <w:t xml:space="preserve"> announcements, </w:t>
      </w:r>
      <w:r>
        <w:rPr>
          <w:rFonts w:ascii="Times New Roman" w:eastAsia="Times New Roman" w:hAnsi="Times New Roman" w:cs="Times New Roman"/>
          <w:b w:val="0"/>
          <w:i w:val="0"/>
          <w:color w:val="000000"/>
          <w:sz w:val="20"/>
          <w:u w:val="none"/>
        </w:rPr>
        <w:t xml:space="preserve">sustained </w:t>
      </w:r>
      <w:r>
        <w:rPr>
          <w:rFonts w:ascii="Times New Roman" w:eastAsia="Times New Roman" w:hAnsi="Times New Roman" w:cs="Times New Roman"/>
          <w:b w:val="0"/>
          <w:i w:val="0"/>
          <w:color w:val="000000"/>
          <w:sz w:val="20"/>
          <w:u w:val="none"/>
        </w:rPr>
        <w:t>declines in the Company's stock price and market capitalization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and a downward revision in the Company's longer-term forecast</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For further deta</w:t>
      </w:r>
      <w:r>
        <w:rPr>
          <w:rFonts w:ascii="Times New Roman" w:eastAsia="Times New Roman" w:hAnsi="Times New Roman" w:cs="Times New Roman"/>
          <w:b w:val="0"/>
          <w:i w:val="0"/>
          <w:sz w:val="20"/>
        </w:rPr>
        <w:t xml:space="preserve">ils refer to </w:t>
      </w:r>
      <w:r>
        <w:rPr>
          <w:rFonts w:ascii="Times New Roman" w:eastAsia="Times New Roman" w:hAnsi="Times New Roman" w:cs="Times New Roman"/>
          <w:b w:val="0"/>
          <w:i w:val="0"/>
          <w:sz w:val="20"/>
        </w:rPr>
        <w:t>Note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Goodwill and Intangible Assets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of this report</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40" w:lineRule="exact"/>
        <w:ind w:left="0" w:right="0" w:firstLine="0"/>
        <w:jc w:val="left"/>
        <w:outlineLvl w:val="9"/>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sz w:val="20"/>
        </w:rPr>
      </w:pPr>
      <w:bookmarkStart w:id="33" w:name="Section34"/>
      <w:bookmarkEnd w:id="33"/>
      <w:r>
        <w:rPr>
          <w:rFonts w:ascii="Times New Roman" w:eastAsia="Times New Roman" w:hAnsi="Times New Roman" w:cs="Times New Roman"/>
          <w:b/>
          <w:i/>
          <w:sz w:val="20"/>
        </w:rPr>
        <w:t>Fiscal Year</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fiscal years of the Company as reported are the 52 or 53-week periods ending on the Friday nearest September 30. </w:t>
      </w:r>
      <w:r>
        <w:rPr>
          <w:rFonts w:ascii="Times New Roman" w:eastAsia="Times New Roman" w:hAnsi="Times New Roman" w:cs="Times New Roman"/>
          <w:b w:val="0"/>
          <w:i w:val="0"/>
          <w:color w:val="000000"/>
          <w:sz w:val="20"/>
          <w:u w:val="none"/>
        </w:rPr>
        <w:t xml:space="preserve">Fiscal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color w:val="000000"/>
          <w:sz w:val="20"/>
          <w:u w:val="none"/>
        </w:rPr>
        <w:t xml:space="preserve"> is the 53-week period ending </w:t>
      </w:r>
      <w:r>
        <w:rPr>
          <w:rFonts w:ascii="Times New Roman" w:eastAsia="Times New Roman" w:hAnsi="Times New Roman" w:cs="Times New Roman"/>
          <w:b w:val="0"/>
          <w:i w:val="0"/>
          <w:color w:val="000000"/>
          <w:sz w:val="20"/>
          <w:u w:val="none"/>
        </w:rPr>
        <w:t>October 3, 2025</w:t>
      </w:r>
      <w:r>
        <w:rPr>
          <w:rFonts w:ascii="Times New Roman" w:eastAsia="Times New Roman" w:hAnsi="Times New Roman" w:cs="Times New Roman"/>
          <w:b w:val="0"/>
          <w:i w:val="0"/>
          <w:color w:val="000000"/>
          <w:sz w:val="20"/>
          <w:u w:val="none"/>
        </w:rPr>
        <w:t xml:space="preserve">.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color w:val="000000"/>
          <w:sz w:val="20"/>
          <w:u w:val="none"/>
        </w:rPr>
        <w:t xml:space="preserve"> was the 52-week period that ended on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color w:val="000000"/>
          <w:sz w:val="20"/>
          <w:u w:val="none"/>
        </w:rPr>
        <w:t>. The fiscal quarters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xml:space="preserve"> were both </w:t>
      </w:r>
      <w:r>
        <w:rPr>
          <w:rFonts w:ascii="Times New Roman" w:eastAsia="Times New Roman" w:hAnsi="Times New Roman" w:cs="Times New Roman"/>
          <w:b w:val="0"/>
          <w:i w:val="0"/>
          <w:color w:val="000000"/>
          <w:sz w:val="20"/>
          <w:u w:val="none"/>
        </w:rPr>
        <w:t>13</w:t>
      </w:r>
      <w:r>
        <w:rPr>
          <w:rFonts w:ascii="Times New Roman" w:eastAsia="Times New Roman" w:hAnsi="Times New Roman" w:cs="Times New Roman"/>
          <w:b w:val="0"/>
          <w:i w:val="0"/>
          <w:sz w:val="20"/>
        </w:rPr>
        <w:t xml:space="preserve">-week periods. The </w:t>
      </w:r>
      <w:r>
        <w:rPr>
          <w:rFonts w:ascii="Times New Roman" w:eastAsia="Times New Roman" w:hAnsi="Times New Roman" w:cs="Times New Roman"/>
          <w:b w:val="0"/>
          <w:i w:val="0"/>
          <w:color w:val="000000"/>
          <w:sz w:val="20"/>
          <w:u w:val="none"/>
        </w:rPr>
        <w:t>nine-month</w:t>
      </w:r>
      <w:r>
        <w:rPr>
          <w:rFonts w:ascii="Times New Roman" w:eastAsia="Times New Roman" w:hAnsi="Times New Roman" w:cs="Times New Roman"/>
          <w:b w:val="0"/>
          <w:i w:val="0"/>
          <w:sz w:val="20"/>
        </w:rPr>
        <w:t xml:space="preserve"> fiscal periods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xml:space="preserve"> were a </w:t>
      </w:r>
      <w:r>
        <w:rPr>
          <w:rFonts w:ascii="Times New Roman" w:eastAsia="Times New Roman" w:hAnsi="Times New Roman" w:cs="Times New Roman"/>
          <w:b w:val="0"/>
          <w:i w:val="0"/>
          <w:color w:val="000000"/>
          <w:sz w:val="20"/>
          <w:u w:val="none"/>
        </w:rPr>
        <w:t>40</w:t>
      </w:r>
      <w:r>
        <w:rPr>
          <w:rFonts w:ascii="Times New Roman" w:eastAsia="Times New Roman" w:hAnsi="Times New Roman" w:cs="Times New Roman"/>
          <w:b w:val="0"/>
          <w:i w:val="0"/>
          <w:sz w:val="20"/>
        </w:rPr>
        <w:t xml:space="preserve">-week period and a </w:t>
      </w:r>
      <w:r>
        <w:rPr>
          <w:rFonts w:ascii="Times New Roman" w:eastAsia="Times New Roman" w:hAnsi="Times New Roman" w:cs="Times New Roman"/>
          <w:b w:val="0"/>
          <w:i w:val="0"/>
          <w:color w:val="000000"/>
          <w:sz w:val="20"/>
          <w:u w:val="none"/>
        </w:rPr>
        <w:t>39</w:t>
      </w:r>
      <w:r>
        <w:rPr>
          <w:rFonts w:ascii="Times New Roman" w:eastAsia="Times New Roman" w:hAnsi="Times New Roman" w:cs="Times New Roman"/>
          <w:b w:val="0"/>
          <w:i w:val="0"/>
          <w:sz w:val="20"/>
        </w:rPr>
        <w:t>-week period, respectively.</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Discussion of Results of Operations for the </w:t>
      </w:r>
      <w:r>
        <w:rPr>
          <w:rFonts w:ascii="Times New Roman" w:eastAsia="Times New Roman" w:hAnsi="Times New Roman" w:cs="Times New Roman"/>
          <w:b/>
          <w:i w:val="0"/>
          <w:color w:val="000000"/>
          <w:sz w:val="20"/>
          <w:u w:val="none"/>
        </w:rPr>
        <w:t>Three Months Ended July 4, 2025</w:t>
      </w:r>
      <w:r>
        <w:rPr>
          <w:rFonts w:ascii="Times New Roman" w:eastAsia="Times New Roman" w:hAnsi="Times New Roman" w:cs="Times New Roman"/>
          <w:b/>
          <w:i w:val="0"/>
          <w:sz w:val="20"/>
        </w:rPr>
        <w:t xml:space="preserve"> Compared to the </w:t>
      </w:r>
      <w:r>
        <w:rPr>
          <w:rFonts w:ascii="Times New Roman" w:eastAsia="Times New Roman" w:hAnsi="Times New Roman" w:cs="Times New Roman"/>
          <w:b/>
          <w:i w:val="0"/>
          <w:color w:val="000000"/>
          <w:sz w:val="20"/>
          <w:u w:val="none"/>
        </w:rPr>
        <w:t>Three Months Ended June 28, 2024</w:t>
      </w:r>
      <w:r>
        <w:rPr>
          <w:rFonts w:ascii="Times New Roman" w:eastAsia="Times New Roman" w:hAnsi="Times New Roman" w:cs="Times New Roman"/>
          <w:b/>
          <w:i w:val="0"/>
          <w:sz w:val="20"/>
        </w:rPr>
        <w:t xml:space="preserve"> </w:t>
      </w:r>
    </w:p>
    <w:p>
      <w:pPr>
        <w:keepNext w:val="0"/>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Revenues, net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Medical</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142.1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148.6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(6.5)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55" w:after="30" w:line="240" w:lineRule="auto"/>
              <w:jc w:val="right"/>
            </w:pPr>
            <w:r>
              <w:rPr>
                <w:rFonts w:ascii="Times New Roman" w:eastAsia="Times New Roman" w:hAnsi="Times New Roman" w:cs="Times New Roman"/>
                <w:b w:val="0"/>
                <w:i w:val="0"/>
                <w:color w:val="000000"/>
                <w:sz w:val="18"/>
                <w:u w:val="none"/>
              </w:rPr>
              <w:tab/>
              <w:t>(4.4)</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Industrial</w:t>
            </w: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60.9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60.5</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0.4</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88"/>
              </w:tabs>
              <w:spacing w:before="75" w:after="30" w:line="240" w:lineRule="auto"/>
              <w:jc w:val="right"/>
            </w:pPr>
            <w:r>
              <w:rPr>
                <w:rFonts w:ascii="Times New Roman" w:eastAsia="Times New Roman" w:hAnsi="Times New Roman" w:cs="Times New Roman"/>
                <w:b w:val="0"/>
                <w:i w:val="0"/>
                <w:color w:val="000000"/>
                <w:sz w:val="18"/>
                <w:u w:val="none"/>
              </w:rPr>
              <w:tab/>
              <w:t>0.7</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585"/>
              <w:jc w:val="left"/>
            </w:pPr>
            <w:r>
              <w:rPr>
                <w:rFonts w:ascii="Times New Roman" w:eastAsia="Times New Roman" w:hAnsi="Times New Roman" w:cs="Times New Roman"/>
                <w:b w:val="0"/>
                <w:i w:val="0"/>
                <w:color w:val="000000"/>
                <w:sz w:val="18"/>
                <w:u w:val="none"/>
              </w:rPr>
              <w:t>Total revenues, net</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209.1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(6.1)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55" w:after="30" w:line="240" w:lineRule="auto"/>
              <w:jc w:val="right"/>
            </w:pPr>
            <w:r>
              <w:rPr>
                <w:rFonts w:ascii="Times New Roman" w:eastAsia="Times New Roman" w:hAnsi="Times New Roman" w:cs="Times New Roman"/>
                <w:b w:val="0"/>
                <w:i w:val="0"/>
                <w:color w:val="000000"/>
                <w:sz w:val="18"/>
                <w:u w:val="none"/>
              </w:rPr>
              <w:tab/>
              <w:t>(2.9)</w:t>
              <w:tab/>
              <w:t>%</w:t>
            </w:r>
          </w:p>
        </w:tc>
      </w:tr>
      <w:tr>
        <w:tblPrEx>
          <w:tblW w:w="10800" w:type="dxa"/>
          <w:tblInd w:w="0" w:type="dxa"/>
          <w:tblLayout w:type="fixed"/>
        </w:tblPrEx>
        <w:trPr>
          <w:cantSplit/>
          <w:trHeight w:hRule="exact" w:val="285"/>
        </w:trPr>
        <w:tc>
          <w:tcPr>
            <w:tcW w:w="4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15" w:after="30" w:line="240" w:lineRule="auto"/>
              <w:ind w:left="180"/>
              <w:jc w:val="left"/>
            </w:pPr>
            <w:r>
              <w:rPr>
                <w:rFonts w:ascii="Times New Roman" w:eastAsia="Times New Roman" w:hAnsi="Times New Roman" w:cs="Times New Roman"/>
                <w:b w:val="0"/>
                <w:i/>
                <w:color w:val="000000"/>
                <w:sz w:val="18"/>
                <w:u w:val="none"/>
              </w:rPr>
              <w:t>Medical as a percentage of total revenues, net</w:t>
            </w: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70.0</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71.1</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415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180"/>
              <w:jc w:val="left"/>
            </w:pPr>
            <w:r>
              <w:rPr>
                <w:rFonts w:ascii="Times New Roman" w:eastAsia="Times New Roman" w:hAnsi="Times New Roman" w:cs="Times New Roman"/>
                <w:b w:val="0"/>
                <w:i/>
                <w:color w:val="000000"/>
                <w:sz w:val="18"/>
                <w:u w:val="none"/>
              </w:rPr>
              <w:t>Industrial as a percentage of total revenues, net</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30.0</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28.9</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Medical r</w:t>
      </w:r>
      <w:r>
        <w:rPr>
          <w:rFonts w:ascii="Times New Roman" w:eastAsia="Times New Roman" w:hAnsi="Times New Roman" w:cs="Times New Roman"/>
          <w:b w:val="0"/>
          <w:i w:val="0"/>
          <w:sz w:val="20"/>
        </w:rPr>
        <w:t xml:space="preserve">evenues </w:t>
      </w:r>
      <w:r>
        <w:rPr>
          <w:rFonts w:ascii="Times New Roman" w:eastAsia="Times New Roman" w:hAnsi="Times New Roman" w:cs="Times New Roman"/>
          <w:b w:val="0"/>
          <w:i w:val="0"/>
          <w:color w:val="000000"/>
          <w:sz w:val="20"/>
          <w:u w:val="none"/>
        </w:rPr>
        <w:t>decreased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$6.5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primarily</w:t>
      </w:r>
      <w:r>
        <w:rPr>
          <w:rFonts w:ascii="Times New Roman" w:eastAsia="Times New Roman" w:hAnsi="Times New Roman" w:cs="Times New Roman"/>
          <w:b w:val="0"/>
          <w:i w:val="0"/>
          <w:sz w:val="20"/>
        </w:rPr>
        <w:t xml:space="preserve"> due to </w:t>
      </w:r>
      <w:r>
        <w:rPr>
          <w:rFonts w:ascii="Times New Roman" w:eastAsia="Times New Roman" w:hAnsi="Times New Roman" w:cs="Times New Roman"/>
          <w:b w:val="0"/>
          <w:i w:val="0"/>
          <w:color w:val="000000"/>
          <w:sz w:val="20"/>
          <w:u w:val="none"/>
        </w:rPr>
        <w:t>decreased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sales of CT, fluoroscopy and radiography modali</w:t>
      </w:r>
      <w:r>
        <w:rPr>
          <w:rFonts w:ascii="Times New Roman" w:eastAsia="Times New Roman" w:hAnsi="Times New Roman" w:cs="Times New Roman"/>
          <w:b w:val="0"/>
          <w:i w:val="0"/>
          <w:color w:val="000000"/>
          <w:sz w:val="20"/>
          <w:u w:val="none"/>
        </w:rPr>
        <w:t>ties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$9.0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partially offset by increased sales of other medical modalities including mammography and oncology of </w:t>
      </w:r>
      <w:r>
        <w:rPr>
          <w:rFonts w:ascii="Times New Roman" w:eastAsia="Times New Roman" w:hAnsi="Times New Roman" w:cs="Times New Roman"/>
          <w:b w:val="0"/>
          <w:i w:val="0"/>
          <w:color w:val="000000"/>
          <w:sz w:val="20"/>
          <w:u w:val="none"/>
        </w:rPr>
        <w:t>$3.0 million</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 xml:space="preserve">Industrial revenues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$0.4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primarily due to immaterial increases in sales across various products in our Industrial portfolio.</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color w:val="000000"/>
          <w:sz w:val="20"/>
          <w:u w:val="none"/>
        </w:rPr>
        <w:t xml:space="preserve">Revenue by </w:t>
      </w:r>
      <w:r>
        <w:rPr>
          <w:rFonts w:ascii="Times New Roman" w:eastAsia="Times New Roman" w:hAnsi="Times New Roman" w:cs="Times New Roman"/>
          <w:b/>
          <w:i/>
          <w:color w:val="000000"/>
          <w:sz w:val="20"/>
          <w:u w:val="none"/>
        </w:rPr>
        <w:t>Region</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Americas</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71.0</w:t>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70.2</w:t>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0.8</w:t>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1.1</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EMEA</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69.6</w:t>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70.9</w:t>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(1.3)</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47"/>
              </w:tabs>
              <w:spacing w:before="75" w:after="30" w:line="240" w:lineRule="auto"/>
              <w:jc w:val="right"/>
            </w:pPr>
            <w:r>
              <w:rPr>
                <w:rFonts w:ascii="Times New Roman" w:eastAsia="Times New Roman" w:hAnsi="Times New Roman" w:cs="Times New Roman"/>
                <w:b w:val="0"/>
                <w:i w:val="0"/>
                <w:color w:val="000000"/>
                <w:sz w:val="18"/>
                <w:u w:val="none"/>
              </w:rPr>
              <w:tab/>
              <w:t>(1.8)</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APAC</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62.4</w:t>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68.0</w:t>
              <w:tab/>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(5.6)</w:t>
            </w:r>
          </w:p>
        </w:tc>
        <w:tc>
          <w:tcPr>
            <w:tcW w:w="75" w:type="dxa"/>
            <w:tcBorders>
              <w:top w:val="nil"/>
              <w:left w:val="nil"/>
              <w:bottom w:val="nil"/>
              <w:right w:val="nil"/>
            </w:tcBorders>
            <w:shd w:val="clear" w:color="auto" w:fill="CCEEFF"/>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75" w:after="30" w:line="240" w:lineRule="auto"/>
              <w:jc w:val="right"/>
            </w:pPr>
            <w:r>
              <w:rPr>
                <w:rFonts w:ascii="Times New Roman" w:eastAsia="Times New Roman" w:hAnsi="Times New Roman" w:cs="Times New Roman"/>
                <w:b w:val="0"/>
                <w:i w:val="0"/>
                <w:color w:val="000000"/>
                <w:sz w:val="18"/>
                <w:u w:val="none"/>
              </w:rPr>
              <w:tab/>
              <w:t>(8.2)</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ind w:left="600"/>
              <w:jc w:val="left"/>
            </w:pPr>
            <w:r>
              <w:rPr>
                <w:rFonts w:ascii="Times New Roman" w:eastAsia="Times New Roman" w:hAnsi="Times New Roman" w:cs="Times New Roman"/>
                <w:b w:val="0"/>
                <w:i w:val="0"/>
                <w:color w:val="000000"/>
                <w:sz w:val="18"/>
                <w:u w:val="none"/>
              </w:rPr>
              <w:t>Total revenues, net</w:t>
            </w: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203.0</w:t>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pageBreakBefore w:val="0"/>
              <w:spacing w:before="55" w:after="30" w:line="240" w:lineRule="auto"/>
              <w:jc w:val="lef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209.1</w:t>
              <w:tab/>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pageBreakBefore w:val="0"/>
              <w:spacing w:before="55" w:after="30" w:line="240" w:lineRule="auto"/>
              <w:jc w:val="lef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(6.1)</w:t>
            </w:r>
          </w:p>
        </w:tc>
        <w:tc>
          <w:tcPr>
            <w:tcW w:w="75" w:type="dxa"/>
            <w:tcBorders>
              <w:top w:val="nil"/>
              <w:left w:val="nil"/>
              <w:bottom w:val="nil"/>
              <w:right w:val="nil"/>
            </w:tcBorders>
            <w:shd w:val="clear" w:color="auto" w:fill="FFFFFF"/>
            <w:tcMar>
              <w:top w:w="0" w:type="dxa"/>
              <w:left w:w="38" w:type="dxa"/>
              <w:bottom w:w="0" w:type="dxa"/>
              <w:right w:w="38" w:type="dxa"/>
            </w:tcMar>
            <w:vAlign w:val="bottom"/>
          </w:tcPr>
          <w:p>
            <w:pPr>
              <w:pageBreakBefore w:val="0"/>
              <w:spacing w:before="55" w:after="30" w:line="240" w:lineRule="auto"/>
              <w:jc w:val="lef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
                <w:tab w:val="left" w:pos="347"/>
              </w:tabs>
              <w:spacing w:before="55" w:after="30" w:line="240" w:lineRule="auto"/>
              <w:jc w:val="right"/>
            </w:pPr>
            <w:r>
              <w:rPr>
                <w:rFonts w:ascii="Times New Roman" w:eastAsia="Times New Roman" w:hAnsi="Times New Roman" w:cs="Times New Roman"/>
                <w:b w:val="0"/>
                <w:i w:val="0"/>
                <w:color w:val="000000"/>
                <w:sz w:val="18"/>
                <w:u w:val="none"/>
              </w:rPr>
              <w:tab/>
              <w:t>(2.9)</w:t>
              <w:tab/>
              <w:t>%</w:t>
            </w: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Overall revenue 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de</w:t>
      </w:r>
      <w:r>
        <w:rPr>
          <w:rFonts w:ascii="Times New Roman" w:eastAsia="Times New Roman" w:hAnsi="Times New Roman" w:cs="Times New Roman"/>
          <w:b w:val="0"/>
          <w:i w:val="0"/>
          <w:color w:val="000000"/>
          <w:sz w:val="20"/>
          <w:u w:val="none"/>
        </w:rPr>
        <w:t>creased</w:t>
      </w:r>
      <w:r>
        <w:rPr>
          <w:rFonts w:ascii="Times New Roman" w:eastAsia="Times New Roman" w:hAnsi="Times New Roman" w:cs="Times New Roman"/>
          <w:b w:val="0"/>
          <w:i w:val="0"/>
          <w:color w:val="000000"/>
          <w:sz w:val="20"/>
          <w:u w:val="none"/>
        </w:rPr>
        <w:t xml:space="preserve"> as compared to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compared to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Americas revenue increased by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color w:val="000000"/>
          <w:sz w:val="20"/>
          <w:u w:val="none"/>
        </w:rPr>
        <w:t xml:space="preserve"> due to increased security inspection products sales of </w:t>
      </w:r>
      <w:r>
        <w:rPr>
          <w:rFonts w:ascii="Times New Roman" w:eastAsia="Times New Roman" w:hAnsi="Times New Roman" w:cs="Times New Roman"/>
          <w:b w:val="0"/>
          <w:i w:val="0"/>
          <w:color w:val="000000"/>
          <w:sz w:val="20"/>
          <w:u w:val="none"/>
        </w:rPr>
        <w:t>$7.0 million</w:t>
      </w:r>
      <w:r>
        <w:rPr>
          <w:rFonts w:ascii="Times New Roman" w:eastAsia="Times New Roman" w:hAnsi="Times New Roman" w:cs="Times New Roman"/>
          <w:b w:val="0"/>
          <w:i w:val="0"/>
          <w:color w:val="000000"/>
          <w:sz w:val="20"/>
          <w:u w:val="none"/>
        </w:rPr>
        <w:t xml:space="preserve">, partially offset by decreased sales of digital detectors of </w:t>
      </w:r>
      <w:r>
        <w:rPr>
          <w:rFonts w:ascii="Times New Roman" w:eastAsia="Times New Roman" w:hAnsi="Times New Roman" w:cs="Times New Roman"/>
          <w:b w:val="0"/>
          <w:i w:val="0"/>
          <w:color w:val="000000"/>
          <w:sz w:val="20"/>
          <w:u w:val="none"/>
        </w:rPr>
        <w:t>$4.7 million</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software</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$1.4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EMEA revenues decreased </w:t>
      </w:r>
      <w:r>
        <w:rPr>
          <w:rFonts w:ascii="Times New Roman" w:eastAsia="Times New Roman" w:hAnsi="Times New Roman" w:cs="Times New Roman"/>
          <w:b w:val="0"/>
          <w:i w:val="0"/>
          <w:color w:val="000000"/>
          <w:sz w:val="20"/>
          <w:u w:val="none"/>
        </w:rPr>
        <w:t>$1.3 million</w:t>
      </w:r>
      <w:r>
        <w:rPr>
          <w:rFonts w:ascii="Times New Roman" w:eastAsia="Times New Roman" w:hAnsi="Times New Roman" w:cs="Times New Roman"/>
          <w:b w:val="0"/>
          <w:i w:val="0"/>
          <w:color w:val="000000"/>
          <w:sz w:val="20"/>
          <w:u w:val="none"/>
        </w:rPr>
        <w:t xml:space="preserve"> due to </w:t>
      </w:r>
      <w:r>
        <w:rPr>
          <w:rFonts w:ascii="Times New Roman" w:eastAsia="Times New Roman" w:hAnsi="Times New Roman" w:cs="Times New Roman"/>
          <w:b w:val="0"/>
          <w:i w:val="0"/>
          <w:color w:val="000000"/>
          <w:sz w:val="20"/>
          <w:u w:val="none"/>
        </w:rPr>
        <w:t>decrease</w:t>
      </w:r>
      <w:r>
        <w:rPr>
          <w:rFonts w:ascii="Times New Roman" w:eastAsia="Times New Roman" w:hAnsi="Times New Roman" w:cs="Times New Roman"/>
          <w:b w:val="0"/>
          <w:i w:val="0"/>
          <w:color w:val="000000"/>
          <w:sz w:val="20"/>
          <w:u w:val="none"/>
        </w:rPr>
        <w:t xml:space="preserve">d </w:t>
      </w:r>
      <w:r>
        <w:rPr>
          <w:rFonts w:ascii="Times New Roman" w:eastAsia="Times New Roman" w:hAnsi="Times New Roman" w:cs="Times New Roman"/>
          <w:b w:val="0"/>
          <w:i w:val="0"/>
          <w:color w:val="000000"/>
          <w:sz w:val="20"/>
          <w:u w:val="none"/>
        </w:rPr>
        <w:t>security</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inspection</w:t>
      </w:r>
      <w:r>
        <w:rPr>
          <w:rFonts w:ascii="Times New Roman" w:eastAsia="Times New Roman" w:hAnsi="Times New Roman" w:cs="Times New Roman"/>
          <w:b w:val="0"/>
          <w:i w:val="0"/>
          <w:color w:val="000000"/>
          <w:sz w:val="20"/>
          <w:u w:val="none"/>
        </w:rPr>
        <w:t xml:space="preserve"> product</w:t>
      </w:r>
      <w:r>
        <w:rPr>
          <w:rFonts w:ascii="Times New Roman" w:eastAsia="Times New Roman" w:hAnsi="Times New Roman" w:cs="Times New Roman"/>
          <w:b w:val="0"/>
          <w:i w:val="0"/>
          <w:color w:val="000000"/>
          <w:sz w:val="20"/>
          <w:u w:val="none"/>
        </w:rPr>
        <w:t>s</w:t>
      </w:r>
      <w:r>
        <w:rPr>
          <w:rFonts w:ascii="Times New Roman" w:eastAsia="Times New Roman" w:hAnsi="Times New Roman" w:cs="Times New Roman"/>
          <w:b w:val="0"/>
          <w:i w:val="0"/>
          <w:color w:val="000000"/>
          <w:sz w:val="20"/>
          <w:u w:val="none"/>
        </w:rPr>
        <w:t xml:space="preserve"> sales of</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$5.0 million</w:t>
      </w:r>
      <w:r>
        <w:rPr>
          <w:rFonts w:ascii="Times New Roman" w:eastAsia="Times New Roman" w:hAnsi="Times New Roman" w:cs="Times New Roman"/>
          <w:b w:val="0"/>
          <w:i w:val="0"/>
          <w:color w:val="000000"/>
          <w:sz w:val="20"/>
          <w:u w:val="none"/>
        </w:rPr>
        <w:t>, pa</w:t>
      </w:r>
      <w:r>
        <w:rPr>
          <w:rFonts w:ascii="Times New Roman" w:eastAsia="Times New Roman" w:hAnsi="Times New Roman" w:cs="Times New Roman"/>
          <w:b w:val="0"/>
          <w:i w:val="0"/>
          <w:color w:val="000000"/>
          <w:sz w:val="20"/>
          <w:u w:val="none"/>
        </w:rPr>
        <w:t xml:space="preserve">rtially offset by </w:t>
      </w:r>
      <w:r>
        <w:rPr>
          <w:rFonts w:ascii="Times New Roman" w:eastAsia="Times New Roman" w:hAnsi="Times New Roman" w:cs="Times New Roman"/>
          <w:b w:val="0"/>
          <w:i w:val="0"/>
          <w:color w:val="000000"/>
          <w:sz w:val="20"/>
          <w:u w:val="none"/>
        </w:rPr>
        <w:t xml:space="preserve">increased </w:t>
      </w:r>
      <w:r>
        <w:rPr>
          <w:rFonts w:ascii="Times New Roman" w:eastAsia="Times New Roman" w:hAnsi="Times New Roman" w:cs="Times New Roman"/>
          <w:b w:val="0"/>
          <w:i w:val="0"/>
          <w:color w:val="000000"/>
          <w:sz w:val="20"/>
          <w:u w:val="none"/>
        </w:rPr>
        <w:t>sales of</w:t>
      </w:r>
      <w:r>
        <w:rPr>
          <w:rFonts w:ascii="Times New Roman" w:eastAsia="Times New Roman" w:hAnsi="Times New Roman" w:cs="Times New Roman"/>
          <w:b w:val="0"/>
          <w:i w:val="0"/>
          <w:color w:val="000000"/>
          <w:sz w:val="20"/>
          <w:u w:val="none"/>
        </w:rPr>
        <w:t xml:space="preserve"> X-ray</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tubes</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$1.8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digital detectors of </w:t>
      </w:r>
      <w:r>
        <w:rPr>
          <w:rFonts w:ascii="Times New Roman" w:eastAsia="Times New Roman" w:hAnsi="Times New Roman" w:cs="Times New Roman"/>
          <w:b w:val="0"/>
          <w:i w:val="0"/>
          <w:color w:val="000000"/>
          <w:sz w:val="20"/>
          <w:u w:val="none"/>
        </w:rPr>
        <w:t>$1.4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and </w:t>
      </w:r>
      <w:r>
        <w:rPr>
          <w:rFonts w:ascii="Times New Roman" w:eastAsia="Times New Roman" w:hAnsi="Times New Roman" w:cs="Times New Roman"/>
          <w:b w:val="0"/>
          <w:i w:val="0"/>
          <w:color w:val="000000"/>
          <w:sz w:val="20"/>
          <w:u w:val="none"/>
        </w:rPr>
        <w:t>other</w:t>
      </w:r>
      <w:r>
        <w:rPr>
          <w:rFonts w:ascii="Times New Roman" w:eastAsia="Times New Roman" w:hAnsi="Times New Roman" w:cs="Times New Roman"/>
          <w:b w:val="0"/>
          <w:i w:val="0"/>
          <w:color w:val="000000"/>
          <w:sz w:val="20"/>
          <w:u w:val="none"/>
        </w:rPr>
        <w:t xml:space="preserve"> products</w:t>
      </w:r>
      <w:r>
        <w:rPr>
          <w:rFonts w:ascii="Times New Roman" w:eastAsia="Times New Roman" w:hAnsi="Times New Roman" w:cs="Times New Roman"/>
          <w:b w:val="0"/>
          <w:i w:val="0"/>
          <w:color w:val="000000"/>
          <w:sz w:val="20"/>
          <w:u w:val="none"/>
        </w:rPr>
        <w:t xml:space="preserve"> of </w:t>
      </w:r>
      <w:r>
        <w:rPr>
          <w:rFonts w:ascii="Times New Roman" w:eastAsia="Times New Roman" w:hAnsi="Times New Roman" w:cs="Times New Roman"/>
          <w:b w:val="0"/>
          <w:i w:val="0"/>
          <w:color w:val="000000"/>
          <w:sz w:val="20"/>
          <w:u w:val="none"/>
        </w:rPr>
        <w:t>$0.9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APAC revenues decreased </w:t>
      </w:r>
      <w:r>
        <w:rPr>
          <w:rFonts w:ascii="Times New Roman" w:eastAsia="Times New Roman" w:hAnsi="Times New Roman" w:cs="Times New Roman"/>
          <w:b w:val="0"/>
          <w:i w:val="0"/>
          <w:color w:val="000000"/>
          <w:sz w:val="20"/>
          <w:u w:val="none"/>
        </w:rPr>
        <w:t>$5.6 million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pri</w:t>
      </w:r>
      <w:r>
        <w:rPr>
          <w:rFonts w:ascii="Times New Roman" w:eastAsia="Times New Roman" w:hAnsi="Times New Roman" w:cs="Times New Roman"/>
          <w:b w:val="0"/>
          <w:i w:val="0"/>
          <w:color w:val="000000"/>
          <w:sz w:val="20"/>
          <w:u w:val="none"/>
        </w:rPr>
        <w:t xml:space="preserve">marily </w:t>
      </w:r>
      <w:r>
        <w:rPr>
          <w:rFonts w:ascii="Times New Roman" w:eastAsia="Times New Roman" w:hAnsi="Times New Roman" w:cs="Times New Roman"/>
          <w:b w:val="0"/>
          <w:i w:val="0"/>
          <w:color w:val="000000"/>
          <w:sz w:val="20"/>
          <w:u w:val="none"/>
        </w:rPr>
        <w:t xml:space="preserve">due to </w:t>
      </w:r>
      <w:r>
        <w:rPr>
          <w:rFonts w:ascii="Times New Roman" w:eastAsia="Times New Roman" w:hAnsi="Times New Roman" w:cs="Times New Roman"/>
          <w:b w:val="0"/>
          <w:i w:val="0"/>
          <w:color w:val="000000"/>
          <w:sz w:val="20"/>
          <w:u w:val="none"/>
        </w:rPr>
        <w:t>decrease</w:t>
      </w:r>
      <w:r>
        <w:rPr>
          <w:rFonts w:ascii="Times New Roman" w:eastAsia="Times New Roman" w:hAnsi="Times New Roman" w:cs="Times New Roman"/>
          <w:b w:val="0"/>
          <w:i w:val="0"/>
          <w:color w:val="000000"/>
          <w:sz w:val="20"/>
          <w:u w:val="none"/>
        </w:rPr>
        <w:t>d</w:t>
      </w:r>
      <w:r>
        <w:rPr>
          <w:rFonts w:ascii="Times New Roman" w:eastAsia="Times New Roman" w:hAnsi="Times New Roman" w:cs="Times New Roman"/>
          <w:b w:val="0"/>
          <w:i w:val="0"/>
          <w:color w:val="000000"/>
          <w:sz w:val="20"/>
          <w:u w:val="none"/>
        </w:rPr>
        <w:t xml:space="preserve"> X-ray</w:t>
      </w:r>
      <w:r>
        <w:rPr>
          <w:rFonts w:ascii="Times New Roman" w:eastAsia="Times New Roman" w:hAnsi="Times New Roman" w:cs="Times New Roman"/>
          <w:b w:val="0"/>
          <w:i w:val="0"/>
          <w:color w:val="000000"/>
          <w:sz w:val="20"/>
          <w:u w:val="none"/>
        </w:rPr>
        <w:t xml:space="preserve"> tube</w:t>
      </w:r>
      <w:r>
        <w:rPr>
          <w:rFonts w:ascii="Times New Roman" w:eastAsia="Times New Roman" w:hAnsi="Times New Roman" w:cs="Times New Roman"/>
          <w:b w:val="0"/>
          <w:i w:val="0"/>
          <w:color w:val="000000"/>
          <w:sz w:val="20"/>
          <w:u w:val="none"/>
        </w:rPr>
        <w:t>s sales</w:t>
      </w:r>
      <w:r>
        <w:rPr>
          <w:rFonts w:ascii="Times New Roman" w:eastAsia="Times New Roman" w:hAnsi="Times New Roman" w:cs="Times New Roman"/>
          <w:b w:val="0"/>
          <w:i w:val="0"/>
          <w:color w:val="000000"/>
          <w:sz w:val="20"/>
          <w:u w:val="none"/>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color w:val="000000"/>
          <w:sz w:val="20"/>
          <w:u w:val="none"/>
        </w:rPr>
        <w:tab/>
      </w:r>
      <w:r>
        <w:rPr>
          <w:rFonts w:ascii="Times New Roman" w:eastAsia="Times New Roman" w:hAnsi="Times New Roman" w:cs="Times New Roman"/>
          <w:b w:val="0"/>
          <w:i w:val="0"/>
          <w:color w:val="000000"/>
          <w:sz w:val="20"/>
          <w:u w:val="none"/>
        </w:rPr>
        <w:t xml:space="preserve">See Note </w:t>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color w:val="000000"/>
          <w:sz w:val="20"/>
          <w:u w:val="none"/>
        </w:rPr>
        <w:t>Revenue Recognition</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to the Condensed Consolidated Financial Statements for information regarding disaggregated revenue by </w:t>
      </w:r>
      <w:r>
        <w:rPr>
          <w:rFonts w:ascii="Times New Roman" w:eastAsia="Times New Roman" w:hAnsi="Times New Roman" w:cs="Times New Roman"/>
          <w:b w:val="0"/>
          <w:i w:val="0"/>
          <w:color w:val="000000"/>
          <w:sz w:val="20"/>
          <w:u w:val="none"/>
        </w:rPr>
        <w:t>country.</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shd w:val="clear" w:color="auto" w:fill="FFFF00"/>
        </w:rPr>
      </w:pPr>
      <w:r>
        <w:rPr>
          <w:rFonts w:ascii="Times New Roman" w:eastAsia="Times New Roman" w:hAnsi="Times New Roman" w:cs="Times New Roman"/>
          <w:b/>
          <w:i/>
          <w:color w:val="000000"/>
          <w:sz w:val="20"/>
          <w:u w:val="none"/>
        </w:rPr>
        <w:t>Gross Profit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Medical</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46.7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46.2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1.1</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Industrial</w:t>
            </w: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20.8</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20.7</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0.1</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
                <w:tab w:val="left" w:pos="288"/>
              </w:tabs>
              <w:spacing w:before="75" w:after="30" w:line="240" w:lineRule="auto"/>
              <w:jc w:val="right"/>
            </w:pPr>
            <w:r>
              <w:rPr>
                <w:rFonts w:ascii="Times New Roman" w:eastAsia="Times New Roman" w:hAnsi="Times New Roman" w:cs="Times New Roman"/>
                <w:b w:val="0"/>
                <w:i w:val="0"/>
                <w:color w:val="000000"/>
                <w:sz w:val="18"/>
                <w:u w:val="none"/>
              </w:rPr>
              <w:tab/>
              <w:t>0.5</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360"/>
              <w:jc w:val="left"/>
            </w:pPr>
            <w:r>
              <w:rPr>
                <w:rFonts w:ascii="Times New Roman" w:eastAsia="Times New Roman" w:hAnsi="Times New Roman" w:cs="Times New Roman"/>
                <w:b w:val="0"/>
                <w:i w:val="0"/>
                <w:color w:val="000000"/>
                <w:sz w:val="18"/>
                <w:u w:val="none"/>
              </w:rPr>
              <w:t>Total gross profit</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67.5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66.9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0.6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0.9</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15" w:after="30" w:line="240" w:lineRule="auto"/>
              <w:ind w:left="315" w:hanging="180"/>
              <w:jc w:val="left"/>
            </w:pPr>
            <w:r>
              <w:rPr>
                <w:rFonts w:ascii="Times New Roman" w:eastAsia="Times New Roman" w:hAnsi="Times New Roman" w:cs="Times New Roman"/>
                <w:b w:val="0"/>
                <w:i/>
                <w:color w:val="000000"/>
                <w:sz w:val="18"/>
                <w:u w:val="none"/>
              </w:rPr>
              <w:t>Medical gross margin</w:t>
            </w:r>
          </w:p>
        </w:tc>
        <w:tc>
          <w:tcPr>
            <w:tcW w:w="1605" w:type="dxa"/>
            <w:tcBorders>
              <w:top w:val="double" w:sz="8" w:space="0" w:color="000000"/>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32.9</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31.1</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35"/>
              <w:jc w:val="left"/>
            </w:pPr>
            <w:r>
              <w:rPr>
                <w:rFonts w:ascii="Times New Roman" w:eastAsia="Times New Roman" w:hAnsi="Times New Roman" w:cs="Times New Roman"/>
                <w:b w:val="0"/>
                <w:i/>
                <w:color w:val="000000"/>
                <w:sz w:val="18"/>
                <w:u w:val="none"/>
              </w:rPr>
              <w:t>Industrial gross margin</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34.2</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34.2</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360"/>
              <w:jc w:val="left"/>
            </w:pPr>
            <w:r>
              <w:rPr>
                <w:rFonts w:ascii="Times New Roman" w:eastAsia="Times New Roman" w:hAnsi="Times New Roman" w:cs="Times New Roman"/>
                <w:b w:val="0"/>
                <w:i/>
                <w:color w:val="000000"/>
                <w:sz w:val="18"/>
                <w:u w:val="none"/>
              </w:rPr>
              <w:t>Total gross margin</w:t>
            </w: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33.3</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32.0</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increase</w:t>
      </w:r>
      <w:r>
        <w:rPr>
          <w:rFonts w:ascii="Times New Roman" w:eastAsia="Times New Roman" w:hAnsi="Times New Roman" w:cs="Times New Roman"/>
          <w:b w:val="0"/>
          <w:i w:val="0"/>
          <w:sz w:val="20"/>
        </w:rPr>
        <w:t xml:space="preserve"> in Medical segment gross profit </w:t>
      </w:r>
      <w:r>
        <w:rPr>
          <w:rFonts w:ascii="Times New Roman" w:eastAsia="Times New Roman" w:hAnsi="Times New Roman" w:cs="Times New Roman"/>
          <w:b w:val="0"/>
          <w:i w:val="0"/>
          <w:sz w:val="20"/>
        </w:rPr>
        <w:t xml:space="preserve">was </w:t>
      </w:r>
      <w:r>
        <w:rPr>
          <w:rFonts w:ascii="Times New Roman" w:eastAsia="Times New Roman" w:hAnsi="Times New Roman" w:cs="Times New Roman"/>
          <w:b w:val="0"/>
          <w:i w:val="0"/>
          <w:sz w:val="20"/>
        </w:rPr>
        <w:t xml:space="preserve">minimal 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increase</w:t>
      </w:r>
      <w:r>
        <w:rPr>
          <w:rFonts w:ascii="Times New Roman" w:eastAsia="Times New Roman" w:hAnsi="Times New Roman" w:cs="Times New Roman"/>
          <w:b w:val="0"/>
          <w:i w:val="0"/>
          <w:sz w:val="20"/>
        </w:rPr>
        <w:t xml:space="preserve"> in</w:t>
      </w:r>
      <w:r>
        <w:rPr>
          <w:rFonts w:ascii="Times New Roman" w:eastAsia="Times New Roman" w:hAnsi="Times New Roman" w:cs="Times New Roman"/>
          <w:b w:val="0"/>
          <w:i w:val="0"/>
          <w:color w:val="000000"/>
          <w:sz w:val="20"/>
          <w:u w:val="none"/>
        </w:rPr>
        <w:t xml:space="preserve"> Industrial segment gross profit was</w:t>
      </w:r>
      <w:r>
        <w:rPr>
          <w:rFonts w:ascii="Times New Roman" w:eastAsia="Times New Roman" w:hAnsi="Times New Roman" w:cs="Times New Roman"/>
          <w:b w:val="0"/>
          <w:i w:val="0"/>
          <w:color w:val="000000"/>
          <w:sz w:val="20"/>
          <w:u w:val="none"/>
        </w:rPr>
        <w:t xml:space="preserve"> also</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minimal during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color w:val="000000"/>
          <w:sz w:val="20"/>
          <w:u w:val="none"/>
        </w:rPr>
        <w:t xml:space="preserve"> compared to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color w:val="000000"/>
          <w:sz w:val="20"/>
          <w:u w:val="none"/>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Operating Expenses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285"/>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Research and development</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21.4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22.0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(0.6)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55" w:after="30" w:line="240" w:lineRule="auto"/>
              <w:jc w:val="right"/>
            </w:pPr>
            <w:r>
              <w:rPr>
                <w:rFonts w:ascii="Times New Roman" w:eastAsia="Times New Roman" w:hAnsi="Times New Roman" w:cs="Times New Roman"/>
                <w:b w:val="0"/>
                <w:i w:val="0"/>
                <w:color w:val="000000"/>
                <w:sz w:val="18"/>
                <w:u w:val="none"/>
              </w:rPr>
              <w:tab/>
              <w:t>(2.7)</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10.5</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10.5</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Selling, general, and administrative</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32.9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35.6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w:t>
              <w:tab/>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75" w:after="30" w:line="240" w:lineRule="auto"/>
              <w:jc w:val="right"/>
            </w:pPr>
            <w:r>
              <w:rPr>
                <w:rFonts w:ascii="Times New Roman" w:eastAsia="Times New Roman" w:hAnsi="Times New Roman" w:cs="Times New Roman"/>
                <w:b w:val="0"/>
                <w:i w:val="0"/>
                <w:color w:val="000000"/>
                <w:sz w:val="18"/>
                <w:u w:val="none"/>
              </w:rPr>
              <w:tab/>
              <w:t>(7.6)</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16.2</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17.0</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Impairment of goodwill</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468"/>
              </w:tabs>
              <w:spacing w:before="75" w:after="30" w:line="240" w:lineRule="auto"/>
              <w:jc w:val="right"/>
            </w:pPr>
            <w:r>
              <w:rPr>
                <w:rFonts w:ascii="Times New Roman" w:eastAsia="Times New Roman" w:hAnsi="Times New Roman" w:cs="Times New Roman"/>
                <w:b w:val="0"/>
                <w:i w:val="0"/>
                <w:color w:val="000000"/>
                <w:sz w:val="18"/>
                <w:u w:val="none"/>
              </w:rPr>
              <w:tab/>
              <w:t>100.0</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46.3</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23"/>
              </w:tabs>
              <w:spacing w:before="75" w:after="30" w:line="240" w:lineRule="auto"/>
              <w:jc w:val="right"/>
            </w:pPr>
            <w:r>
              <w:rPr>
                <w:rFonts w:ascii="Times New Roman" w:eastAsia="Times New Roman" w:hAnsi="Times New Roman" w:cs="Times New Roman"/>
                <w:b w:val="0"/>
                <w:i/>
                <w:color w:val="000000"/>
                <w:sz w:val="18"/>
                <w:u w:val="none"/>
              </w:rPr>
              <w:tab/>
              <w:t>—</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585"/>
              <w:jc w:val="left"/>
            </w:pPr>
            <w:r>
              <w:rPr>
                <w:rFonts w:ascii="Times New Roman" w:eastAsia="Times New Roman" w:hAnsi="Times New Roman" w:cs="Times New Roman"/>
                <w:b w:val="0"/>
                <w:i w:val="0"/>
                <w:color w:val="000000"/>
                <w:sz w:val="18"/>
                <w:u w:val="none"/>
              </w:rPr>
              <w:t>Operating expenses</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148.2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57.6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90.6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468"/>
              </w:tabs>
              <w:spacing w:before="55" w:after="30" w:line="240" w:lineRule="auto"/>
              <w:jc w:val="right"/>
            </w:pPr>
            <w:r>
              <w:rPr>
                <w:rFonts w:ascii="Times New Roman" w:eastAsia="Times New Roman" w:hAnsi="Times New Roman" w:cs="Times New Roman"/>
                <w:b w:val="0"/>
                <w:i w:val="0"/>
                <w:color w:val="000000"/>
                <w:sz w:val="18"/>
                <w:u w:val="none"/>
              </w:rPr>
              <w:tab/>
              <w:t>157.3</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15" w:after="30" w:line="240" w:lineRule="auto"/>
              <w:ind w:left="585"/>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73.0</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27.5</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r>
    </w:tbl>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Research and Development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are committed to investing in the business to support long-term growth and believe long-term research and development expenses of approximately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sz w:val="20"/>
        </w:rPr>
        <w:t xml:space="preserve"> to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sz w:val="20"/>
        </w:rPr>
        <w:t xml:space="preserve"> of annual revenues is the appropriate range that will allow us to innovate and bring new products to market for our global OEM customers. </w:t>
      </w:r>
      <w:r>
        <w:rPr>
          <w:rFonts w:ascii="Times New Roman" w:eastAsia="Times New Roman" w:hAnsi="Times New Roman" w:cs="Times New Roman"/>
          <w:b w:val="0"/>
          <w:i w:val="0"/>
          <w:sz w:val="20"/>
        </w:rPr>
        <w:t xml:space="preserve">Research and development costs was </w:t>
      </w:r>
      <w:r>
        <w:rPr>
          <w:rFonts w:ascii="Times New Roman" w:eastAsia="Times New Roman" w:hAnsi="Times New Roman" w:cs="Times New Roman"/>
          <w:b w:val="0"/>
          <w:i w:val="0"/>
          <w:color w:val="000000"/>
          <w:sz w:val="20"/>
          <w:u w:val="none"/>
        </w:rPr>
        <w:t>10.5%</w:t>
      </w:r>
      <w:r>
        <w:rPr>
          <w:rFonts w:ascii="Times New Roman" w:eastAsia="Times New Roman" w:hAnsi="Times New Roman" w:cs="Times New Roman"/>
          <w:b w:val="0"/>
          <w:i w:val="0"/>
          <w:sz w:val="20"/>
        </w:rPr>
        <w:t xml:space="preserve"> of revenues for the </w:t>
      </w:r>
      <w:r>
        <w:rPr>
          <w:rFonts w:ascii="Times New Roman" w:eastAsia="Times New Roman" w:hAnsi="Times New Roman" w:cs="Times New Roman"/>
          <w:b w:val="0"/>
          <w:i w:val="0"/>
          <w:sz w:val="20"/>
        </w:rPr>
        <w:t>third</w:t>
      </w:r>
      <w:r>
        <w:rPr>
          <w:rFonts w:ascii="Times New Roman" w:eastAsia="Times New Roman" w:hAnsi="Times New Roman" w:cs="Times New Roman"/>
          <w:b w:val="0"/>
          <w:i w:val="0"/>
          <w:sz w:val="20"/>
        </w:rPr>
        <w:t xml:space="preserve"> quarter of fiscal year </w:t>
      </w:r>
      <w:r>
        <w:rPr>
          <w:rFonts w:ascii="Times New Roman" w:eastAsia="Times New Roman" w:hAnsi="Times New Roman" w:cs="Times New Roman"/>
          <w:b w:val="0"/>
          <w:i w:val="0"/>
          <w:sz w:val="20"/>
        </w:rPr>
        <w:t>2025, in-line with research and development costs in the prior year period</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Selling, General, and Administrative</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Selling, general, and administrative</w:t>
      </w:r>
      <w:r>
        <w:rPr>
          <w:rFonts w:ascii="Times New Roman" w:eastAsia="Times New Roman" w:hAnsi="Times New Roman" w:cs="Times New Roman"/>
          <w:b w:val="0"/>
          <w:i w:val="0"/>
          <w:sz w:val="20"/>
        </w:rPr>
        <w:t xml:space="preserve"> expenses for the </w:t>
      </w:r>
      <w:r>
        <w:rPr>
          <w:rFonts w:ascii="Times New Roman" w:eastAsia="Times New Roman" w:hAnsi="Times New Roman" w:cs="Times New Roman"/>
          <w:b w:val="0"/>
          <w:i w:val="0"/>
          <w:color w:val="000000"/>
          <w:sz w:val="20"/>
          <w:u w:val="none"/>
        </w:rPr>
        <w:t>third</w:t>
      </w:r>
      <w:r>
        <w:rPr>
          <w:rFonts w:ascii="Times New Roman" w:eastAsia="Times New Roman" w:hAnsi="Times New Roman" w:cs="Times New Roman"/>
          <w:b w:val="0"/>
          <w:i w:val="0"/>
          <w:sz w:val="20"/>
        </w:rPr>
        <w:t xml:space="preserve"> quarter of fiscal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decreased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$2.7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primarily due to</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 decrease</w:t>
      </w:r>
      <w:r>
        <w:rPr>
          <w:rFonts w:ascii="Times New Roman" w:eastAsia="Times New Roman" w:hAnsi="Times New Roman" w:cs="Times New Roman"/>
          <w:b w:val="0"/>
          <w:i w:val="0"/>
          <w:sz w:val="20"/>
        </w:rPr>
        <w:t xml:space="preserve"> in</w:t>
      </w:r>
      <w:r>
        <w:rPr>
          <w:rFonts w:ascii="Times New Roman" w:eastAsia="Times New Roman" w:hAnsi="Times New Roman" w:cs="Times New Roman"/>
          <w:b w:val="0"/>
          <w:i w:val="0"/>
          <w:sz w:val="20"/>
        </w:rPr>
        <w:t xml:space="preserve"> environmental remediation cost</w:t>
      </w:r>
      <w:r>
        <w:rPr>
          <w:rFonts w:ascii="Times New Roman" w:eastAsia="Times New Roman" w:hAnsi="Times New Roman" w:cs="Times New Roman"/>
          <w:b w:val="0"/>
          <w:i w:val="0"/>
          <w:sz w:val="20"/>
        </w:rPr>
        <w:t xml:space="preserve">s of </w:t>
      </w:r>
      <w:r>
        <w:rPr>
          <w:rFonts w:ascii="Times New Roman" w:eastAsia="Times New Roman" w:hAnsi="Times New Roman" w:cs="Times New Roman"/>
          <w:b w:val="0"/>
          <w:i w:val="0"/>
          <w:color w:val="000000"/>
          <w:sz w:val="20"/>
          <w:u w:val="none"/>
        </w:rPr>
        <w:t>$1.8 million</w:t>
      </w:r>
      <w:r>
        <w:rPr>
          <w:rFonts w:ascii="Times New Roman" w:eastAsia="Times New Roman" w:hAnsi="Times New Roman" w:cs="Times New Roman"/>
          <w:b w:val="0"/>
          <w:i w:val="0"/>
          <w:sz w:val="20"/>
        </w:rPr>
        <w:t xml:space="preserve"> and a decrease</w:t>
      </w:r>
      <w:r>
        <w:rPr>
          <w:rFonts w:ascii="Times New Roman" w:eastAsia="Times New Roman" w:hAnsi="Times New Roman" w:cs="Times New Roman"/>
          <w:b w:val="0"/>
          <w:i w:val="0"/>
          <w:sz w:val="20"/>
        </w:rPr>
        <w:t xml:space="preserve"> in amortization of intangibles of </w:t>
      </w:r>
      <w:r>
        <w:rPr>
          <w:rFonts w:ascii="Times New Roman" w:eastAsia="Times New Roman" w:hAnsi="Times New Roman" w:cs="Times New Roman"/>
          <w:b w:val="0"/>
          <w:i w:val="0"/>
          <w:color w:val="000000"/>
          <w:sz w:val="20"/>
          <w:u w:val="none"/>
        </w:rPr>
        <w:t>$0.4 million</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Impairment of </w:t>
      </w:r>
      <w:r>
        <w:rPr>
          <w:rFonts w:ascii="Times New Roman" w:eastAsia="Times New Roman" w:hAnsi="Times New Roman" w:cs="Times New Roman"/>
          <w:b w:val="0"/>
          <w:i/>
          <w:sz w:val="20"/>
        </w:rPr>
        <w:t>Goodwill</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During the third quarter of fiscal year 2025, we recognized a</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goodwill</w:t>
      </w:r>
      <w:r>
        <w:rPr>
          <w:rFonts w:ascii="Times New Roman" w:eastAsia="Times New Roman" w:hAnsi="Times New Roman" w:cs="Times New Roman"/>
          <w:b w:val="0"/>
          <w:i w:val="0"/>
          <w:color w:val="000000"/>
          <w:sz w:val="20"/>
          <w:u w:val="none"/>
        </w:rPr>
        <w:t xml:space="preserve"> impairment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charge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following a determination </w:t>
      </w:r>
      <w:r>
        <w:rPr>
          <w:rFonts w:ascii="Times New Roman" w:eastAsia="Times New Roman" w:hAnsi="Times New Roman" w:cs="Times New Roman"/>
          <w:b w:val="0"/>
          <w:i w:val="0"/>
          <w:sz w:val="20"/>
        </w:rPr>
        <w:t xml:space="preserve">that the fair value of the Medical </w:t>
      </w:r>
      <w:r>
        <w:rPr>
          <w:rFonts w:ascii="Times New Roman" w:eastAsia="Times New Roman" w:hAnsi="Times New Roman" w:cs="Times New Roman"/>
          <w:b w:val="0"/>
          <w:i w:val="0"/>
          <w:sz w:val="20"/>
        </w:rPr>
        <w:t>reporting unit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was below </w:t>
      </w:r>
      <w:r>
        <w:rPr>
          <w:rFonts w:ascii="Times New Roman" w:eastAsia="Times New Roman" w:hAnsi="Times New Roman" w:cs="Times New Roman"/>
          <w:b w:val="0"/>
          <w:i w:val="0"/>
          <w:sz w:val="20"/>
        </w:rPr>
        <w:t>its</w:t>
      </w:r>
      <w:r>
        <w:rPr>
          <w:rFonts w:ascii="Times New Roman" w:eastAsia="Times New Roman" w:hAnsi="Times New Roman" w:cs="Times New Roman"/>
          <w:b w:val="0"/>
          <w:i w:val="0"/>
          <w:sz w:val="20"/>
        </w:rPr>
        <w:t xml:space="preserve"> carrying value</w:t>
      </w:r>
      <w:r>
        <w:rPr>
          <w:rFonts w:ascii="Times New Roman" w:eastAsia="Times New Roman" w:hAnsi="Times New Roman" w:cs="Times New Roman"/>
          <w:b w:val="0"/>
          <w:i w:val="0"/>
          <w:sz w:val="20"/>
        </w:rPr>
        <w:t>. See</w:t>
      </w:r>
      <w:r>
        <w:rPr>
          <w:rFonts w:ascii="Times New Roman" w:eastAsia="Times New Roman" w:hAnsi="Times New Roman" w:cs="Times New Roman"/>
          <w:b w:val="0"/>
          <w:i w:val="0"/>
          <w:sz w:val="20"/>
        </w:rPr>
        <w:t xml:space="preserve"> Note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Goodwill and Intangible Assets</w:t>
      </w:r>
      <w:r>
        <w:rPr>
          <w:rFonts w:ascii="Times New Roman" w:eastAsia="Times New Roman" w:hAnsi="Times New Roman" w:cs="Times New Roman"/>
          <w:b w:val="0"/>
          <w:i/>
          <w:sz w:val="20"/>
        </w:rPr>
        <w:t>,</w:t>
      </w:r>
      <w:r>
        <w:rPr>
          <w:rFonts w:ascii="Times New Roman" w:eastAsia="Times New Roman" w:hAnsi="Times New Roman" w:cs="Times New Roman"/>
          <w:b w:val="0"/>
          <w:i/>
          <w:sz w:val="20"/>
        </w:rPr>
        <w:t xml:space="preserve"> </w:t>
      </w:r>
      <w:r>
        <w:rPr>
          <w:rFonts w:ascii="Times New Roman" w:eastAsia="Times New Roman" w:hAnsi="Times New Roman" w:cs="Times New Roman"/>
          <w:b w:val="0"/>
          <w:i w:val="0"/>
          <w:sz w:val="20"/>
        </w:rPr>
        <w:t xml:space="preserve">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of this report for further details.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Interest and Other Expense, Net</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following table summarizes the Company’s interest and other expense, net: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35"/>
        <w:gridCol w:w="1605"/>
        <w:gridCol w:w="75"/>
        <w:gridCol w:w="1605"/>
        <w:gridCol w:w="75"/>
        <w:gridCol w:w="1605"/>
      </w:tblGrid>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hanging="180"/>
              <w:jc w:val="left"/>
            </w:pPr>
            <w:r>
              <w:rPr>
                <w:rFonts w:ascii="Times New Roman" w:eastAsia="Times New Roman" w:hAnsi="Times New Roman" w:cs="Times New Roman"/>
                <w:b w:val="0"/>
                <w:i w:val="0"/>
                <w:color w:val="000000"/>
                <w:sz w:val="18"/>
                <w:u w:val="none"/>
              </w:rPr>
              <w:t>Interest income</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0.7</w:t>
              <w:tab/>
            </w:r>
          </w:p>
        </w:tc>
      </w:tr>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Interest expense</w:t>
            </w: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(9.4)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(7.4)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(2.0)</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Other income (expense), net</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1.0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(2.9)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3.9</w:t>
              <w:tab/>
            </w:r>
          </w:p>
        </w:tc>
      </w:tr>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53" w:type="dxa"/>
              <w:bottom w:w="0" w:type="dxa"/>
              <w:right w:w="53" w:type="dxa"/>
            </w:tcMar>
            <w:vAlign w:val="top"/>
          </w:tcPr>
          <w:p>
            <w:pPr>
              <w:pageBreakBefore w:val="0"/>
              <w:spacing w:before="55" w:after="30" w:line="240" w:lineRule="auto"/>
              <w:ind w:left="360"/>
              <w:jc w:val="left"/>
            </w:pPr>
            <w:r>
              <w:rPr>
                <w:rFonts w:ascii="Times New Roman" w:eastAsia="Times New Roman" w:hAnsi="Times New Roman" w:cs="Times New Roman"/>
                <w:b w:val="0"/>
                <w:i w:val="0"/>
                <w:color w:val="000000"/>
                <w:sz w:val="18"/>
                <w:u w:val="none"/>
              </w:rPr>
              <w:t>Interest and other expense, net</w:t>
            </w:r>
          </w:p>
        </w:tc>
        <w:tc>
          <w:tcPr>
            <w:tcW w:w="1605" w:type="dxa"/>
            <w:tcBorders>
              <w:top w:val="single" w:sz="8" w:space="0" w:color="000000"/>
              <w:left w:val="nil"/>
              <w:bottom w:val="double" w:sz="8" w:space="0" w:color="000000"/>
              <w:right w:val="nil"/>
            </w:tcBorders>
            <w:tcMar>
              <w:top w:w="0" w:type="dxa"/>
              <w:left w:w="0" w:type="dxa"/>
              <w:bottom w:w="0" w:type="dxa"/>
              <w:right w:w="15" w:type="dxa"/>
            </w:tcMar>
            <w:vAlign w:val="bottom"/>
          </w:tcPr>
          <w:p>
            <w:pPr>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(5.9)</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tcMar>
              <w:top w:w="0" w:type="dxa"/>
              <w:left w:w="0" w:type="dxa"/>
              <w:bottom w:w="0" w:type="dxa"/>
              <w:right w:w="15" w:type="dxa"/>
            </w:tcMar>
            <w:vAlign w:val="bottom"/>
          </w:tcPr>
          <w:p>
            <w:pPr>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(8.5)</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tcMar>
              <w:top w:w="0" w:type="dxa"/>
              <w:left w:w="0" w:type="dxa"/>
              <w:bottom w:w="0" w:type="dxa"/>
              <w:right w:w="15" w:type="dxa"/>
            </w:tcMar>
            <w:vAlign w:val="bottom"/>
          </w:tcPr>
          <w:p>
            <w:pPr>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2.6</w:t>
              <w:tab/>
            </w: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Interest 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due t</w:t>
      </w:r>
      <w:r>
        <w:rPr>
          <w:rFonts w:ascii="Times New Roman" w:eastAsia="Times New Roman" w:hAnsi="Times New Roman" w:cs="Times New Roman"/>
          <w:b w:val="0"/>
          <w:i w:val="0"/>
          <w:sz w:val="20"/>
        </w:rPr>
        <w:t xml:space="preserve">o an increase </w:t>
      </w:r>
      <w:r>
        <w:rPr>
          <w:rFonts w:ascii="Times New Roman" w:eastAsia="Times New Roman" w:hAnsi="Times New Roman" w:cs="Times New Roman"/>
          <w:b w:val="0"/>
          <w:i w:val="0"/>
          <w:color w:val="000000"/>
          <w:sz w:val="20"/>
          <w:u w:val="none"/>
        </w:rPr>
        <w:t>in</w:t>
      </w:r>
      <w:r>
        <w:rPr>
          <w:rFonts w:ascii="Times New Roman" w:eastAsia="Times New Roman" w:hAnsi="Times New Roman" w:cs="Times New Roman"/>
          <w:b w:val="0"/>
          <w:i w:val="0"/>
          <w:sz w:val="20"/>
        </w:rPr>
        <w:t xml:space="preserve"> cash, cash equivalents, and restricted cash from the proceeds of the </w:t>
      </w:r>
      <w:r>
        <w:rPr>
          <w:rFonts w:ascii="Times New Roman" w:eastAsia="Times New Roman" w:hAnsi="Times New Roman" w:cs="Times New Roman"/>
          <w:b w:val="0"/>
          <w:i w:val="0"/>
          <w:color w:val="000000"/>
          <w:sz w:val="20"/>
          <w:u w:val="none"/>
        </w:rPr>
        <w:t>$125.0 million</w:t>
      </w:r>
      <w:r>
        <w:rPr>
          <w:rFonts w:ascii="Times New Roman" w:eastAsia="Times New Roman" w:hAnsi="Times New Roman" w:cs="Times New Roman"/>
          <w:b w:val="0"/>
          <w:i w:val="0"/>
          <w:sz w:val="20"/>
        </w:rPr>
        <w:t xml:space="preserve"> of Senior Secured Noted Add On offering completed by the Company in December 2024 ("Senior Secured Notes Add On") being held in interest bearing deposit accounts.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Interest expense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due</w:t>
      </w:r>
      <w:r>
        <w:rPr>
          <w:rFonts w:ascii="Times New Roman" w:eastAsia="Times New Roman" w:hAnsi="Times New Roman" w:cs="Times New Roman"/>
          <w:b w:val="0"/>
          <w:i w:val="0"/>
          <w:sz w:val="20"/>
        </w:rPr>
        <w:t xml:space="preserve"> to interest costs in connection with the additional Senior Secured Notes issued during the first quarter of fiscal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w:t>
      </w:r>
      <w:r>
        <w:rPr>
          <w:rFonts w:ascii="Times New Roman" w:eastAsia="Times New Roman" w:hAnsi="Times New Roman" w:cs="Times New Roman"/>
          <w:b w:val="0"/>
          <w:i w:val="0"/>
          <w:sz w:val="20"/>
        </w:rPr>
        <w:t xml:space="preserve">due to </w:t>
      </w:r>
      <w:r>
        <w:rPr>
          <w:rFonts w:ascii="Times New Roman" w:eastAsia="Times New Roman" w:hAnsi="Times New Roman" w:cs="Times New Roman"/>
          <w:b w:val="0"/>
          <w:i w:val="0"/>
          <w:sz w:val="20"/>
        </w:rPr>
        <w:t xml:space="preserve">gains and </w:t>
      </w:r>
      <w:r>
        <w:rPr>
          <w:rFonts w:ascii="Times New Roman" w:eastAsia="Times New Roman" w:hAnsi="Times New Roman" w:cs="Times New Roman"/>
          <w:b w:val="0"/>
          <w:i w:val="0"/>
          <w:sz w:val="20"/>
        </w:rPr>
        <w:t>de</w:t>
      </w:r>
      <w:r>
        <w:rPr>
          <w:rFonts w:ascii="Times New Roman" w:eastAsia="Times New Roman" w:hAnsi="Times New Roman" w:cs="Times New Roman"/>
          <w:b w:val="0"/>
          <w:i w:val="0"/>
          <w:sz w:val="20"/>
        </w:rPr>
        <w:t xml:space="preserve">creased losses in certain investments in privately-held companies and equity investments of </w:t>
      </w:r>
      <w:r>
        <w:rPr>
          <w:rFonts w:ascii="Times New Roman" w:eastAsia="Times New Roman" w:hAnsi="Times New Roman" w:cs="Times New Roman"/>
          <w:b w:val="0"/>
          <w:i w:val="0"/>
          <w:color w:val="000000"/>
          <w:sz w:val="20"/>
          <w:u w:val="none"/>
        </w:rPr>
        <w:t>$2.8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increased foreign exchange </w:t>
      </w:r>
      <w:r>
        <w:rPr>
          <w:rFonts w:ascii="Times New Roman" w:eastAsia="Times New Roman" w:hAnsi="Times New Roman" w:cs="Times New Roman"/>
          <w:b w:val="0"/>
          <w:i w:val="0"/>
          <w:sz w:val="20"/>
        </w:rPr>
        <w:t>gain</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$0.4 million</w:t>
      </w:r>
      <w:r>
        <w:rPr>
          <w:rFonts w:ascii="Times New Roman" w:eastAsia="Times New Roman" w:hAnsi="Times New Roman" w:cs="Times New Roman"/>
          <w:b w:val="0"/>
          <w:i w:val="0"/>
          <w:sz w:val="20"/>
        </w:rPr>
        <w:t>, and</w:t>
      </w:r>
      <w:r>
        <w:rPr>
          <w:rFonts w:ascii="Times New Roman" w:eastAsia="Times New Roman" w:hAnsi="Times New Roman" w:cs="Times New Roman"/>
          <w:b w:val="0"/>
          <w:i w:val="0"/>
          <w:sz w:val="20"/>
        </w:rPr>
        <w:t xml:space="preserve"> a</w:t>
      </w:r>
      <w:r>
        <w:rPr>
          <w:rFonts w:ascii="Times New Roman" w:eastAsia="Times New Roman" w:hAnsi="Times New Roman" w:cs="Times New Roman"/>
          <w:b w:val="0"/>
          <w:i w:val="0"/>
          <w:sz w:val="20"/>
        </w:rPr>
        <w:t xml:space="preserve"> gain </w:t>
      </w:r>
      <w:r>
        <w:rPr>
          <w:rFonts w:ascii="Times New Roman" w:eastAsia="Times New Roman" w:hAnsi="Times New Roman" w:cs="Times New Roman"/>
          <w:b w:val="0"/>
          <w:i w:val="0"/>
          <w:sz w:val="20"/>
        </w:rPr>
        <w:t xml:space="preserve">on sale of fixed assets of </w:t>
      </w:r>
      <w:r>
        <w:rPr>
          <w:rFonts w:ascii="Times New Roman" w:eastAsia="Times New Roman" w:hAnsi="Times New Roman" w:cs="Times New Roman"/>
          <w:b w:val="0"/>
          <w:i w:val="0"/>
          <w:color w:val="000000"/>
          <w:sz w:val="20"/>
          <w:u w:val="none"/>
        </w:rPr>
        <w:t>$0.6 million</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color w:val="000000"/>
          <w:sz w:val="20"/>
          <w:u w:val="none"/>
        </w:rPr>
        <w:t>Taxes on (Loss) income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For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sz w:val="20"/>
        </w:rPr>
        <w:t>, we recognized inco</w:t>
      </w:r>
      <w:r>
        <w:rPr>
          <w:rFonts w:ascii="Times New Roman" w:eastAsia="Times New Roman" w:hAnsi="Times New Roman" w:cs="Times New Roman"/>
          <w:b w:val="0"/>
          <w:i w:val="0"/>
          <w:sz w:val="20"/>
        </w:rPr>
        <w:t xml:space="preserve">me tax </w:t>
      </w:r>
      <w:r>
        <w:rPr>
          <w:rFonts w:ascii="Times New Roman" w:eastAsia="Times New Roman" w:hAnsi="Times New Roman" w:cs="Times New Roman"/>
          <w:b w:val="0"/>
          <w:i w:val="0"/>
          <w:color w:val="000000"/>
          <w:sz w:val="20"/>
          <w:u w:val="none"/>
        </w:rPr>
        <w:t>expense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$2.5 million</w:t>
      </w:r>
      <w:r>
        <w:rPr>
          <w:rFonts w:ascii="Times New Roman" w:eastAsia="Times New Roman" w:hAnsi="Times New Roman" w:cs="Times New Roman"/>
          <w:b w:val="0"/>
          <w:i w:val="0"/>
          <w:sz w:val="20"/>
        </w:rPr>
        <w:t xml:space="preserve"> on </w:t>
      </w:r>
      <w:r>
        <w:rPr>
          <w:rFonts w:ascii="Times New Roman" w:eastAsia="Times New Roman" w:hAnsi="Times New Roman" w:cs="Times New Roman"/>
          <w:b w:val="0"/>
          <w:i w:val="0"/>
          <w:color w:val="000000"/>
          <w:sz w:val="20"/>
          <w:u w:val="none"/>
        </w:rPr>
        <w:t>$86.6 million</w:t>
      </w:r>
      <w:r>
        <w:rPr>
          <w:rFonts w:ascii="Times New Roman" w:eastAsia="Times New Roman" w:hAnsi="Times New Roman" w:cs="Times New Roman"/>
          <w:b w:val="0"/>
          <w:i w:val="0"/>
          <w:sz w:val="20"/>
        </w:rPr>
        <w:t xml:space="preserve"> of pre-tax </w:t>
      </w:r>
      <w:r>
        <w:rPr>
          <w:rFonts w:ascii="Times New Roman" w:eastAsia="Times New Roman" w:hAnsi="Times New Roman" w:cs="Times New Roman"/>
          <w:b w:val="0"/>
          <w:i w:val="0"/>
          <w:color w:val="000000"/>
          <w:sz w:val="20"/>
          <w:u w:val="none"/>
        </w:rPr>
        <w:t>loss</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three months ended June 28, 2024</w:t>
      </w:r>
      <w:r>
        <w:rPr>
          <w:rFonts w:ascii="Times New Roman" w:eastAsia="Times New Roman" w:hAnsi="Times New Roman" w:cs="Times New Roman"/>
          <w:b w:val="0"/>
          <w:i w:val="0"/>
          <w:sz w:val="20"/>
        </w:rPr>
        <w:t xml:space="preserve">, we recognized income tax </w:t>
      </w:r>
      <w:r>
        <w:rPr>
          <w:rFonts w:ascii="Times New Roman" w:eastAsia="Times New Roman" w:hAnsi="Times New Roman" w:cs="Times New Roman"/>
          <w:b w:val="0"/>
          <w:i w:val="0"/>
          <w:color w:val="000000"/>
          <w:sz w:val="20"/>
          <w:u w:val="none"/>
        </w:rPr>
        <w:t>benefit</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$0.7 million</w:t>
      </w:r>
      <w:r>
        <w:rPr>
          <w:rFonts w:ascii="Times New Roman" w:eastAsia="Times New Roman" w:hAnsi="Times New Roman" w:cs="Times New Roman"/>
          <w:b w:val="0"/>
          <w:i w:val="0"/>
          <w:sz w:val="20"/>
        </w:rPr>
        <w:t xml:space="preserve"> on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sz w:val="20"/>
        </w:rPr>
        <w:t xml:space="preserve"> of pre-tax </w:t>
      </w:r>
      <w:r>
        <w:rPr>
          <w:rFonts w:ascii="Times New Roman" w:eastAsia="Times New Roman" w:hAnsi="Times New Roman" w:cs="Times New Roman"/>
          <w:b w:val="0"/>
          <w:i w:val="0"/>
          <w:color w:val="000000"/>
          <w:sz w:val="20"/>
          <w:u w:val="none"/>
        </w:rPr>
        <w:t>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Our tax expense increased for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sz w:val="20"/>
        </w:rPr>
        <w:t>, p</w:t>
      </w:r>
      <w:r>
        <w:rPr>
          <w:rFonts w:ascii="Times New Roman" w:eastAsia="Times New Roman" w:hAnsi="Times New Roman" w:cs="Times New Roman"/>
          <w:b w:val="0"/>
          <w:i w:val="0"/>
          <w:sz w:val="20"/>
        </w:rPr>
        <w:t>rimarily due</w:t>
      </w:r>
      <w:r>
        <w:rPr>
          <w:rFonts w:ascii="Times New Roman" w:eastAsia="Times New Roman" w:hAnsi="Times New Roman" w:cs="Times New Roman"/>
          <w:b w:val="0"/>
          <w:i w:val="0"/>
          <w:sz w:val="20"/>
        </w:rPr>
        <w:t xml:space="preserve"> to the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non-tax deductible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goodwill impairment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increase</w:t>
      </w:r>
      <w:r>
        <w:rPr>
          <w:rFonts w:ascii="Times New Roman" w:eastAsia="Times New Roman" w:hAnsi="Times New Roman" w:cs="Times New Roman"/>
          <w:b w:val="0"/>
          <w:i w:val="0"/>
          <w:sz w:val="20"/>
        </w:rPr>
        <w:t>d pre-tax income in certain jurisdiction</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valuation allowance positions in the U.S. on deferred tax assets</w:t>
      </w:r>
      <w:r>
        <w:rPr>
          <w:rFonts w:ascii="Times New Roman" w:eastAsia="Times New Roman" w:hAnsi="Times New Roman" w:cs="Times New Roman"/>
          <w:b w:val="0"/>
          <w:i w:val="0"/>
          <w:sz w:val="20"/>
        </w:rPr>
        <w:t xml:space="preserve"> and losses in certain foreign jurisdictions for which no benefit can be recorded.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sectPr>
          <w:type w:val="continuous"/>
          <w:pgSz w:w="12240" w:h="15840"/>
          <w:pgMar w:top="1080" w:right="720" w:bottom="1080" w:left="72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4" w:name="Section35"/>
      <w:bookmarkEnd w:id="34"/>
      <w:r>
        <w:rPr>
          <w:rFonts w:ascii="Times New Roman" w:eastAsia="Times New Roman" w:hAnsi="Times New Roman" w:cs="Times New Roman"/>
          <w:b/>
          <w:i w:val="0"/>
          <w:sz w:val="20"/>
        </w:rPr>
        <w:t xml:space="preserve">Discussion of Results of Operations for the </w:t>
      </w:r>
      <w:r>
        <w:rPr>
          <w:rFonts w:ascii="Times New Roman" w:eastAsia="Times New Roman" w:hAnsi="Times New Roman" w:cs="Times New Roman"/>
          <w:b/>
          <w:i w:val="0"/>
          <w:color w:val="000000"/>
          <w:sz w:val="20"/>
          <w:u w:val="none"/>
        </w:rPr>
        <w:t>Nine Months Ended July 4, 2025</w:t>
      </w:r>
      <w:r>
        <w:rPr>
          <w:rFonts w:ascii="Times New Roman" w:eastAsia="Times New Roman" w:hAnsi="Times New Roman" w:cs="Times New Roman"/>
          <w:b/>
          <w:i w:val="0"/>
          <w:sz w:val="20"/>
        </w:rPr>
        <w:t xml:space="preserve"> Compared to the </w:t>
      </w:r>
      <w:r>
        <w:rPr>
          <w:rFonts w:ascii="Times New Roman" w:eastAsia="Times New Roman" w:hAnsi="Times New Roman" w:cs="Times New Roman"/>
          <w:b/>
          <w:i w:val="0"/>
          <w:color w:val="000000"/>
          <w:sz w:val="20"/>
          <w:u w:val="none"/>
        </w:rPr>
        <w:t>Nine Months Ended June 28, 2024</w:t>
      </w:r>
      <w:r>
        <w:rPr>
          <w:rFonts w:ascii="Times New Roman" w:eastAsia="Times New Roman" w:hAnsi="Times New Roman" w:cs="Times New Roman"/>
          <w:b/>
          <w:i w:val="0"/>
          <w:sz w:val="20"/>
        </w:rPr>
        <w:t xml:space="preserve"> </w:t>
      </w:r>
    </w:p>
    <w:p>
      <w:pPr>
        <w:keepNext/>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Revenues</w:t>
      </w:r>
      <w:r>
        <w:rPr>
          <w:rFonts w:ascii="Times New Roman" w:eastAsia="Times New Roman" w:hAnsi="Times New Roman" w:cs="Times New Roman"/>
          <w:b/>
          <w:i/>
          <w:sz w:val="20"/>
        </w:rPr>
        <w:t>, net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Medical</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440.5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437.3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3.2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0.7</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Industrial</w:t>
            </w: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24"/>
                <w:tab w:val="left" w:pos="1537"/>
              </w:tabs>
              <w:spacing w:before="75" w:after="30" w:line="240" w:lineRule="auto"/>
              <w:jc w:val="right"/>
            </w:pPr>
            <w:r>
              <w:rPr>
                <w:rFonts w:ascii="Times New Roman" w:eastAsia="Times New Roman" w:hAnsi="Times New Roman" w:cs="Times New Roman"/>
                <w:b w:val="0"/>
                <w:i w:val="0"/>
                <w:color w:val="000000"/>
                <w:sz w:val="18"/>
                <w:u w:val="none"/>
              </w:rPr>
              <w:tab/>
              <w:t>175.2</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24"/>
                <w:tab w:val="left" w:pos="1537"/>
              </w:tabs>
              <w:spacing w:before="75" w:after="30" w:line="240" w:lineRule="auto"/>
              <w:jc w:val="right"/>
            </w:pPr>
            <w:r>
              <w:rPr>
                <w:rFonts w:ascii="Times New Roman" w:eastAsia="Times New Roman" w:hAnsi="Times New Roman" w:cs="Times New Roman"/>
                <w:b w:val="0"/>
                <w:i w:val="0"/>
                <w:color w:val="000000"/>
                <w:sz w:val="18"/>
                <w:u w:val="none"/>
              </w:rPr>
              <w:tab/>
              <w:t>168.0</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7.2</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88"/>
              </w:tabs>
              <w:spacing w:before="75" w:after="30" w:line="240" w:lineRule="auto"/>
              <w:jc w:val="right"/>
            </w:pPr>
            <w:r>
              <w:rPr>
                <w:rFonts w:ascii="Times New Roman" w:eastAsia="Times New Roman" w:hAnsi="Times New Roman" w:cs="Times New Roman"/>
                <w:b w:val="0"/>
                <w:i w:val="0"/>
                <w:color w:val="000000"/>
                <w:sz w:val="18"/>
                <w:u w:val="none"/>
              </w:rPr>
              <w:tab/>
              <w:t>4.3</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585"/>
              <w:jc w:val="left"/>
            </w:pPr>
            <w:r>
              <w:rPr>
                <w:rFonts w:ascii="Times New Roman" w:eastAsia="Times New Roman" w:hAnsi="Times New Roman" w:cs="Times New Roman"/>
                <w:b w:val="0"/>
                <w:i w:val="0"/>
                <w:color w:val="000000"/>
                <w:sz w:val="18"/>
                <w:u w:val="none"/>
              </w:rPr>
              <w:t>Total revenues, net</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615.7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605.3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10.4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1.7</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15" w:after="30" w:line="240" w:lineRule="auto"/>
              <w:ind w:left="180"/>
              <w:jc w:val="left"/>
            </w:pPr>
            <w:r>
              <w:rPr>
                <w:rFonts w:ascii="Times New Roman" w:eastAsia="Times New Roman" w:hAnsi="Times New Roman" w:cs="Times New Roman"/>
                <w:b w:val="0"/>
                <w:i/>
                <w:color w:val="000000"/>
                <w:sz w:val="18"/>
                <w:u w:val="none"/>
              </w:rPr>
              <w:t>Medical as a percentage of total revenues, net</w:t>
            </w: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71.5</w:t>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72.2</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75" w:after="30" w:line="240" w:lineRule="auto"/>
              <w:ind w:left="180"/>
              <w:jc w:val="left"/>
            </w:pPr>
            <w:r>
              <w:rPr>
                <w:rFonts w:ascii="Times New Roman" w:eastAsia="Times New Roman" w:hAnsi="Times New Roman" w:cs="Times New Roman"/>
                <w:b w:val="0"/>
                <w:i/>
                <w:color w:val="000000"/>
                <w:sz w:val="18"/>
                <w:u w:val="none"/>
              </w:rPr>
              <w:t>Industrial as a percentage of total revenues, net</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28.5</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27.8</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4"/>
        </w:rPr>
        <w:tab/>
      </w:r>
      <w:r>
        <w:rPr>
          <w:rFonts w:ascii="Times New Roman" w:eastAsia="Times New Roman" w:hAnsi="Times New Roman" w:cs="Times New Roman"/>
          <w:b w:val="0"/>
          <w:i w:val="0"/>
          <w:sz w:val="20"/>
        </w:rPr>
        <w:t xml:space="preserve">Medical revenues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$3.2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primarily due to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sales of CT</w:t>
      </w:r>
      <w:r>
        <w:rPr>
          <w:rFonts w:ascii="Times New Roman" w:eastAsia="Times New Roman" w:hAnsi="Times New Roman" w:cs="Times New Roman"/>
          <w:b w:val="0"/>
          <w:i w:val="0"/>
          <w:sz w:val="20"/>
        </w:rPr>
        <w:t xml:space="preserve"> and</w:t>
      </w:r>
      <w:r>
        <w:rPr>
          <w:rFonts w:ascii="Times New Roman" w:eastAsia="Times New Roman" w:hAnsi="Times New Roman" w:cs="Times New Roman"/>
          <w:b w:val="0"/>
          <w:i w:val="0"/>
          <w:sz w:val="20"/>
        </w:rPr>
        <w:t xml:space="preserve"> oncology</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$17.1 million</w:t>
      </w:r>
      <w:r>
        <w:rPr>
          <w:rFonts w:ascii="Times New Roman" w:eastAsia="Times New Roman" w:hAnsi="Times New Roman" w:cs="Times New Roman"/>
          <w:b w:val="0"/>
          <w:i w:val="0"/>
          <w:sz w:val="20"/>
        </w:rPr>
        <w:t>, partially offset by decreased sales in radiography,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fluoroscopi</w:t>
      </w:r>
      <w:r>
        <w:rPr>
          <w:rFonts w:ascii="Times New Roman" w:eastAsia="Times New Roman" w:hAnsi="Times New Roman" w:cs="Times New Roman"/>
          <w:b w:val="0"/>
          <w:i w:val="0"/>
          <w:sz w:val="20"/>
        </w:rPr>
        <w:t xml:space="preserve">c, </w:t>
      </w:r>
      <w:r>
        <w:rPr>
          <w:rFonts w:ascii="Times New Roman" w:eastAsia="Times New Roman" w:hAnsi="Times New Roman" w:cs="Times New Roman"/>
          <w:b w:val="0"/>
          <w:i w:val="0"/>
          <w:sz w:val="20"/>
        </w:rPr>
        <w:t>dental</w:t>
      </w:r>
      <w:r>
        <w:rPr>
          <w:rFonts w:ascii="Times New Roman" w:eastAsia="Times New Roman" w:hAnsi="Times New Roman" w:cs="Times New Roman"/>
          <w:b w:val="0"/>
          <w:i w:val="0"/>
          <w:sz w:val="20"/>
        </w:rPr>
        <w:t xml:space="preserve">, and veterinary modalities of </w:t>
      </w:r>
      <w:r>
        <w:rPr>
          <w:rFonts w:ascii="Times New Roman" w:eastAsia="Times New Roman" w:hAnsi="Times New Roman" w:cs="Times New Roman"/>
          <w:b w:val="0"/>
          <w:i w:val="0"/>
          <w:color w:val="000000"/>
          <w:sz w:val="20"/>
          <w:u w:val="none"/>
        </w:rPr>
        <w:t>$13.2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Industrial revenues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$7.2 million</w:t>
      </w:r>
      <w:r>
        <w:rPr>
          <w:rFonts w:ascii="Times New Roman" w:eastAsia="Times New Roman" w:hAnsi="Times New Roman" w:cs="Times New Roman"/>
          <w:b w:val="0"/>
          <w:i w:val="0"/>
          <w:sz w:val="20"/>
        </w:rPr>
        <w:t xml:space="preserve">, primarily </w:t>
      </w:r>
      <w:r>
        <w:rPr>
          <w:rFonts w:ascii="Times New Roman" w:eastAsia="Times New Roman" w:hAnsi="Times New Roman" w:cs="Times New Roman"/>
          <w:b w:val="0"/>
          <w:i w:val="0"/>
          <w:sz w:val="20"/>
        </w:rPr>
        <w:t xml:space="preserve">due to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sales of security inspection products and X-ray tubes of </w:t>
      </w:r>
      <w:r>
        <w:rPr>
          <w:rFonts w:ascii="Times New Roman" w:eastAsia="Times New Roman" w:hAnsi="Times New Roman" w:cs="Times New Roman"/>
          <w:b w:val="0"/>
          <w:i w:val="0"/>
          <w:color w:val="000000"/>
          <w:sz w:val="20"/>
          <w:u w:val="none"/>
        </w:rPr>
        <w:t>$3.7 million</w:t>
      </w:r>
      <w:r>
        <w:rPr>
          <w:rFonts w:ascii="Times New Roman" w:eastAsia="Times New Roman" w:hAnsi="Times New Roman" w:cs="Times New Roman"/>
          <w:b w:val="0"/>
          <w:i w:val="0"/>
          <w:sz w:val="20"/>
        </w:rPr>
        <w:t xml:space="preserve">, digital detectors of </w:t>
      </w:r>
      <w:r>
        <w:rPr>
          <w:rFonts w:ascii="Times New Roman" w:eastAsia="Times New Roman" w:hAnsi="Times New Roman" w:cs="Times New Roman"/>
          <w:b w:val="0"/>
          <w:i w:val="0"/>
          <w:color w:val="000000"/>
          <w:sz w:val="20"/>
          <w:u w:val="none"/>
        </w:rPr>
        <w:t>$1.9 million</w:t>
      </w:r>
      <w:r>
        <w:rPr>
          <w:rFonts w:ascii="Times New Roman" w:eastAsia="Times New Roman" w:hAnsi="Times New Roman" w:cs="Times New Roman"/>
          <w:b w:val="0"/>
          <w:i w:val="0"/>
          <w:sz w:val="20"/>
        </w:rPr>
        <w:t xml:space="preserve"> and other components of </w:t>
      </w:r>
      <w:r>
        <w:rPr>
          <w:rFonts w:ascii="Times New Roman" w:eastAsia="Times New Roman" w:hAnsi="Times New Roman" w:cs="Times New Roman"/>
          <w:b w:val="0"/>
          <w:i w:val="0"/>
          <w:color w:val="000000"/>
          <w:sz w:val="20"/>
          <w:u w:val="none"/>
        </w:rPr>
        <w:t>$1.8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Revenue by </w:t>
      </w:r>
      <w:r>
        <w:rPr>
          <w:rFonts w:ascii="Times New Roman" w:eastAsia="Times New Roman" w:hAnsi="Times New Roman" w:cs="Times New Roman"/>
          <w:b/>
          <w:i/>
          <w:sz w:val="20"/>
        </w:rPr>
        <w:t>Region</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75" w:after="30" w:line="240" w:lineRule="auto"/>
              <w:jc w:val="left"/>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38" w:type="dxa"/>
              <w:bottom w:w="0" w:type="dxa"/>
              <w:right w:w="38" w:type="dxa"/>
            </w:tcMar>
            <w:vAlign w:val="bottom"/>
          </w:tcPr>
          <w:p>
            <w:pPr>
              <w:keepNext/>
              <w:pageBreakBefore w:val="0"/>
              <w:spacing w:before="55" w:after="30" w:line="240" w:lineRule="auto"/>
              <w:jc w:val="left"/>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Americas</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204.8</w:t>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200.8</w:t>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4.0</w:t>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2.0</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EMEA</w:t>
            </w:r>
          </w:p>
        </w:tc>
        <w:tc>
          <w:tcPr>
            <w:tcW w:w="16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201.7</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208.6</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(6.9)</w:t>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347"/>
              </w:tabs>
              <w:spacing w:before="75" w:after="30" w:line="240" w:lineRule="auto"/>
              <w:jc w:val="right"/>
            </w:pPr>
            <w:r>
              <w:rPr>
                <w:rFonts w:ascii="Times New Roman" w:eastAsia="Times New Roman" w:hAnsi="Times New Roman" w:cs="Times New Roman"/>
                <w:b w:val="0"/>
                <w:i w:val="0"/>
                <w:color w:val="000000"/>
                <w:sz w:val="18"/>
                <w:u w:val="none"/>
              </w:rPr>
              <w:tab/>
              <w:t>(3.3)</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APAC</w:t>
            </w:r>
          </w:p>
        </w:tc>
        <w:tc>
          <w:tcPr>
            <w:tcW w:w="160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209.2</w:t>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195.9</w:t>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13.3</w:t>
              <w:tab/>
            </w:r>
          </w:p>
        </w:tc>
        <w:tc>
          <w:tcPr>
            <w:tcW w:w="7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75" w:after="30" w:line="240" w:lineRule="auto"/>
              <w:jc w:val="right"/>
            </w:pPr>
            <w:r>
              <w:rPr>
                <w:rFonts w:ascii="Times New Roman" w:eastAsia="Times New Roman" w:hAnsi="Times New Roman" w:cs="Times New Roman"/>
                <w:b w:val="0"/>
                <w:i w:val="0"/>
                <w:color w:val="000000"/>
                <w:sz w:val="18"/>
                <w:u w:val="none"/>
              </w:rPr>
              <w:tab/>
              <w:t>6.8</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8"/>
                <w:u w:val="none"/>
              </w:rPr>
              <w:t>Total revenues, net</w:t>
            </w: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615.7</w:t>
              <w:tab/>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pageBreakBefore w:val="0"/>
              <w:spacing w:before="55" w:after="30" w:line="240" w:lineRule="auto"/>
              <w:jc w:val="righ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7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605.3</w:t>
              <w:tab/>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pageBreakBefore w:val="0"/>
              <w:spacing w:before="55" w:after="30" w:line="240" w:lineRule="auto"/>
              <w:jc w:val="righ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10.4</w:t>
              <w:tab/>
            </w:r>
          </w:p>
        </w:tc>
        <w:tc>
          <w:tcPr>
            <w:tcW w:w="75" w:type="dxa"/>
            <w:tcBorders>
              <w:top w:val="nil"/>
              <w:left w:val="nil"/>
              <w:bottom w:val="nil"/>
              <w:right w:val="nil"/>
            </w:tcBorders>
            <w:shd w:val="clear" w:color="auto" w:fill="FFFFFF"/>
            <w:tcMar>
              <w:top w:w="0" w:type="dxa"/>
              <w:left w:w="0" w:type="dxa"/>
              <w:bottom w:w="0" w:type="dxa"/>
              <w:right w:w="53" w:type="dxa"/>
            </w:tcMar>
            <w:vAlign w:val="bottom"/>
          </w:tcPr>
          <w:p>
            <w:pPr>
              <w:pageBreakBefore w:val="0"/>
              <w:spacing w:before="55" w:after="30" w:line="240" w:lineRule="auto"/>
              <w:jc w:val="right"/>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1.7</w:t>
              <w:tab/>
              <w:t>%</w:t>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Overall revenue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increased</w:t>
      </w:r>
      <w:r>
        <w:rPr>
          <w:rFonts w:ascii="Times New Roman" w:eastAsia="Times New Roman" w:hAnsi="Times New Roman" w:cs="Times New Roman"/>
          <w:b w:val="0"/>
          <w:i w:val="0"/>
          <w:sz w:val="20"/>
        </w:rPr>
        <w:t xml:space="preserve"> as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Americas </w:t>
      </w:r>
      <w:r>
        <w:rPr>
          <w:rFonts w:ascii="Times New Roman" w:eastAsia="Times New Roman" w:hAnsi="Times New Roman" w:cs="Times New Roman"/>
          <w:b w:val="0"/>
          <w:i w:val="0"/>
          <w:sz w:val="20"/>
        </w:rPr>
        <w:t xml:space="preserve">revenues increased </w:t>
      </w:r>
      <w:r>
        <w:rPr>
          <w:rFonts w:ascii="Times New Roman" w:eastAsia="Times New Roman" w:hAnsi="Times New Roman" w:cs="Times New Roman"/>
          <w:b w:val="0"/>
          <w:i w:val="0"/>
          <w:color w:val="000000"/>
          <w:sz w:val="20"/>
          <w:u w:val="none"/>
        </w:rPr>
        <w:t>$4.0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due to </w:t>
      </w:r>
      <w:r>
        <w:rPr>
          <w:rFonts w:ascii="Times New Roman" w:eastAsia="Times New Roman" w:hAnsi="Times New Roman" w:cs="Times New Roman"/>
          <w:b w:val="0"/>
          <w:i w:val="0"/>
          <w:sz w:val="20"/>
        </w:rPr>
        <w:t xml:space="preserve">increased </w:t>
      </w:r>
      <w:r>
        <w:rPr>
          <w:rFonts w:ascii="Times New Roman" w:eastAsia="Times New Roman" w:hAnsi="Times New Roman" w:cs="Times New Roman"/>
          <w:b w:val="0"/>
          <w:i w:val="0"/>
          <w:sz w:val="20"/>
        </w:rPr>
        <w:t>security</w:t>
      </w:r>
      <w:r>
        <w:rPr>
          <w:rFonts w:ascii="Times New Roman" w:eastAsia="Times New Roman" w:hAnsi="Times New Roman" w:cs="Times New Roman"/>
          <w:b w:val="0"/>
          <w:i w:val="0"/>
          <w:sz w:val="20"/>
        </w:rPr>
        <w:t xml:space="preserve"> inspection product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sales of </w:t>
      </w:r>
      <w:r>
        <w:rPr>
          <w:rFonts w:ascii="Times New Roman" w:eastAsia="Times New Roman" w:hAnsi="Times New Roman" w:cs="Times New Roman"/>
          <w:b w:val="0"/>
          <w:i w:val="0"/>
          <w:color w:val="000000"/>
          <w:sz w:val="20"/>
          <w:u w:val="none"/>
        </w:rPr>
        <w:t>$10.7 million</w:t>
      </w:r>
      <w:r>
        <w:rPr>
          <w:rFonts w:ascii="Times New Roman" w:eastAsia="Times New Roman" w:hAnsi="Times New Roman" w:cs="Times New Roman"/>
          <w:b w:val="0"/>
          <w:i w:val="0"/>
          <w:sz w:val="20"/>
        </w:rPr>
        <w:t xml:space="preserve"> and increased </w:t>
      </w:r>
      <w:r>
        <w:rPr>
          <w:rFonts w:ascii="Times New Roman" w:eastAsia="Times New Roman" w:hAnsi="Times New Roman" w:cs="Times New Roman"/>
          <w:b w:val="0"/>
          <w:i w:val="0"/>
          <w:sz w:val="20"/>
        </w:rPr>
        <w:t xml:space="preserve">X-ray </w:t>
      </w:r>
      <w:r>
        <w:rPr>
          <w:rFonts w:ascii="Times New Roman" w:eastAsia="Times New Roman" w:hAnsi="Times New Roman" w:cs="Times New Roman"/>
          <w:b w:val="0"/>
          <w:i w:val="0"/>
          <w:sz w:val="20"/>
        </w:rPr>
        <w:t>tubes sales o</w:t>
      </w:r>
      <w:r>
        <w:rPr>
          <w:rFonts w:ascii="Times New Roman" w:eastAsia="Times New Roman" w:hAnsi="Times New Roman" w:cs="Times New Roman"/>
          <w:b w:val="0"/>
          <w:i w:val="0"/>
          <w:sz w:val="20"/>
        </w:rPr>
        <w:t xml:space="preserve">f </w:t>
      </w:r>
      <w:r>
        <w:rPr>
          <w:rFonts w:ascii="Times New Roman" w:eastAsia="Times New Roman" w:hAnsi="Times New Roman" w:cs="Times New Roman"/>
          <w:b w:val="0"/>
          <w:i w:val="0"/>
          <w:color w:val="000000"/>
          <w:sz w:val="20"/>
          <w:u w:val="none"/>
        </w:rPr>
        <w:t>$3.4 million</w:t>
      </w:r>
      <w:r>
        <w:rPr>
          <w:rFonts w:ascii="Times New Roman" w:eastAsia="Times New Roman" w:hAnsi="Times New Roman" w:cs="Times New Roman"/>
          <w:b w:val="0"/>
          <w:i w:val="0"/>
          <w:sz w:val="20"/>
        </w:rPr>
        <w:t xml:space="preserve">, partially offset by decreased sales of </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oftware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of </w:t>
      </w:r>
      <w:r>
        <w:rPr>
          <w:rFonts w:ascii="Times New Roman" w:eastAsia="Times New Roman" w:hAnsi="Times New Roman" w:cs="Times New Roman"/>
          <w:b w:val="0"/>
          <w:i w:val="0"/>
          <w:color w:val="000000"/>
          <w:sz w:val="20"/>
          <w:u w:val="none"/>
        </w:rPr>
        <w:t>$5.8 million</w:t>
      </w:r>
      <w:r>
        <w:rPr>
          <w:rFonts w:ascii="Times New Roman" w:eastAsia="Times New Roman" w:hAnsi="Times New Roman" w:cs="Times New Roman"/>
          <w:b w:val="0"/>
          <w:i w:val="0"/>
          <w:sz w:val="20"/>
        </w:rPr>
        <w:t xml:space="preserve"> and digital de</w:t>
      </w:r>
      <w:r>
        <w:rPr>
          <w:rFonts w:ascii="Times New Roman" w:eastAsia="Times New Roman" w:hAnsi="Times New Roman" w:cs="Times New Roman"/>
          <w:b w:val="0"/>
          <w:i w:val="0"/>
          <w:sz w:val="20"/>
        </w:rPr>
        <w:t>t</w:t>
      </w:r>
      <w:r>
        <w:rPr>
          <w:rFonts w:ascii="Times New Roman" w:eastAsia="Times New Roman" w:hAnsi="Times New Roman" w:cs="Times New Roman"/>
          <w:b w:val="0"/>
          <w:i w:val="0"/>
          <w:sz w:val="20"/>
        </w:rPr>
        <w:t xml:space="preserve">ector sales of </w:t>
      </w:r>
      <w:r>
        <w:rPr>
          <w:rFonts w:ascii="Times New Roman" w:eastAsia="Times New Roman" w:hAnsi="Times New Roman" w:cs="Times New Roman"/>
          <w:b w:val="0"/>
          <w:i w:val="0"/>
          <w:color w:val="000000"/>
          <w:sz w:val="20"/>
          <w:u w:val="none"/>
        </w:rPr>
        <w:t>$4.5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EMEA revenues decreased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$6.9 million</w:t>
      </w:r>
      <w:r>
        <w:rPr>
          <w:rFonts w:ascii="Times New Roman" w:eastAsia="Times New Roman" w:hAnsi="Times New Roman" w:cs="Times New Roman"/>
          <w:b w:val="0"/>
          <w:i w:val="0"/>
          <w:sz w:val="20"/>
        </w:rPr>
        <w:t xml:space="preserve"> due to </w:t>
      </w:r>
      <w:r>
        <w:rPr>
          <w:rFonts w:ascii="Times New Roman" w:eastAsia="Times New Roman" w:hAnsi="Times New Roman" w:cs="Times New Roman"/>
          <w:b w:val="0"/>
          <w:i w:val="0"/>
          <w:sz w:val="20"/>
        </w:rPr>
        <w:t>decreased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security inspection products </w:t>
      </w:r>
      <w:r>
        <w:rPr>
          <w:rFonts w:ascii="Times New Roman" w:eastAsia="Times New Roman" w:hAnsi="Times New Roman" w:cs="Times New Roman"/>
          <w:b w:val="0"/>
          <w:i w:val="0"/>
          <w:sz w:val="20"/>
        </w:rPr>
        <w:t xml:space="preserve">sales </w:t>
      </w:r>
      <w:r>
        <w:rPr>
          <w:rFonts w:ascii="Times New Roman" w:eastAsia="Times New Roman" w:hAnsi="Times New Roman" w:cs="Times New Roman"/>
          <w:b w:val="0"/>
          <w:i w:val="0"/>
          <w:sz w:val="20"/>
        </w:rPr>
        <w:t>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$10.6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X-ray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tubes sales of </w:t>
      </w:r>
      <w:r>
        <w:rPr>
          <w:rFonts w:ascii="Times New Roman" w:eastAsia="Times New Roman" w:hAnsi="Times New Roman" w:cs="Times New Roman"/>
          <w:b w:val="0"/>
          <w:i w:val="0"/>
          <w:color w:val="000000"/>
          <w:sz w:val="20"/>
          <w:u w:val="none"/>
        </w:rPr>
        <w:t>$2.6 million</w:t>
      </w:r>
      <w:r>
        <w:rPr>
          <w:rFonts w:ascii="Times New Roman" w:eastAsia="Times New Roman" w:hAnsi="Times New Roman" w:cs="Times New Roman"/>
          <w:b w:val="0"/>
          <w:i w:val="0"/>
          <w:sz w:val="20"/>
        </w:rPr>
        <w:t>, and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software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$1.1 million</w:t>
      </w:r>
      <w:r>
        <w:rPr>
          <w:rFonts w:ascii="Times New Roman" w:eastAsia="Times New Roman" w:hAnsi="Times New Roman" w:cs="Times New Roman"/>
          <w:b w:val="0"/>
          <w:i w:val="0"/>
          <w:sz w:val="20"/>
        </w:rPr>
        <w:t xml:space="preserve">, partially offset by increased </w:t>
      </w:r>
      <w:r>
        <w:rPr>
          <w:rFonts w:ascii="Times New Roman" w:eastAsia="Times New Roman" w:hAnsi="Times New Roman" w:cs="Times New Roman"/>
          <w:b w:val="0"/>
          <w:i w:val="0"/>
          <w:sz w:val="20"/>
        </w:rPr>
        <w:t>di</w:t>
      </w:r>
      <w:r>
        <w:rPr>
          <w:rFonts w:ascii="Times New Roman" w:eastAsia="Times New Roman" w:hAnsi="Times New Roman" w:cs="Times New Roman"/>
          <w:b w:val="0"/>
          <w:i w:val="0"/>
          <w:sz w:val="20"/>
        </w:rPr>
        <w:t xml:space="preserve">gital </w:t>
      </w:r>
      <w:r>
        <w:rPr>
          <w:rFonts w:ascii="Times New Roman" w:eastAsia="Times New Roman" w:hAnsi="Times New Roman" w:cs="Times New Roman"/>
          <w:b w:val="0"/>
          <w:i w:val="0"/>
          <w:sz w:val="20"/>
        </w:rPr>
        <w:t xml:space="preserve">detector sales of </w:t>
      </w:r>
      <w:r>
        <w:rPr>
          <w:rFonts w:ascii="Times New Roman" w:eastAsia="Times New Roman" w:hAnsi="Times New Roman" w:cs="Times New Roman"/>
          <w:b w:val="0"/>
          <w:i w:val="0"/>
          <w:color w:val="000000"/>
          <w:sz w:val="20"/>
          <w:u w:val="none"/>
        </w:rPr>
        <w:t>$5.3 million</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rPr>
        <w:t>other</w:t>
      </w:r>
      <w:r>
        <w:rPr>
          <w:rFonts w:ascii="Times New Roman" w:eastAsia="Times New Roman" w:hAnsi="Times New Roman" w:cs="Times New Roman"/>
          <w:b w:val="0"/>
          <w:i w:val="0"/>
          <w:sz w:val="20"/>
        </w:rPr>
        <w:t xml:space="preserve"> product</w:t>
      </w:r>
      <w:r>
        <w:rPr>
          <w:rFonts w:ascii="Times New Roman" w:eastAsia="Times New Roman" w:hAnsi="Times New Roman" w:cs="Times New Roman"/>
          <w:b w:val="0"/>
          <w:i w:val="0"/>
          <w:sz w:val="20"/>
        </w:rPr>
        <w:t xml:space="preserve"> sales of </w:t>
      </w:r>
      <w:r>
        <w:rPr>
          <w:rFonts w:ascii="Times New Roman" w:eastAsia="Times New Roman" w:hAnsi="Times New Roman" w:cs="Times New Roman"/>
          <w:b w:val="0"/>
          <w:i w:val="0"/>
          <w:color w:val="000000"/>
          <w:sz w:val="20"/>
          <w:u w:val="none"/>
        </w:rPr>
        <w:t>$2.0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APAC revenues </w:t>
      </w:r>
      <w:r>
        <w:rPr>
          <w:rFonts w:ascii="Times New Roman" w:eastAsia="Times New Roman" w:hAnsi="Times New Roman" w:cs="Times New Roman"/>
          <w:b w:val="0"/>
          <w:i w:val="0"/>
          <w:sz w:val="20"/>
        </w:rPr>
        <w:t>in</w:t>
      </w:r>
      <w:r>
        <w:rPr>
          <w:rFonts w:ascii="Times New Roman" w:eastAsia="Times New Roman" w:hAnsi="Times New Roman" w:cs="Times New Roman"/>
          <w:b w:val="0"/>
          <w:i w:val="0"/>
          <w:sz w:val="20"/>
        </w:rPr>
        <w:t xml:space="preserve">creased </w:t>
      </w:r>
      <w:r>
        <w:rPr>
          <w:rFonts w:ascii="Times New Roman" w:eastAsia="Times New Roman" w:hAnsi="Times New Roman" w:cs="Times New Roman"/>
          <w:b w:val="0"/>
          <w:i w:val="0"/>
          <w:color w:val="000000"/>
          <w:sz w:val="20"/>
          <w:u w:val="none"/>
        </w:rPr>
        <w:t>$13.3 million</w:t>
      </w:r>
      <w:r>
        <w:rPr>
          <w:rFonts w:ascii="Times New Roman" w:eastAsia="Times New Roman" w:hAnsi="Times New Roman" w:cs="Times New Roman"/>
          <w:b w:val="0"/>
          <w:i w:val="0"/>
          <w:sz w:val="20"/>
        </w:rPr>
        <w:t xml:space="preserve"> due to </w:t>
      </w:r>
      <w:r>
        <w:rPr>
          <w:rFonts w:ascii="Times New Roman" w:eastAsia="Times New Roman" w:hAnsi="Times New Roman" w:cs="Times New Roman"/>
          <w:b w:val="0"/>
          <w:i w:val="0"/>
          <w:sz w:val="20"/>
        </w:rPr>
        <w:t xml:space="preserve">increased </w:t>
      </w:r>
      <w:r>
        <w:rPr>
          <w:rFonts w:ascii="Times New Roman" w:eastAsia="Times New Roman" w:hAnsi="Times New Roman" w:cs="Times New Roman"/>
          <w:b w:val="0"/>
          <w:i w:val="0"/>
          <w:sz w:val="20"/>
        </w:rPr>
        <w:t xml:space="preserve">X-ray </w:t>
      </w:r>
      <w:r>
        <w:rPr>
          <w:rFonts w:ascii="Times New Roman" w:eastAsia="Times New Roman" w:hAnsi="Times New Roman" w:cs="Times New Roman"/>
          <w:b w:val="0"/>
          <w:i w:val="0"/>
          <w:sz w:val="20"/>
        </w:rPr>
        <w:t xml:space="preserve">tubes sales of </w:t>
      </w:r>
      <w:r>
        <w:rPr>
          <w:rFonts w:ascii="Times New Roman" w:eastAsia="Times New Roman" w:hAnsi="Times New Roman" w:cs="Times New Roman"/>
          <w:b w:val="0"/>
          <w:i w:val="0"/>
          <w:color w:val="000000"/>
          <w:sz w:val="20"/>
          <w:u w:val="none"/>
        </w:rPr>
        <w:t>$10.4 million</w:t>
      </w:r>
      <w:r>
        <w:rPr>
          <w:rFonts w:ascii="Times New Roman" w:eastAsia="Times New Roman" w:hAnsi="Times New Roman" w:cs="Times New Roman"/>
          <w:b w:val="0"/>
          <w:i w:val="0"/>
          <w:sz w:val="20"/>
        </w:rPr>
        <w:t xml:space="preserve"> and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secu</w:t>
      </w:r>
      <w:r>
        <w:rPr>
          <w:rFonts w:ascii="Times New Roman" w:eastAsia="Times New Roman" w:hAnsi="Times New Roman" w:cs="Times New Roman"/>
          <w:b w:val="0"/>
          <w:i w:val="0"/>
          <w:sz w:val="20"/>
        </w:rPr>
        <w:t xml:space="preserve">rity </w:t>
      </w:r>
      <w:r>
        <w:rPr>
          <w:rFonts w:ascii="Times New Roman" w:eastAsia="Times New Roman" w:hAnsi="Times New Roman" w:cs="Times New Roman"/>
          <w:b w:val="0"/>
          <w:i w:val="0"/>
          <w:sz w:val="20"/>
        </w:rPr>
        <w:t>inspection product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sales of </w:t>
      </w:r>
      <w:r>
        <w:rPr>
          <w:rFonts w:ascii="Times New Roman" w:eastAsia="Times New Roman" w:hAnsi="Times New Roman" w:cs="Times New Roman"/>
          <w:b w:val="0"/>
          <w:i w:val="0"/>
          <w:color w:val="000000"/>
          <w:sz w:val="20"/>
          <w:u w:val="none"/>
        </w:rPr>
        <w:t>$3.2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See</w:t>
      </w:r>
      <w:r>
        <w:rPr>
          <w:rFonts w:ascii="Times New Roman" w:eastAsia="Times New Roman" w:hAnsi="Times New Roman" w:cs="Times New Roman"/>
          <w:b w:val="0"/>
          <w:i w:val="0"/>
          <w:sz w:val="20"/>
        </w:rPr>
        <w:t xml:space="preserve"> Note </w:t>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Revenue Recognition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the Condensed Consolidated Financial Statements for information regarding disaggregated revenue by </w:t>
      </w:r>
      <w:r>
        <w:rPr>
          <w:rFonts w:ascii="Times New Roman" w:eastAsia="Times New Roman" w:hAnsi="Times New Roman" w:cs="Times New Roman"/>
          <w:b w:val="0"/>
          <w:i w:val="0"/>
          <w:sz w:val="20"/>
        </w:rPr>
        <w:t>country.</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Gross Profit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Medical</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152.1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129.8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22.3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55" w:after="30" w:line="240" w:lineRule="auto"/>
              <w:jc w:val="right"/>
            </w:pPr>
            <w:r>
              <w:rPr>
                <w:rFonts w:ascii="Times New Roman" w:eastAsia="Times New Roman" w:hAnsi="Times New Roman" w:cs="Times New Roman"/>
                <w:b w:val="0"/>
                <w:i w:val="0"/>
                <w:color w:val="000000"/>
                <w:sz w:val="18"/>
                <w:u w:val="none"/>
              </w:rPr>
              <w:tab/>
              <w:t>17.2</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Industrial</w:t>
            </w: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60.6</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ab/>
              <w:t>60.0</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0.6</w:t>
              <w:tab/>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
                <w:tab w:val="left" w:pos="288"/>
              </w:tabs>
              <w:spacing w:before="75" w:after="30" w:line="240" w:lineRule="auto"/>
              <w:jc w:val="right"/>
            </w:pPr>
            <w:r>
              <w:rPr>
                <w:rFonts w:ascii="Times New Roman" w:eastAsia="Times New Roman" w:hAnsi="Times New Roman" w:cs="Times New Roman"/>
                <w:b w:val="0"/>
                <w:i w:val="0"/>
                <w:color w:val="000000"/>
                <w:sz w:val="18"/>
                <w:u w:val="none"/>
              </w:rPr>
              <w:tab/>
              <w:t>1.0</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360"/>
              <w:jc w:val="left"/>
            </w:pPr>
            <w:r>
              <w:rPr>
                <w:rFonts w:ascii="Times New Roman" w:eastAsia="Times New Roman" w:hAnsi="Times New Roman" w:cs="Times New Roman"/>
                <w:b w:val="0"/>
                <w:i w:val="0"/>
                <w:color w:val="000000"/>
                <w:sz w:val="18"/>
                <w:u w:val="none"/>
              </w:rPr>
              <w:t>Total gross profit</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212.7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189.8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22.9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55" w:after="30" w:line="240" w:lineRule="auto"/>
              <w:jc w:val="right"/>
            </w:pPr>
            <w:r>
              <w:rPr>
                <w:rFonts w:ascii="Times New Roman" w:eastAsia="Times New Roman" w:hAnsi="Times New Roman" w:cs="Times New Roman"/>
                <w:b w:val="0"/>
                <w:i w:val="0"/>
                <w:color w:val="000000"/>
                <w:sz w:val="18"/>
                <w:u w:val="none"/>
              </w:rPr>
              <w:tab/>
              <w:t>12.1</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15" w:after="30" w:line="240" w:lineRule="auto"/>
              <w:ind w:left="180"/>
              <w:jc w:val="left"/>
            </w:pPr>
            <w:r>
              <w:rPr>
                <w:rFonts w:ascii="Times New Roman" w:eastAsia="Times New Roman" w:hAnsi="Times New Roman" w:cs="Times New Roman"/>
                <w:b w:val="0"/>
                <w:i/>
                <w:color w:val="000000"/>
                <w:sz w:val="18"/>
                <w:u w:val="none"/>
              </w:rPr>
              <w:t>Medical gross margin %</w:t>
            </w:r>
          </w:p>
        </w:tc>
        <w:tc>
          <w:tcPr>
            <w:tcW w:w="1605" w:type="dxa"/>
            <w:tcBorders>
              <w:top w:val="double" w:sz="8" w:space="0" w:color="000000"/>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34.5</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15" w:after="30" w:line="240" w:lineRule="auto"/>
              <w:jc w:val="right"/>
            </w:pPr>
            <w:r>
              <w:rPr>
                <w:rFonts w:ascii="Times New Roman" w:eastAsia="Times New Roman" w:hAnsi="Times New Roman" w:cs="Times New Roman"/>
                <w:b w:val="0"/>
                <w:i/>
                <w:color w:val="000000"/>
                <w:sz w:val="18"/>
                <w:u w:val="none"/>
              </w:rPr>
              <w:tab/>
              <w:t>29.7</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doub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color w:val="000000"/>
                <w:sz w:val="18"/>
                <w:u w:val="none"/>
              </w:rPr>
              <w:t>Industrial gross margin %</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34.6</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35.7</w:t>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360"/>
              <w:jc w:val="left"/>
            </w:pPr>
            <w:r>
              <w:rPr>
                <w:rFonts w:ascii="Times New Roman" w:eastAsia="Times New Roman" w:hAnsi="Times New Roman" w:cs="Times New Roman"/>
                <w:b w:val="0"/>
                <w:i/>
                <w:color w:val="000000"/>
                <w:sz w:val="18"/>
                <w:u w:val="none"/>
              </w:rPr>
              <w:t>Total gross margin %</w:t>
            </w: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34.5</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31.4</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color w:val="000000"/>
          <w:sz w:val="24"/>
          <w:u w:val="none"/>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increase</w:t>
      </w:r>
      <w:r>
        <w:rPr>
          <w:rFonts w:ascii="Times New Roman" w:eastAsia="Times New Roman" w:hAnsi="Times New Roman" w:cs="Times New Roman"/>
          <w:b w:val="0"/>
          <w:i w:val="0"/>
          <w:sz w:val="20"/>
        </w:rPr>
        <w:t xml:space="preserve"> in Medical segment </w:t>
      </w:r>
      <w:r>
        <w:rPr>
          <w:rFonts w:ascii="Times New Roman" w:eastAsia="Times New Roman" w:hAnsi="Times New Roman" w:cs="Times New Roman"/>
          <w:b w:val="0"/>
          <w:i w:val="0"/>
          <w:sz w:val="20"/>
        </w:rPr>
        <w:t xml:space="preserve">gross profit was primarily due to improved productivity and lower material costs of </w:t>
      </w:r>
      <w:r>
        <w:rPr>
          <w:rFonts w:ascii="Times New Roman" w:eastAsia="Times New Roman" w:hAnsi="Times New Roman" w:cs="Times New Roman"/>
          <w:b w:val="0"/>
          <w:i w:val="0"/>
          <w:color w:val="000000"/>
          <w:sz w:val="20"/>
          <w:u w:val="none"/>
        </w:rPr>
        <w:t>$16.4 million</w:t>
      </w:r>
      <w:r>
        <w:rPr>
          <w:rFonts w:ascii="Times New Roman" w:eastAsia="Times New Roman" w:hAnsi="Times New Roman" w:cs="Times New Roman"/>
          <w:b w:val="0"/>
          <w:i w:val="0"/>
          <w:sz w:val="20"/>
        </w:rPr>
        <w:t xml:space="preserve"> and increased sales volume and favorable product mix of </w:t>
      </w:r>
      <w:r>
        <w:rPr>
          <w:rFonts w:ascii="Times New Roman" w:eastAsia="Times New Roman" w:hAnsi="Times New Roman" w:cs="Times New Roman"/>
          <w:b w:val="0"/>
          <w:i w:val="0"/>
          <w:color w:val="000000"/>
          <w:sz w:val="20"/>
          <w:u w:val="none"/>
        </w:rPr>
        <w:t>$5.8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increase</w:t>
      </w:r>
      <w:r>
        <w:rPr>
          <w:rFonts w:ascii="Times New Roman" w:eastAsia="Times New Roman" w:hAnsi="Times New Roman" w:cs="Times New Roman"/>
          <w:b w:val="0"/>
          <w:i w:val="0"/>
          <w:sz w:val="20"/>
        </w:rPr>
        <w:t xml:space="preserve"> in</w:t>
      </w:r>
      <w:r>
        <w:rPr>
          <w:rFonts w:ascii="Times New Roman" w:eastAsia="Times New Roman" w:hAnsi="Times New Roman" w:cs="Times New Roman"/>
          <w:b w:val="0"/>
          <w:i w:val="0"/>
          <w:sz w:val="20"/>
        </w:rPr>
        <w:t xml:space="preserve"> Industrial segment gross prof</w:t>
      </w:r>
      <w:r>
        <w:rPr>
          <w:rFonts w:ascii="Times New Roman" w:eastAsia="Times New Roman" w:hAnsi="Times New Roman" w:cs="Times New Roman"/>
          <w:b w:val="0"/>
          <w:i w:val="0"/>
          <w:sz w:val="20"/>
        </w:rPr>
        <w:t xml:space="preserve">it was minimal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w:t>
      </w:r>
    </w:p>
    <w:p>
      <w:pPr>
        <w:keepNext w:val="0"/>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color w:val="000000"/>
          <w:sz w:val="20"/>
          <w:u w:val="none"/>
        </w:rPr>
      </w:pPr>
      <w:r>
        <w:rPr>
          <w:rFonts w:ascii="Times New Roman" w:eastAsia="Times New Roman" w:hAnsi="Times New Roman" w:cs="Times New Roman"/>
          <w:b/>
          <w:i/>
          <w:sz w:val="20"/>
        </w:rPr>
        <w:t>Operating Expenses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55"/>
        <w:gridCol w:w="1605"/>
        <w:gridCol w:w="75"/>
        <w:gridCol w:w="1605"/>
        <w:gridCol w:w="75"/>
        <w:gridCol w:w="1605"/>
        <w:gridCol w:w="75"/>
        <w:gridCol w:w="1605"/>
      </w:tblGrid>
      <w:tr>
        <w:tblPrEx>
          <w:tblW w:w="10800" w:type="dxa"/>
          <w:tblInd w:w="0" w:type="dxa"/>
          <w:tblLayout w:type="fixed"/>
        </w:tblPrEx>
        <w:trPr>
          <w:cantSplit/>
          <w:trHeight w:hRule="exact" w:val="285"/>
        </w:trPr>
        <w:tc>
          <w:tcPr>
            <w:tcW w:w="41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 xml:space="preserve">Research and development </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66.9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65.1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88"/>
              </w:tabs>
              <w:spacing w:before="55" w:after="30" w:line="240" w:lineRule="auto"/>
              <w:jc w:val="right"/>
            </w:pPr>
            <w:r>
              <w:rPr>
                <w:rFonts w:ascii="Times New Roman" w:eastAsia="Times New Roman" w:hAnsi="Times New Roman" w:cs="Times New Roman"/>
                <w:b w:val="0"/>
                <w:i w:val="0"/>
                <w:color w:val="000000"/>
                <w:sz w:val="18"/>
                <w:u w:val="none"/>
              </w:rPr>
              <w:tab/>
              <w:t>2.8</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30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10.9</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10.8</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Selling, general, and administrative</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99.3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103.5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w:t>
              <w:tab/>
              <w:t>(4.2)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47"/>
              </w:tabs>
              <w:spacing w:before="75" w:after="30" w:line="240" w:lineRule="auto"/>
              <w:jc w:val="right"/>
            </w:pPr>
            <w:r>
              <w:rPr>
                <w:rFonts w:ascii="Times New Roman" w:eastAsia="Times New Roman" w:hAnsi="Times New Roman" w:cs="Times New Roman"/>
                <w:b w:val="0"/>
                <w:i w:val="0"/>
                <w:color w:val="000000"/>
                <w:sz w:val="18"/>
                <w:u w:val="none"/>
              </w:rPr>
              <w:tab/>
              <w:t>(4.1)</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30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16.1</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17.1</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Impairment of goodwill</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1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49"/>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93.9</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468"/>
              </w:tabs>
              <w:spacing w:before="75" w:after="30" w:line="240" w:lineRule="auto"/>
              <w:jc w:val="right"/>
            </w:pPr>
            <w:r>
              <w:rPr>
                <w:rFonts w:ascii="Times New Roman" w:eastAsia="Times New Roman" w:hAnsi="Times New Roman" w:cs="Times New Roman"/>
                <w:b w:val="0"/>
                <w:i w:val="0"/>
                <w:color w:val="000000"/>
                <w:sz w:val="18"/>
                <w:u w:val="none"/>
              </w:rPr>
              <w:tab/>
              <w:t>100.0</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30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15.3</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1"/>
                <w:tab w:val="left" w:pos="223"/>
              </w:tabs>
              <w:spacing w:before="75" w:after="30" w:line="240" w:lineRule="auto"/>
              <w:jc w:val="right"/>
            </w:pPr>
            <w:r>
              <w:rPr>
                <w:rFonts w:ascii="Times New Roman" w:eastAsia="Times New Roman" w:hAnsi="Times New Roman" w:cs="Times New Roman"/>
                <w:b w:val="0"/>
                <w:i/>
                <w:color w:val="000000"/>
                <w:sz w:val="18"/>
                <w:u w:val="none"/>
              </w:rPr>
              <w:tab/>
              <w:t>—</w:t>
              <w:tab/>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41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660"/>
              <w:jc w:val="left"/>
            </w:pPr>
            <w:r>
              <w:rPr>
                <w:rFonts w:ascii="Times New Roman" w:eastAsia="Times New Roman" w:hAnsi="Times New Roman" w:cs="Times New Roman"/>
                <w:b w:val="0"/>
                <w:i w:val="0"/>
                <w:color w:val="000000"/>
                <w:sz w:val="18"/>
                <w:u w:val="none"/>
              </w:rPr>
              <w:t>Operating expenses</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260.1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168.6</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91.5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378"/>
              </w:tabs>
              <w:spacing w:before="55" w:after="30" w:line="240" w:lineRule="auto"/>
              <w:jc w:val="right"/>
            </w:pPr>
            <w:r>
              <w:rPr>
                <w:rFonts w:ascii="Times New Roman" w:eastAsia="Times New Roman" w:hAnsi="Times New Roman" w:cs="Times New Roman"/>
                <w:b w:val="0"/>
                <w:i w:val="0"/>
                <w:color w:val="000000"/>
                <w:sz w:val="18"/>
                <w:u w:val="none"/>
              </w:rPr>
              <w:tab/>
              <w:t>54.3</w:t>
              <w:tab/>
              <w:t>%</w:t>
            </w:r>
          </w:p>
        </w:tc>
      </w:tr>
      <w:tr>
        <w:tblPrEx>
          <w:tblW w:w="10800" w:type="dxa"/>
          <w:tblInd w:w="0" w:type="dxa"/>
          <w:tblLayout w:type="fixed"/>
        </w:tblPrEx>
        <w:trPr>
          <w:cantSplit/>
          <w:trHeight w:hRule="exact" w:val="300"/>
        </w:trPr>
        <w:tc>
          <w:tcPr>
            <w:tcW w:w="4155" w:type="dxa"/>
            <w:tcBorders>
              <w:top w:val="nil"/>
              <w:left w:val="nil"/>
              <w:bottom w:val="nil"/>
              <w:right w:val="nil"/>
            </w:tcBorders>
            <w:tcMar>
              <w:top w:w="0" w:type="dxa"/>
              <w:left w:w="53" w:type="dxa"/>
              <w:bottom w:w="0" w:type="dxa"/>
              <w:right w:w="53" w:type="dxa"/>
            </w:tcMar>
            <w:vAlign w:val="top"/>
          </w:tcPr>
          <w:p>
            <w:pPr>
              <w:pageBreakBefore w:val="0"/>
              <w:spacing w:before="75" w:after="30" w:line="240" w:lineRule="auto"/>
              <w:ind w:left="660"/>
              <w:jc w:val="left"/>
            </w:pPr>
            <w:r>
              <w:rPr>
                <w:rFonts w:ascii="Times New Roman" w:eastAsia="Times New Roman" w:hAnsi="Times New Roman" w:cs="Times New Roman"/>
                <w:b w:val="0"/>
                <w:i/>
                <w:color w:val="000000"/>
                <w:sz w:val="18"/>
                <w:u w:val="none"/>
              </w:rPr>
              <w:t>As a percentage of total revenues, net</w:t>
            </w: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42.2</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15" w:type="dxa"/>
            </w:tcMar>
            <w:vAlign w:val="bottom"/>
          </w:tcPr>
          <w:p>
            <w:pPr>
              <w:pageBreakBefore w:val="0"/>
              <w:tabs>
                <w:tab w:val="left" w:pos="1"/>
                <w:tab w:val="left" w:pos="378"/>
              </w:tabs>
              <w:spacing w:before="75" w:after="30" w:line="240" w:lineRule="auto"/>
              <w:jc w:val="right"/>
            </w:pPr>
            <w:r>
              <w:rPr>
                <w:rFonts w:ascii="Times New Roman" w:eastAsia="Times New Roman" w:hAnsi="Times New Roman" w:cs="Times New Roman"/>
                <w:b w:val="0"/>
                <w:i/>
                <w:color w:val="000000"/>
                <w:sz w:val="18"/>
                <w:u w:val="none"/>
              </w:rPr>
              <w:tab/>
              <w:t>27.9</w:t>
              <w:tab/>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keepLines/>
        <w:pageBreakBefore w:val="0"/>
        <w:widowControl w:val="0"/>
        <w:numPr>
          <w:ilvl w:val="0"/>
          <w:numId w:val="0"/>
        </w:numPr>
        <w:spacing w:before="18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w:t>
      </w:r>
      <w:r>
        <w:rPr>
          <w:rFonts w:ascii="Times New Roman" w:eastAsia="Times New Roman" w:hAnsi="Times New Roman" w:cs="Times New Roman"/>
          <w:b w:val="0"/>
          <w:i/>
          <w:sz w:val="20"/>
        </w:rPr>
        <w:t>Research and Development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Research and development costs</w:t>
      </w:r>
      <w:r>
        <w:rPr>
          <w:rFonts w:ascii="Times New Roman" w:eastAsia="Times New Roman" w:hAnsi="Times New Roman" w:cs="Times New Roman"/>
          <w:b w:val="0"/>
          <w:i w:val="0"/>
          <w:sz w:val="20"/>
        </w:rPr>
        <w:t xml:space="preserve"> remained relatively unchanged</w:t>
      </w:r>
      <w:r>
        <w:rPr>
          <w:rFonts w:ascii="Times New Roman" w:eastAsia="Times New Roman" w:hAnsi="Times New Roman" w:cs="Times New Roman"/>
          <w:b w:val="0"/>
          <w:i w:val="0"/>
          <w:sz w:val="20"/>
        </w:rPr>
        <w:t xml:space="preserve"> at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10.9%</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of total revenue </w:t>
      </w:r>
      <w:r>
        <w:rPr>
          <w:rFonts w:ascii="Times New Roman" w:eastAsia="Times New Roman" w:hAnsi="Times New Roman" w:cs="Times New Roman"/>
          <w:b w:val="0"/>
          <w:i w:val="0"/>
          <w:sz w:val="20"/>
        </w:rPr>
        <w:t xml:space="preserve">during </w:t>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Selling, General, and Administrative</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Selling, general, and administrative expenses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were lower </w:t>
      </w:r>
      <w:r>
        <w:rPr>
          <w:rFonts w:ascii="Times New Roman" w:eastAsia="Times New Roman" w:hAnsi="Times New Roman" w:cs="Times New Roman"/>
          <w:b w:val="0"/>
          <w:i w:val="0"/>
          <w:sz w:val="20"/>
        </w:rPr>
        <w:t>primarily due to a de</w:t>
      </w:r>
      <w:r>
        <w:rPr>
          <w:rFonts w:ascii="Times New Roman" w:eastAsia="Times New Roman" w:hAnsi="Times New Roman" w:cs="Times New Roman"/>
          <w:b w:val="0"/>
          <w:i w:val="0"/>
          <w:sz w:val="20"/>
        </w:rPr>
        <w:t>c</w:t>
      </w:r>
      <w:r>
        <w:rPr>
          <w:rFonts w:ascii="Times New Roman" w:eastAsia="Times New Roman" w:hAnsi="Times New Roman" w:cs="Times New Roman"/>
          <w:b w:val="0"/>
          <w:i w:val="0"/>
          <w:sz w:val="20"/>
        </w:rPr>
        <w:t>rease in fixe</w:t>
      </w:r>
      <w:r>
        <w:rPr>
          <w:rFonts w:ascii="Times New Roman" w:eastAsia="Times New Roman" w:hAnsi="Times New Roman" w:cs="Times New Roman"/>
          <w:b w:val="0"/>
          <w:i w:val="0"/>
          <w:sz w:val="20"/>
        </w:rPr>
        <w:t xml:space="preserve">d cost commitments to a supplier of </w:t>
      </w:r>
      <w:r>
        <w:rPr>
          <w:rFonts w:ascii="Times New Roman" w:eastAsia="Times New Roman" w:hAnsi="Times New Roman" w:cs="Times New Roman"/>
          <w:b w:val="0"/>
          <w:i w:val="0"/>
          <w:color w:val="000000"/>
          <w:sz w:val="20"/>
          <w:u w:val="none"/>
        </w:rPr>
        <w:t>$0.8 million</w:t>
      </w:r>
      <w:r>
        <w:rPr>
          <w:rFonts w:ascii="Times New Roman" w:eastAsia="Times New Roman" w:hAnsi="Times New Roman" w:cs="Times New Roman"/>
          <w:b w:val="0"/>
          <w:i w:val="0"/>
          <w:sz w:val="20"/>
        </w:rPr>
        <w:t xml:space="preserve"> and amortization of intangibles </w:t>
      </w:r>
      <w:r>
        <w:rPr>
          <w:rFonts w:ascii="Times New Roman" w:eastAsia="Times New Roman" w:hAnsi="Times New Roman" w:cs="Times New Roman"/>
          <w:b w:val="0"/>
          <w:i w:val="0"/>
          <w:sz w:val="20"/>
        </w:rPr>
        <w:t xml:space="preserve">of </w:t>
      </w:r>
      <w:r>
        <w:rPr>
          <w:rFonts w:ascii="Times New Roman" w:eastAsia="Times New Roman" w:hAnsi="Times New Roman" w:cs="Times New Roman"/>
          <w:b w:val="0"/>
          <w:i w:val="0"/>
          <w:color w:val="000000"/>
          <w:sz w:val="20"/>
          <w:u w:val="none"/>
        </w:rPr>
        <w:t>$3.0 million</w:t>
      </w:r>
      <w:r>
        <w:rPr>
          <w:rFonts w:ascii="Times New Roman" w:eastAsia="Times New Roman" w:hAnsi="Times New Roman" w:cs="Times New Roman"/>
          <w:b w:val="0"/>
          <w:i w:val="0"/>
          <w:sz w:val="20"/>
        </w:rPr>
        <w:t xml:space="preserve">. </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color w:val="000000"/>
          <w:sz w:val="20"/>
          <w:u w:val="none"/>
          <w:shd w:val="clear" w:color="auto" w:fill="FFFF00"/>
        </w:rPr>
      </w:pPr>
      <w:r>
        <w:rPr>
          <w:rFonts w:ascii="Times New Roman" w:eastAsia="Times New Roman" w:hAnsi="Times New Roman" w:cs="Times New Roman"/>
          <w:b w:val="0"/>
          <w:i/>
          <w:sz w:val="20"/>
        </w:rPr>
        <w:t xml:space="preserve">Impairment of </w:t>
      </w:r>
      <w:r>
        <w:rPr>
          <w:rFonts w:ascii="Times New Roman" w:eastAsia="Times New Roman" w:hAnsi="Times New Roman" w:cs="Times New Roman"/>
          <w:b w:val="0"/>
          <w:i/>
          <w:sz w:val="20"/>
        </w:rPr>
        <w:t>G</w:t>
      </w:r>
      <w:r>
        <w:rPr>
          <w:rFonts w:ascii="Times New Roman" w:eastAsia="Times New Roman" w:hAnsi="Times New Roman" w:cs="Times New Roman"/>
          <w:b w:val="0"/>
          <w:i/>
          <w:sz w:val="20"/>
        </w:rPr>
        <w:t>ood</w:t>
      </w:r>
      <w:r>
        <w:rPr>
          <w:rFonts w:ascii="Times New Roman" w:eastAsia="Times New Roman" w:hAnsi="Times New Roman" w:cs="Times New Roman"/>
          <w:b w:val="0"/>
          <w:i/>
          <w:sz w:val="20"/>
        </w:rPr>
        <w:t>will</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During the third quarter of fiscal year 2025, we recognized a </w:t>
      </w:r>
      <w:r>
        <w:rPr>
          <w:rFonts w:ascii="Times New Roman" w:eastAsia="Times New Roman" w:hAnsi="Times New Roman" w:cs="Times New Roman"/>
          <w:b w:val="0"/>
          <w:i w:val="0"/>
          <w:color w:val="000000"/>
          <w:sz w:val="20"/>
          <w:u w:val="none"/>
        </w:rPr>
        <w:t>goodwill impairment</w:t>
      </w:r>
      <w:r>
        <w:rPr>
          <w:rFonts w:ascii="Times New Roman" w:eastAsia="Times New Roman" w:hAnsi="Times New Roman" w:cs="Times New Roman"/>
          <w:b w:val="0"/>
          <w:i w:val="0"/>
          <w:sz w:val="20"/>
        </w:rPr>
        <w:t xml:space="preserve"> charge of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following a determination that the fair value of the Medical reporting unit was below its carrying value</w:t>
      </w:r>
      <w:r>
        <w:rPr>
          <w:rFonts w:ascii="Times New Roman" w:eastAsia="Times New Roman" w:hAnsi="Times New Roman" w:cs="Times New Roman"/>
          <w:b w:val="0"/>
          <w:i w:val="0"/>
          <w:sz w:val="20"/>
        </w:rPr>
        <w:t xml:space="preserve">. See Note </w:t>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Goodwill and Intangible Assets</w:t>
      </w:r>
      <w:r>
        <w:rPr>
          <w:rFonts w:ascii="Times New Roman" w:eastAsia="Times New Roman" w:hAnsi="Times New Roman" w:cs="Times New Roman"/>
          <w:b w:val="0"/>
          <w:i/>
          <w:sz w:val="20"/>
        </w:rPr>
        <w:t xml:space="preserve">, </w:t>
      </w:r>
      <w:r>
        <w:rPr>
          <w:rFonts w:ascii="Times New Roman" w:eastAsia="Times New Roman" w:hAnsi="Times New Roman" w:cs="Times New Roman"/>
          <w:b w:val="0"/>
          <w:i w:val="0"/>
          <w:sz w:val="20"/>
        </w:rPr>
        <w:t xml:space="preserve">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of this report for further details.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Interest and Other Expense, Net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following table summarizes the Company’s interest and other expense, net:</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35"/>
        <w:gridCol w:w="1605"/>
        <w:gridCol w:w="75"/>
        <w:gridCol w:w="1605"/>
        <w:gridCol w:w="75"/>
        <w:gridCol w:w="1605"/>
      </w:tblGrid>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Interest income</w:t>
            </w: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7.5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5.5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2.0</w:t>
              <w:tab/>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Interest expense</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(27.6)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(22.6)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(5.0)</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8"/>
                <w:u w:val="none"/>
              </w:rPr>
              <w:t>Other income (expense), net</w:t>
            </w: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(4.2)</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40" w:lineRule="auto"/>
              <w:ind w:left="360"/>
              <w:jc w:val="left"/>
            </w:pPr>
            <w:r>
              <w:rPr>
                <w:rFonts w:ascii="Times New Roman" w:eastAsia="Times New Roman" w:hAnsi="Times New Roman" w:cs="Times New Roman"/>
                <w:b w:val="0"/>
                <w:i w:val="0"/>
                <w:color w:val="000000"/>
                <w:sz w:val="18"/>
                <w:u w:val="none"/>
              </w:rPr>
              <w:t>Interest and other expense, net</w:t>
            </w: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w:t>
              <w:tab/>
              <w:t>(25.9)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w:t>
              <w:tab/>
              <w:t>(18.7)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174"/>
              </w:tabs>
              <w:spacing w:before="55" w:after="30" w:line="240" w:lineRule="auto"/>
              <w:jc w:val="right"/>
            </w:pPr>
            <w:r>
              <w:rPr>
                <w:rFonts w:ascii="Times New Roman" w:eastAsia="Times New Roman" w:hAnsi="Times New Roman" w:cs="Times New Roman"/>
                <w:b w:val="0"/>
                <w:i w:val="0"/>
                <w:color w:val="000000"/>
                <w:sz w:val="18"/>
                <w:u w:val="none"/>
              </w:rPr>
              <w:t>$</w:t>
              <w:tab/>
              <w:t>(7.2)</w:t>
            </w:r>
          </w:p>
        </w:tc>
      </w:tr>
    </w:tbl>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Interest 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due</w:t>
      </w:r>
      <w:r>
        <w:rPr>
          <w:rFonts w:ascii="Times New Roman" w:eastAsia="Times New Roman" w:hAnsi="Times New Roman" w:cs="Times New Roman"/>
          <w:b w:val="0"/>
          <w:i w:val="0"/>
          <w:sz w:val="20"/>
        </w:rPr>
        <w:t xml:space="preserve"> t</w:t>
      </w:r>
      <w:r>
        <w:rPr>
          <w:rFonts w:ascii="Times New Roman" w:eastAsia="Times New Roman" w:hAnsi="Times New Roman" w:cs="Times New Roman"/>
          <w:b w:val="0"/>
          <w:i w:val="0"/>
          <w:sz w:val="20"/>
        </w:rPr>
        <w:t>o an increase in</w:t>
      </w:r>
      <w:r>
        <w:rPr>
          <w:rFonts w:ascii="Times New Roman" w:eastAsia="Times New Roman" w:hAnsi="Times New Roman" w:cs="Times New Roman"/>
          <w:b w:val="0"/>
          <w:i w:val="0"/>
          <w:sz w:val="20"/>
        </w:rPr>
        <w:t xml:space="preserve"> the average</w:t>
      </w:r>
      <w:r>
        <w:rPr>
          <w:rFonts w:ascii="Times New Roman" w:eastAsia="Times New Roman" w:hAnsi="Times New Roman" w:cs="Times New Roman"/>
          <w:b w:val="0"/>
          <w:i w:val="0"/>
          <w:sz w:val="20"/>
        </w:rPr>
        <w:t xml:space="preserve"> cash and cash equivalents </w:t>
      </w:r>
      <w:r>
        <w:rPr>
          <w:rFonts w:ascii="Times New Roman" w:eastAsia="Times New Roman" w:hAnsi="Times New Roman" w:cs="Times New Roman"/>
          <w:b w:val="0"/>
          <w:i w:val="0"/>
          <w:sz w:val="20"/>
        </w:rPr>
        <w:t xml:space="preserve">balance </w:t>
      </w:r>
      <w:r>
        <w:rPr>
          <w:rFonts w:ascii="Times New Roman" w:eastAsia="Times New Roman" w:hAnsi="Times New Roman" w:cs="Times New Roman"/>
          <w:b w:val="0"/>
          <w:i w:val="0"/>
          <w:sz w:val="20"/>
        </w:rPr>
        <w:t>being held in interest bearing deposit accounts.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Interest expense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due to</w:t>
      </w:r>
      <w:r>
        <w:rPr>
          <w:rFonts w:ascii="Times New Roman" w:eastAsia="Times New Roman" w:hAnsi="Times New Roman" w:cs="Times New Roman"/>
          <w:b w:val="0"/>
          <w:i w:val="0"/>
          <w:sz w:val="20"/>
        </w:rPr>
        <w:t xml:space="preserve"> interest costs in connection with the additional Senior Secured Notes issued during the first quarter of fiscal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sz w:val="20"/>
        </w:rPr>
        <w:t xml:space="preserve"> and the Revolving Credit Facility established during the final week of the second quarter of fiscal year </w:t>
      </w:r>
      <w:r>
        <w:rPr>
          <w:rFonts w:ascii="Times New Roman" w:eastAsia="Times New Roman" w:hAnsi="Times New Roman" w:cs="Times New Roman"/>
          <w:b w:val="0"/>
          <w:i w:val="0"/>
          <w:color w:val="000000"/>
          <w:sz w:val="20"/>
          <w:u w:val="none"/>
        </w:rPr>
        <w:t>2024</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primarily du</w:t>
      </w:r>
      <w:r>
        <w:rPr>
          <w:rFonts w:ascii="Times New Roman" w:eastAsia="Times New Roman" w:hAnsi="Times New Roman" w:cs="Times New Roman"/>
          <w:b w:val="0"/>
          <w:i w:val="0"/>
          <w:color w:val="000000"/>
          <w:sz w:val="20"/>
          <w:u w:val="none"/>
        </w:rPr>
        <w:t>e t</w:t>
      </w:r>
      <w:r>
        <w:rPr>
          <w:rFonts w:ascii="Times New Roman" w:eastAsia="Times New Roman" w:hAnsi="Times New Roman" w:cs="Times New Roman"/>
          <w:b w:val="0"/>
          <w:i w:val="0"/>
          <w:color w:val="000000"/>
          <w:sz w:val="20"/>
          <w:u w:val="none"/>
        </w:rPr>
        <w:t xml:space="preserve">o </w:t>
      </w:r>
      <w:r>
        <w:rPr>
          <w:rFonts w:ascii="Times New Roman" w:eastAsia="Times New Roman" w:hAnsi="Times New Roman" w:cs="Times New Roman"/>
          <w:b w:val="0"/>
          <w:i w:val="0"/>
          <w:color w:val="000000"/>
          <w:sz w:val="20"/>
          <w:u w:val="none"/>
        </w:rPr>
        <w:t xml:space="preserve">decreased gains on business acquisitions of </w:t>
      </w:r>
      <w:r>
        <w:rPr>
          <w:rFonts w:ascii="Times New Roman" w:eastAsia="Times New Roman" w:hAnsi="Times New Roman" w:cs="Times New Roman"/>
          <w:b w:val="0"/>
          <w:i w:val="0"/>
          <w:color w:val="000000"/>
          <w:sz w:val="20"/>
          <w:u w:val="none"/>
        </w:rPr>
        <w:t>$2.1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increased foreign exchange expense of </w:t>
      </w:r>
      <w:r>
        <w:rPr>
          <w:rFonts w:ascii="Times New Roman" w:eastAsia="Times New Roman" w:hAnsi="Times New Roman" w:cs="Times New Roman"/>
          <w:b w:val="0"/>
          <w:i w:val="0"/>
          <w:color w:val="000000"/>
          <w:sz w:val="20"/>
          <w:u w:val="none"/>
        </w:rPr>
        <w:t>$1.5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increased losses in certain investments in privately-held companies and equity investments of </w:t>
      </w:r>
      <w:r>
        <w:rPr>
          <w:rFonts w:ascii="Times New Roman" w:eastAsia="Times New Roman" w:hAnsi="Times New Roman" w:cs="Times New Roman"/>
          <w:b w:val="0"/>
          <w:i w:val="0"/>
          <w:color w:val="000000"/>
          <w:sz w:val="20"/>
          <w:u w:val="none"/>
        </w:rPr>
        <w:t>$1.1 million</w:t>
      </w:r>
      <w:r>
        <w:rPr>
          <w:rFonts w:ascii="Times New Roman" w:eastAsia="Times New Roman" w:hAnsi="Times New Roman" w:cs="Times New Roman"/>
          <w:b w:val="0"/>
          <w:i w:val="0"/>
          <w:color w:val="000000"/>
          <w:sz w:val="20"/>
          <w:u w:val="none"/>
        </w:rPr>
        <w:t>,</w:t>
      </w:r>
      <w:r>
        <w:rPr>
          <w:rFonts w:ascii="Times New Roman" w:eastAsia="Times New Roman" w:hAnsi="Times New Roman" w:cs="Times New Roman"/>
          <w:b w:val="0"/>
          <w:i w:val="0"/>
          <w:color w:val="000000"/>
          <w:sz w:val="20"/>
          <w:u w:val="none"/>
        </w:rPr>
        <w:t xml:space="preserve"> and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a loss related to lease impairments of </w:t>
      </w:r>
      <w:r>
        <w:rPr>
          <w:rFonts w:ascii="Times New Roman" w:eastAsia="Times New Roman" w:hAnsi="Times New Roman" w:cs="Times New Roman"/>
          <w:b w:val="0"/>
          <w:i w:val="0"/>
          <w:color w:val="000000"/>
          <w:sz w:val="20"/>
          <w:u w:val="none"/>
        </w:rPr>
        <w:t>$0.3 million</w:t>
      </w:r>
      <w:r>
        <w:rPr>
          <w:rFonts w:ascii="Times New Roman" w:eastAsia="Times New Roman" w:hAnsi="Times New Roman" w:cs="Times New Roman"/>
          <w:b w:val="0"/>
          <w:i w:val="0"/>
          <w:color w:val="000000"/>
          <w:sz w:val="20"/>
          <w:u w:val="none"/>
        </w:rPr>
        <w:t xml:space="preserve">, partially offset by </w:t>
      </w:r>
      <w:r>
        <w:rPr>
          <w:rFonts w:ascii="Times New Roman" w:eastAsia="Times New Roman" w:hAnsi="Times New Roman" w:cs="Times New Roman"/>
          <w:b w:val="0"/>
          <w:i w:val="0"/>
          <w:color w:val="000000"/>
          <w:sz w:val="20"/>
          <w:u w:val="none"/>
        </w:rPr>
        <w:t xml:space="preserve">a gain on sale of fixed assets of </w:t>
      </w:r>
      <w:r>
        <w:rPr>
          <w:rFonts w:ascii="Times New Roman" w:eastAsia="Times New Roman" w:hAnsi="Times New Roman" w:cs="Times New Roman"/>
          <w:b w:val="0"/>
          <w:i w:val="0"/>
          <w:color w:val="000000"/>
          <w:sz w:val="20"/>
          <w:u w:val="none"/>
        </w:rPr>
        <w:t>$0.6 million</w:t>
      </w:r>
      <w:r>
        <w:rPr>
          <w:rFonts w:ascii="Times New Roman" w:eastAsia="Times New Roman" w:hAnsi="Times New Roman" w:cs="Times New Roman"/>
          <w:b w:val="0"/>
          <w:i w:val="0"/>
          <w:color w:val="000000"/>
          <w:sz w:val="20"/>
          <w:u w:val="none"/>
        </w:rPr>
        <w:t xml:space="preserve">. </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color w:val="000000"/>
          <w:sz w:val="20"/>
          <w:u w:val="none"/>
        </w:rPr>
        <w:t>Taxes on (Loss) income</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we recognized income tax </w:t>
      </w:r>
      <w:r>
        <w:rPr>
          <w:rFonts w:ascii="Times New Roman" w:eastAsia="Times New Roman" w:hAnsi="Times New Roman" w:cs="Times New Roman"/>
          <w:b w:val="0"/>
          <w:i w:val="0"/>
          <w:color w:val="000000"/>
          <w:sz w:val="20"/>
          <w:u w:val="none"/>
        </w:rPr>
        <w:t>expense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$8.8 million</w:t>
      </w:r>
      <w:r>
        <w:rPr>
          <w:rFonts w:ascii="Times New Roman" w:eastAsia="Times New Roman" w:hAnsi="Times New Roman" w:cs="Times New Roman"/>
          <w:b w:val="0"/>
          <w:i w:val="0"/>
          <w:sz w:val="20"/>
        </w:rPr>
        <w:t xml:space="preserve"> on </w:t>
      </w:r>
      <w:r>
        <w:rPr>
          <w:rFonts w:ascii="Times New Roman" w:eastAsia="Times New Roman" w:hAnsi="Times New Roman" w:cs="Times New Roman"/>
          <w:b w:val="0"/>
          <w:i w:val="0"/>
          <w:color w:val="000000"/>
          <w:sz w:val="20"/>
          <w:u w:val="none"/>
        </w:rPr>
        <w:t>$73.3 million</w:t>
      </w:r>
      <w:r>
        <w:rPr>
          <w:rFonts w:ascii="Times New Roman" w:eastAsia="Times New Roman" w:hAnsi="Times New Roman" w:cs="Times New Roman"/>
          <w:b w:val="0"/>
          <w:i w:val="0"/>
          <w:sz w:val="20"/>
        </w:rPr>
        <w:t xml:space="preserve"> of pre-tax </w:t>
      </w:r>
      <w:r>
        <w:rPr>
          <w:rFonts w:ascii="Times New Roman" w:eastAsia="Times New Roman" w:hAnsi="Times New Roman" w:cs="Times New Roman"/>
          <w:b w:val="0"/>
          <w:i w:val="0"/>
          <w:color w:val="000000"/>
          <w:sz w:val="20"/>
          <w:u w:val="none"/>
        </w:rPr>
        <w:t>loss</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xml:space="preserve">, the Company recognized income tax </w:t>
      </w:r>
      <w:r>
        <w:rPr>
          <w:rFonts w:ascii="Times New Roman" w:eastAsia="Times New Roman" w:hAnsi="Times New Roman" w:cs="Times New Roman"/>
          <w:b w:val="0"/>
          <w:i w:val="0"/>
          <w:color w:val="000000"/>
          <w:sz w:val="20"/>
          <w:u w:val="none"/>
        </w:rPr>
        <w:t>benefit</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$0.2 million</w:t>
      </w:r>
      <w:r>
        <w:rPr>
          <w:rFonts w:ascii="Times New Roman" w:eastAsia="Times New Roman" w:hAnsi="Times New Roman" w:cs="Times New Roman"/>
          <w:b w:val="0"/>
          <w:i w:val="0"/>
          <w:sz w:val="20"/>
        </w:rPr>
        <w:t xml:space="preserve"> on </w:t>
      </w:r>
      <w:r>
        <w:rPr>
          <w:rFonts w:ascii="Times New Roman" w:eastAsia="Times New Roman" w:hAnsi="Times New Roman" w:cs="Times New Roman"/>
          <w:b w:val="0"/>
          <w:i w:val="0"/>
          <w:color w:val="000000"/>
          <w:sz w:val="20"/>
          <w:u w:val="none"/>
        </w:rPr>
        <w:t>$2.5 million</w:t>
      </w:r>
      <w:r>
        <w:rPr>
          <w:rFonts w:ascii="Times New Roman" w:eastAsia="Times New Roman" w:hAnsi="Times New Roman" w:cs="Times New Roman"/>
          <w:b w:val="0"/>
          <w:i w:val="0"/>
          <w:sz w:val="20"/>
        </w:rPr>
        <w:t xml:space="preserve"> of pre-tax </w:t>
      </w:r>
      <w:r>
        <w:rPr>
          <w:rFonts w:ascii="Times New Roman" w:eastAsia="Times New Roman" w:hAnsi="Times New Roman" w:cs="Times New Roman"/>
          <w:b w:val="0"/>
          <w:i w:val="0"/>
          <w:color w:val="000000"/>
          <w:sz w:val="20"/>
          <w:u w:val="none"/>
        </w:rPr>
        <w:t>income</w:t>
      </w:r>
      <w:r>
        <w:rPr>
          <w:rFonts w:ascii="Times New Roman" w:eastAsia="Times New Roman" w:hAnsi="Times New Roman" w:cs="Times New Roman"/>
          <w:b w:val="0"/>
          <w:i w:val="0"/>
          <w:sz w:val="20"/>
        </w:rPr>
        <w:t xml:space="preserve">. Our tax expense increased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primarily </w:t>
      </w:r>
      <w:r>
        <w:rPr>
          <w:rFonts w:ascii="Times New Roman" w:eastAsia="Times New Roman" w:hAnsi="Times New Roman" w:cs="Times New Roman"/>
          <w:b w:val="0"/>
          <w:i w:val="0"/>
          <w:sz w:val="20"/>
        </w:rPr>
        <w:t>due to</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the non-tax deductible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goodwill impairment, increased pre-tax income in certain jurisdictions,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valuation allowance positions in the U.S. on deferred tax assets, and losses in certain foreign jurisdictions for which no benefit can be recorded.</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4"/>
        </w:rPr>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sz w:val="20"/>
        </w:rPr>
      </w:pPr>
      <w:bookmarkStart w:id="35" w:name="Section36"/>
      <w:bookmarkEnd w:id="35"/>
      <w:r>
        <w:rPr>
          <w:rFonts w:ascii="Times New Roman" w:eastAsia="Times New Roman" w:hAnsi="Times New Roman" w:cs="Times New Roman"/>
          <w:b/>
          <w:i/>
          <w:sz w:val="20"/>
        </w:rPr>
        <w:t>Liquidity and Capital Resources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single"/>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assess our liquidity in terms of our ability to generate cash to fund our operations, including working capital and investing activities. We believe that our operating cash flow, cash on our balance sheet, availability under our Revolving Credit Facility, and our ability to access the credit and capital markets are sufficient to meet our anticipated operating activities and cash commitments for at least the next 12 months and will be sufficient to allow us to continue to invest in our existing businesses, consummate strategic acquisitions, and manage our capital structure on a short-term and long-term basis. We are currently not aware of any trends or demands, commitments, events, or uncertainties that will result in or that are reasonably likely to result in a material change to our liquidity needs during or beyond the next 12 months</w:t>
      </w:r>
      <w:r>
        <w:rPr>
          <w:rFonts w:ascii="Times New Roman" w:eastAsia="Times New Roman" w:hAnsi="Times New Roman" w:cs="Times New Roman"/>
          <w:b w:val="0"/>
          <w:i w:val="0"/>
          <w:sz w:val="20"/>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the availability under our Revolving Credit Facility was </w:t>
      </w:r>
      <w:r>
        <w:rPr>
          <w:rFonts w:ascii="Times New Roman" w:eastAsia="Times New Roman" w:hAnsi="Times New Roman" w:cs="Times New Roman"/>
          <w:b w:val="0"/>
          <w:i w:val="0"/>
          <w:color w:val="000000"/>
          <w:sz w:val="20"/>
          <w:u w:val="none"/>
        </w:rPr>
        <w:t>$154.8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w:t>
      </w:r>
      <w:r>
        <w:rPr>
          <w:rFonts w:ascii="Times New Roman" w:eastAsia="Times New Roman" w:hAnsi="Times New Roman" w:cs="Times New Roman"/>
          <w:b w:val="0"/>
          <w:i w:val="0"/>
          <w:sz w:val="20"/>
        </w:rPr>
        <w:t xml:space="preserve"> we had total debt of </w:t>
      </w:r>
      <w:r>
        <w:rPr>
          <w:rFonts w:ascii="Times New Roman" w:eastAsia="Times New Roman" w:hAnsi="Times New Roman" w:cs="Times New Roman"/>
          <w:b w:val="0"/>
          <w:i w:val="0"/>
          <w:color w:val="000000"/>
          <w:sz w:val="20"/>
          <w:u w:val="none"/>
        </w:rPr>
        <w:t>$367.5 million</w:t>
      </w:r>
      <w:r>
        <w:rPr>
          <w:rFonts w:ascii="Times New Roman" w:eastAsia="Times New Roman" w:hAnsi="Times New Roman" w:cs="Times New Roman"/>
          <w:b w:val="0"/>
          <w:i w:val="0"/>
          <w:sz w:val="20"/>
        </w:rPr>
        <w:t xml:space="preserve">, net of deferred issuance costs of </w:t>
      </w:r>
      <w:r>
        <w:rPr>
          <w:rFonts w:ascii="Times New Roman" w:eastAsia="Times New Roman" w:hAnsi="Times New Roman" w:cs="Times New Roman"/>
          <w:b w:val="0"/>
          <w:i w:val="0"/>
          <w:color w:val="000000"/>
          <w:sz w:val="20"/>
          <w:u w:val="none"/>
        </w:rPr>
        <w:t>$2.7 million</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Cash and Cash Equivalents, Certificates of Deposit, and Marketable Debt Securities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following table summarizes our </w:t>
      </w:r>
      <w:r>
        <w:rPr>
          <w:rFonts w:ascii="Times New Roman" w:eastAsia="Times New Roman" w:hAnsi="Times New Roman" w:cs="Times New Roman"/>
          <w:b w:val="0"/>
          <w:i w:val="0"/>
          <w:color w:val="000000"/>
          <w:sz w:val="20"/>
          <w:u w:val="none"/>
        </w:rPr>
        <w:t>cash and cash equivalents</w:t>
      </w:r>
      <w:r>
        <w:rPr>
          <w:rFonts w:ascii="Times New Roman" w:eastAsia="Times New Roman" w:hAnsi="Times New Roman" w:cs="Times New Roman"/>
          <w:b w:val="0"/>
          <w:i w:val="0"/>
          <w:sz w:val="20"/>
        </w:rPr>
        <w:t>, certificates of deposit, and marketable debt securities: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05"/>
        <w:gridCol w:w="1620"/>
        <w:gridCol w:w="75"/>
        <w:gridCol w:w="1620"/>
        <w:gridCol w:w="75"/>
        <w:gridCol w:w="1605"/>
      </w:tblGrid>
      <w:tr>
        <w:tblPrEx>
          <w:tblW w:w="10800" w:type="dxa"/>
          <w:tblInd w:w="0" w:type="dxa"/>
          <w:tblLayout w:type="fixed"/>
        </w:tblPrEx>
        <w:trPr>
          <w:cantSplit/>
          <w:trHeight w:hRule="exact" w:val="285"/>
        </w:trPr>
        <w:tc>
          <w:tcPr>
            <w:tcW w:w="58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(In millions)</w:t>
            </w:r>
          </w:p>
        </w:tc>
        <w:tc>
          <w:tcPr>
            <w:tcW w:w="162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2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255"/>
        </w:trPr>
        <w:tc>
          <w:tcPr>
            <w:tcW w:w="58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Cash and cash equivalents</w:t>
            </w:r>
          </w:p>
        </w:tc>
        <w:tc>
          <w:tcPr>
            <w:tcW w:w="16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9"/>
                <w:tab w:val="left" w:pos="1552"/>
              </w:tabs>
              <w:spacing w:before="55" w:after="30" w:line="240" w:lineRule="auto"/>
              <w:jc w:val="right"/>
            </w:pPr>
            <w:r>
              <w:rPr>
                <w:rFonts w:ascii="Times New Roman" w:eastAsia="Times New Roman" w:hAnsi="Times New Roman" w:cs="Times New Roman"/>
                <w:b w:val="0"/>
                <w:i w:val="0"/>
                <w:color w:val="000000"/>
                <w:sz w:val="18"/>
                <w:u w:val="none"/>
              </w:rPr>
              <w:t>$</w:t>
              <w:tab/>
              <w:t>136.4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9"/>
                <w:tab w:val="left" w:pos="1552"/>
              </w:tabs>
              <w:spacing w:before="55" w:after="30" w:line="240" w:lineRule="auto"/>
              <w:jc w:val="right"/>
            </w:pPr>
            <w:r>
              <w:rPr>
                <w:rFonts w:ascii="Times New Roman" w:eastAsia="Times New Roman" w:hAnsi="Times New Roman" w:cs="Times New Roman"/>
                <w:b w:val="0"/>
                <w:i w:val="0"/>
                <w:color w:val="000000"/>
                <w:sz w:val="18"/>
                <w:u w:val="none"/>
              </w:rPr>
              <w:t>$</w:t>
              <w:tab/>
              <w:t>168.7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w:t>
              <w:tab/>
              <w:t>(32.3)</w:t>
            </w:r>
          </w:p>
        </w:tc>
      </w:tr>
      <w:tr>
        <w:tblPrEx>
          <w:tblW w:w="10800" w:type="dxa"/>
          <w:tblInd w:w="0" w:type="dxa"/>
          <w:tblLayout w:type="fixed"/>
        </w:tblPrEx>
        <w:trPr>
          <w:cantSplit/>
          <w:trHeight w:hRule="exact" w:val="255"/>
        </w:trPr>
        <w:tc>
          <w:tcPr>
            <w:tcW w:w="58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Certificates of deposit not included in cash and cash equivalents</w:t>
            </w:r>
          </w:p>
        </w:tc>
        <w:tc>
          <w:tcPr>
            <w:tcW w:w="16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5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69"/>
                <w:tab w:val="left" w:pos="1552"/>
              </w:tabs>
              <w:spacing w:before="75" w:after="30" w:line="240" w:lineRule="auto"/>
              <w:jc w:val="right"/>
            </w:pPr>
            <w:r>
              <w:rPr>
                <w:rFonts w:ascii="Times New Roman" w:eastAsia="Times New Roman" w:hAnsi="Times New Roman" w:cs="Times New Roman"/>
                <w:b w:val="0"/>
                <w:i w:val="0"/>
                <w:color w:val="000000"/>
                <w:sz w:val="18"/>
                <w:u w:val="none"/>
              </w:rPr>
              <w:tab/>
              <w:t>3.4</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(3.4)</w:t>
            </w:r>
          </w:p>
        </w:tc>
      </w:tr>
      <w:tr>
        <w:tblPrEx>
          <w:tblW w:w="10800" w:type="dxa"/>
          <w:tblInd w:w="0" w:type="dxa"/>
          <w:tblLayout w:type="fixed"/>
        </w:tblPrEx>
        <w:trPr>
          <w:cantSplit/>
          <w:trHeight w:hRule="exact" w:val="255"/>
        </w:trPr>
        <w:tc>
          <w:tcPr>
            <w:tcW w:w="58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180"/>
              <w:jc w:val="left"/>
            </w:pPr>
            <w:r>
              <w:rPr>
                <w:rFonts w:ascii="Times New Roman" w:eastAsia="Times New Roman" w:hAnsi="Times New Roman" w:cs="Times New Roman"/>
                <w:b w:val="0"/>
                <w:i w:val="0"/>
                <w:color w:val="000000"/>
                <w:sz w:val="18"/>
                <w:u w:val="none"/>
              </w:rPr>
              <w:t>Marketable debt securities not included in cash and cash equivalents</w:t>
            </w:r>
          </w:p>
        </w:tc>
        <w:tc>
          <w:tcPr>
            <w:tcW w:w="16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9"/>
                <w:tab w:val="left" w:pos="1552"/>
              </w:tabs>
              <w:spacing w:before="75" w:after="30" w:line="240" w:lineRule="auto"/>
              <w:jc w:val="right"/>
            </w:pPr>
            <w:r>
              <w:rPr>
                <w:rFonts w:ascii="Times New Roman" w:eastAsia="Times New Roman" w:hAnsi="Times New Roman" w:cs="Times New Roman"/>
                <w:b w:val="0"/>
                <w:i w:val="0"/>
                <w:color w:val="000000"/>
                <w:sz w:val="18"/>
                <w:u w:val="none"/>
              </w:rPr>
              <w:tab/>
              <w:t>16.2</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79"/>
                <w:tab w:val="left" w:pos="1552"/>
              </w:tabs>
              <w:spacing w:before="75" w:after="30" w:line="240" w:lineRule="auto"/>
              <w:jc w:val="right"/>
            </w:pPr>
            <w:r>
              <w:rPr>
                <w:rFonts w:ascii="Times New Roman" w:eastAsia="Times New Roman" w:hAnsi="Times New Roman" w:cs="Times New Roman"/>
                <w:b w:val="0"/>
                <w:i w:val="0"/>
                <w:color w:val="000000"/>
                <w:sz w:val="18"/>
                <w:u w:val="none"/>
              </w:rPr>
              <w:tab/>
              <w:t>40.8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(24.6)</w:t>
            </w:r>
          </w:p>
        </w:tc>
      </w:tr>
      <w:tr>
        <w:tblPrEx>
          <w:tblW w:w="10800" w:type="dxa"/>
          <w:tblInd w:w="0" w:type="dxa"/>
          <w:tblLayout w:type="fixed"/>
        </w:tblPrEx>
        <w:trPr>
          <w:cantSplit/>
          <w:trHeight w:hRule="exact" w:val="255"/>
        </w:trPr>
        <w:tc>
          <w:tcPr>
            <w:tcW w:w="580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i w:val="0"/>
                <w:sz w:val="18"/>
              </w:rPr>
            </w:pPr>
            <w:r>
              <w:rPr>
                <w:rFonts w:ascii="Times New Roman" w:eastAsia="Times New Roman" w:hAnsi="Times New Roman" w:cs="Times New Roman"/>
                <w:b/>
                <w:i w:val="0"/>
                <w:sz w:val="18"/>
              </w:rPr>
              <w:t>Total</w:t>
            </w:r>
          </w:p>
        </w:tc>
        <w:tc>
          <w:tcPr>
            <w:tcW w:w="162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89"/>
                <w:tab w:val="left" w:pos="1552"/>
              </w:tabs>
              <w:spacing w:before="55" w:after="30" w:line="240" w:lineRule="auto"/>
              <w:jc w:val="right"/>
            </w:pPr>
            <w:r>
              <w:rPr>
                <w:rFonts w:ascii="Times New Roman" w:eastAsia="Times New Roman" w:hAnsi="Times New Roman" w:cs="Times New Roman"/>
                <w:b w:val="0"/>
                <w:i w:val="0"/>
                <w:color w:val="000000"/>
                <w:sz w:val="18"/>
                <w:u w:val="none"/>
              </w:rPr>
              <w:t>$</w:t>
              <w:tab/>
              <w:t>152.6</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2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89"/>
                <w:tab w:val="left" w:pos="1552"/>
              </w:tabs>
              <w:spacing w:before="55" w:after="30" w:line="240" w:lineRule="auto"/>
              <w:jc w:val="right"/>
            </w:pPr>
            <w:r>
              <w:rPr>
                <w:rFonts w:ascii="Times New Roman" w:eastAsia="Times New Roman" w:hAnsi="Times New Roman" w:cs="Times New Roman"/>
                <w:b w:val="0"/>
                <w:i w:val="0"/>
                <w:color w:val="000000"/>
                <w:sz w:val="18"/>
                <w:u w:val="none"/>
              </w:rPr>
              <w:t>$</w:t>
              <w:tab/>
              <w:t>212.9</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w:t>
              <w:tab/>
              <w:t>(60.3)</w:t>
            </w:r>
          </w:p>
        </w:tc>
      </w:tr>
    </w:tbl>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Borrowings</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following table summarizes the changes in our debt outstanding:</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35"/>
        <w:gridCol w:w="1620"/>
        <w:gridCol w:w="75"/>
        <w:gridCol w:w="1635"/>
        <w:gridCol w:w="75"/>
        <w:gridCol w:w="1560"/>
      </w:tblGrid>
      <w:tr>
        <w:tblPrEx>
          <w:tblW w:w="10800" w:type="dxa"/>
          <w:tblInd w:w="0" w:type="dxa"/>
          <w:tblLayout w:type="fixed"/>
        </w:tblPrEx>
        <w:trPr>
          <w:cantSplit/>
          <w:trHeight w:hRule="exact" w:val="285"/>
        </w:trPr>
        <w:tc>
          <w:tcPr>
            <w:tcW w:w="58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2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September 27, 2024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 except for percentages)</w:t>
            </w:r>
          </w:p>
        </w:tc>
        <w:tc>
          <w:tcPr>
            <w:tcW w:w="162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Amount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Change</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Current maturities of long-term debt:</w:t>
            </w:r>
          </w:p>
        </w:tc>
        <w:tc>
          <w:tcPr>
            <w:tcW w:w="162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Convertible Senior Unsecured Notes</w:t>
            </w:r>
          </w:p>
        </w:tc>
        <w:tc>
          <w:tcPr>
            <w:tcW w:w="162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14"/>
                <w:tab w:val="left" w:pos="155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94"/>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45.0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75" w:after="30" w:line="240" w:lineRule="auto"/>
              <w:jc w:val="right"/>
            </w:pPr>
            <w:r>
              <w:rPr>
                <w:rFonts w:ascii="Times New Roman" w:eastAsia="Times New Roman" w:hAnsi="Times New Roman" w:cs="Times New Roman"/>
                <w:b w:val="0"/>
                <w:i w:val="0"/>
                <w:color w:val="000000"/>
                <w:sz w:val="18"/>
                <w:u w:val="none"/>
              </w:rPr>
              <w:t>$</w:t>
              <w:tab/>
              <w:t>(45.0)</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Other debt</w:t>
            </w:r>
          </w:p>
        </w:tc>
        <w:tc>
          <w:tcPr>
            <w:tcW w:w="16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69"/>
                <w:tab w:val="left" w:pos="1552"/>
              </w:tabs>
              <w:spacing w:before="75" w:after="30" w:line="240" w:lineRule="auto"/>
              <w:jc w:val="right"/>
            </w:pPr>
            <w:r>
              <w:rPr>
                <w:rFonts w:ascii="Times New Roman" w:eastAsia="Times New Roman" w:hAnsi="Times New Roman" w:cs="Times New Roman"/>
                <w:b w:val="0"/>
                <w:i w:val="0"/>
                <w:color w:val="000000"/>
                <w:sz w:val="18"/>
                <w:u w:val="none"/>
              </w:rPr>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1.5</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54"/>
                <w:tab w:val="left" w:pos="149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current maturities of long-term debt</w:t>
            </w:r>
          </w:p>
        </w:tc>
        <w:tc>
          <w:tcPr>
            <w:tcW w:w="16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69"/>
                <w:tab w:val="left" w:pos="1552"/>
              </w:tabs>
              <w:spacing w:before="55" w:after="30" w:line="240" w:lineRule="auto"/>
              <w:jc w:val="right"/>
            </w:pPr>
            <w:r>
              <w:rPr>
                <w:rFonts w:ascii="Times New Roman" w:eastAsia="Times New Roman" w:hAnsi="Times New Roman" w:cs="Times New Roman"/>
                <w:b/>
                <w:i w:val="0"/>
                <w:color w:val="000000"/>
                <w:sz w:val="18"/>
                <w:u w:val="none"/>
              </w:rPr>
              <w:t>$</w:t>
              <w:tab/>
              <w:t>1.5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94"/>
                <w:tab w:val="left" w:pos="1567"/>
              </w:tabs>
              <w:spacing w:before="55" w:after="30" w:line="240" w:lineRule="auto"/>
              <w:jc w:val="right"/>
            </w:pPr>
            <w:r>
              <w:rPr>
                <w:rFonts w:ascii="Times New Roman" w:eastAsia="Times New Roman" w:hAnsi="Times New Roman" w:cs="Times New Roman"/>
                <w:b/>
                <w:i w:val="0"/>
                <w:color w:val="000000"/>
                <w:sz w:val="18"/>
                <w:u w:val="none"/>
              </w:rPr>
              <w:t>$</w:t>
              <w:tab/>
              <w:t>46.5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i w:val="0"/>
                <w:color w:val="000000"/>
                <w:sz w:val="18"/>
                <w:u w:val="none"/>
              </w:rPr>
              <w:t>$</w:t>
              <w:tab/>
              <w:t>(45.0)</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Non-current maturities of long-term debt:</w:t>
            </w:r>
          </w:p>
        </w:tc>
        <w:tc>
          <w:tcPr>
            <w:tcW w:w="16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225"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Convertible Senior Unsecured Notes</w:t>
            </w:r>
            <w:r>
              <w:rPr>
                <w:rFonts w:ascii="Times New Roman" w:eastAsia="Times New Roman" w:hAnsi="Times New Roman" w:cs="Times New Roman"/>
                <w:b w:val="0"/>
                <w:i w:val="0"/>
                <w:sz w:val="18"/>
                <w:vertAlign w:val="superscript"/>
              </w:rPr>
              <w:t>(1)</w:t>
            </w:r>
          </w:p>
        </w:tc>
        <w:tc>
          <w:tcPr>
            <w:tcW w:w="16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14"/>
                <w:tab w:val="left" w:pos="155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4"/>
                <w:tab w:val="left" w:pos="1567"/>
              </w:tabs>
              <w:spacing w:before="75" w:after="30" w:line="240" w:lineRule="auto"/>
              <w:jc w:val="right"/>
            </w:pPr>
            <w:r>
              <w:rPr>
                <w:rFonts w:ascii="Times New Roman" w:eastAsia="Times New Roman" w:hAnsi="Times New Roman" w:cs="Times New Roman"/>
                <w:b w:val="0"/>
                <w:i w:val="0"/>
                <w:color w:val="000000"/>
                <w:sz w:val="18"/>
                <w:u w:val="none"/>
              </w:rPr>
              <w:t>$</w:t>
              <w:tab/>
              <w:t>155.0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49"/>
              </w:tabs>
              <w:spacing w:before="75" w:after="30" w:line="240" w:lineRule="auto"/>
              <w:jc w:val="right"/>
            </w:pPr>
            <w:r>
              <w:rPr>
                <w:rFonts w:ascii="Times New Roman" w:eastAsia="Times New Roman" w:hAnsi="Times New Roman" w:cs="Times New Roman"/>
                <w:b w:val="0"/>
                <w:i w:val="0"/>
                <w:color w:val="000000"/>
                <w:sz w:val="18"/>
                <w:u w:val="none"/>
              </w:rPr>
              <w:t>$</w:t>
              <w:tab/>
              <w:t>(155.0)</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Senior Secured Notes</w:t>
            </w:r>
          </w:p>
        </w:tc>
        <w:tc>
          <w:tcPr>
            <w:tcW w:w="162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9"/>
                <w:tab w:val="left" w:pos="1552"/>
              </w:tabs>
              <w:spacing w:before="75" w:after="30" w:line="240" w:lineRule="auto"/>
              <w:jc w:val="right"/>
            </w:pPr>
            <w:r>
              <w:rPr>
                <w:rFonts w:ascii="Times New Roman" w:eastAsia="Times New Roman" w:hAnsi="Times New Roman" w:cs="Times New Roman"/>
                <w:b w:val="0"/>
                <w:i w:val="0"/>
                <w:color w:val="000000"/>
                <w:sz w:val="18"/>
                <w:u w:val="none"/>
              </w:rPr>
              <w:tab/>
              <w:t>368.0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04"/>
                <w:tab w:val="left" w:pos="1567"/>
              </w:tabs>
              <w:spacing w:before="75" w:after="30" w:line="240" w:lineRule="auto"/>
              <w:jc w:val="right"/>
            </w:pPr>
            <w:r>
              <w:rPr>
                <w:rFonts w:ascii="Times New Roman" w:eastAsia="Times New Roman" w:hAnsi="Times New Roman" w:cs="Times New Roman"/>
                <w:b w:val="0"/>
                <w:i w:val="0"/>
                <w:color w:val="000000"/>
                <w:sz w:val="18"/>
                <w:u w:val="none"/>
              </w:rPr>
              <w:tab/>
              <w:t>243.0</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9"/>
                <w:tab w:val="left" w:pos="1492"/>
              </w:tabs>
              <w:spacing w:before="75" w:after="30" w:line="240" w:lineRule="auto"/>
              <w:jc w:val="right"/>
            </w:pPr>
            <w:r>
              <w:rPr>
                <w:rFonts w:ascii="Times New Roman" w:eastAsia="Times New Roman" w:hAnsi="Times New Roman" w:cs="Times New Roman"/>
                <w:b w:val="0"/>
                <w:i w:val="0"/>
                <w:color w:val="000000"/>
                <w:sz w:val="18"/>
                <w:u w:val="none"/>
              </w:rPr>
              <w:tab/>
              <w:t>125.0</w:t>
              <w:tab/>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Other debt</w:t>
            </w:r>
          </w:p>
        </w:tc>
        <w:tc>
          <w:tcPr>
            <w:tcW w:w="16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69"/>
                <w:tab w:val="left" w:pos="1552"/>
              </w:tabs>
              <w:spacing w:before="75" w:after="30" w:line="240" w:lineRule="auto"/>
              <w:jc w:val="right"/>
            </w:pPr>
            <w:r>
              <w:rPr>
                <w:rFonts w:ascii="Times New Roman" w:eastAsia="Times New Roman" w:hAnsi="Times New Roman" w:cs="Times New Roman"/>
                <w:b w:val="0"/>
                <w:i w:val="0"/>
                <w:color w:val="000000"/>
                <w:sz w:val="18"/>
                <w:u w:val="none"/>
              </w:rPr>
              <w:tab/>
              <w:t>0.7</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84"/>
                <w:tab w:val="left" w:pos="1567"/>
              </w:tabs>
              <w:spacing w:before="75" w:after="30" w:line="240" w:lineRule="auto"/>
              <w:jc w:val="right"/>
            </w:pPr>
            <w:r>
              <w:rPr>
                <w:rFonts w:ascii="Times New Roman" w:eastAsia="Times New Roman" w:hAnsi="Times New Roman" w:cs="Times New Roman"/>
                <w:b w:val="0"/>
                <w:i w:val="0"/>
                <w:color w:val="000000"/>
                <w:sz w:val="18"/>
                <w:u w:val="none"/>
              </w:rPr>
              <w:tab/>
              <w:t>2.1</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(1.4)</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 non-current maturities of long-term debt</w:t>
            </w:r>
          </w:p>
        </w:tc>
        <w:tc>
          <w:tcPr>
            <w:tcW w:w="16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9"/>
                <w:tab w:val="left" w:pos="1552"/>
              </w:tabs>
              <w:spacing w:before="55" w:after="30" w:line="240" w:lineRule="auto"/>
              <w:jc w:val="right"/>
            </w:pPr>
            <w:r>
              <w:rPr>
                <w:rFonts w:ascii="Times New Roman" w:eastAsia="Times New Roman" w:hAnsi="Times New Roman" w:cs="Times New Roman"/>
                <w:b/>
                <w:i w:val="0"/>
                <w:color w:val="000000"/>
                <w:sz w:val="18"/>
                <w:u w:val="none"/>
              </w:rPr>
              <w:t>$</w:t>
              <w:tab/>
              <w:t>368.7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400.1</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39"/>
              </w:tabs>
              <w:spacing w:before="55" w:after="30" w:line="240" w:lineRule="auto"/>
              <w:jc w:val="right"/>
            </w:pPr>
            <w:r>
              <w:rPr>
                <w:rFonts w:ascii="Times New Roman" w:eastAsia="Times New Roman" w:hAnsi="Times New Roman" w:cs="Times New Roman"/>
                <w:b/>
                <w:i w:val="0"/>
                <w:color w:val="000000"/>
                <w:sz w:val="18"/>
                <w:u w:val="none"/>
              </w:rPr>
              <w:t>$</w:t>
              <w:tab/>
              <w:t>(31.4)</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2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Unamortized issuance costs and debt premiums:</w:t>
            </w:r>
          </w:p>
        </w:tc>
        <w:tc>
          <w:tcPr>
            <w:tcW w:w="162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Unamortized issuance costs - Convertible Notes</w:t>
            </w:r>
          </w:p>
        </w:tc>
        <w:tc>
          <w:tcPr>
            <w:tcW w:w="162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94"/>
                <w:tab w:val="left" w:pos="1552"/>
              </w:tabs>
              <w:spacing w:before="75" w:after="30" w:line="240" w:lineRule="auto"/>
              <w:jc w:val="right"/>
            </w:pPr>
            <w:r>
              <w:rPr>
                <w:rFonts w:ascii="Times New Roman" w:eastAsia="Times New Roman" w:hAnsi="Times New Roman" w:cs="Times New Roman"/>
                <w:b w:val="0"/>
                <w:i w:val="0"/>
                <w:color w:val="000000"/>
                <w:sz w:val="18"/>
                <w:u w:val="none"/>
              </w:rPr>
              <w:t>$</w:t>
              <w:tab/>
              <w:t>—</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4"/>
              </w:tabs>
              <w:spacing w:before="75" w:after="30" w:line="240" w:lineRule="auto"/>
              <w:jc w:val="right"/>
            </w:pPr>
            <w:r>
              <w:rPr>
                <w:rFonts w:ascii="Times New Roman" w:eastAsia="Times New Roman" w:hAnsi="Times New Roman" w:cs="Times New Roman"/>
                <w:b w:val="0"/>
                <w:i w:val="0"/>
                <w:color w:val="000000"/>
                <w:sz w:val="18"/>
                <w:u w:val="none"/>
              </w:rPr>
              <w:t>$</w:t>
              <w:tab/>
              <w:t>(1.0)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75" w:after="30" w:line="240" w:lineRule="auto"/>
              <w:jc w:val="right"/>
            </w:pPr>
            <w:r>
              <w:rPr>
                <w:rFonts w:ascii="Times New Roman" w:eastAsia="Times New Roman" w:hAnsi="Times New Roman" w:cs="Times New Roman"/>
                <w:b w:val="0"/>
                <w:i w:val="0"/>
                <w:color w:val="000000"/>
                <w:sz w:val="18"/>
                <w:u w:val="none"/>
              </w:rPr>
              <w:t>$</w:t>
              <w:tab/>
              <w:t>1.0</w:t>
              <w:tab/>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225"/>
              <w:jc w:val="left"/>
            </w:pPr>
            <w:r>
              <w:rPr>
                <w:rFonts w:ascii="Times New Roman" w:eastAsia="Times New Roman" w:hAnsi="Times New Roman" w:cs="Times New Roman"/>
                <w:b w:val="0"/>
                <w:i w:val="0"/>
                <w:color w:val="000000"/>
                <w:sz w:val="18"/>
                <w:u w:val="none"/>
              </w:rPr>
              <w:t>Unamortized issuance costs, net of debt premium - Senior Secured Notes</w:t>
            </w:r>
          </w:p>
        </w:tc>
        <w:tc>
          <w:tcPr>
            <w:tcW w:w="16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89"/>
              </w:tabs>
              <w:spacing w:before="75" w:after="30" w:line="240" w:lineRule="auto"/>
              <w:jc w:val="right"/>
            </w:pPr>
            <w:r>
              <w:rPr>
                <w:rFonts w:ascii="Times New Roman" w:eastAsia="Times New Roman" w:hAnsi="Times New Roman" w:cs="Times New Roman"/>
                <w:b w:val="0"/>
                <w:i w:val="0"/>
                <w:color w:val="000000"/>
                <w:sz w:val="18"/>
                <w:u w:val="none"/>
              </w:rPr>
              <w:tab/>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3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204"/>
              </w:tabs>
              <w:spacing w:before="75" w:after="30" w:line="240" w:lineRule="auto"/>
              <w:jc w:val="right"/>
            </w:pPr>
            <w:r>
              <w:rPr>
                <w:rFonts w:ascii="Times New Roman" w:eastAsia="Times New Roman" w:hAnsi="Times New Roman" w:cs="Times New Roman"/>
                <w:b w:val="0"/>
                <w:i w:val="0"/>
                <w:color w:val="000000"/>
                <w:sz w:val="18"/>
                <w:u w:val="none"/>
              </w:rPr>
              <w:tab/>
              <w:t>(2.2)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56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129"/>
              </w:tabs>
              <w:spacing w:before="75" w:after="30" w:line="240" w:lineRule="auto"/>
              <w:jc w:val="right"/>
            </w:pPr>
            <w:r>
              <w:rPr>
                <w:rFonts w:ascii="Times New Roman" w:eastAsia="Times New Roman" w:hAnsi="Times New Roman" w:cs="Times New Roman"/>
                <w:b w:val="0"/>
                <w:i w:val="0"/>
                <w:color w:val="000000"/>
                <w:sz w:val="18"/>
                <w:u w:val="none"/>
              </w:rPr>
              <w:tab/>
              <w:t>(0.5)</w:t>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Total</w:t>
            </w:r>
          </w:p>
        </w:tc>
        <w:tc>
          <w:tcPr>
            <w:tcW w:w="162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189"/>
              </w:tabs>
              <w:spacing w:before="55" w:after="30" w:line="240" w:lineRule="auto"/>
              <w:jc w:val="right"/>
            </w:pPr>
            <w:r>
              <w:rPr>
                <w:rFonts w:ascii="Times New Roman" w:eastAsia="Times New Roman" w:hAnsi="Times New Roman" w:cs="Times New Roman"/>
                <w:b/>
                <w:i w:val="0"/>
                <w:color w:val="000000"/>
                <w:sz w:val="18"/>
                <w:u w:val="none"/>
              </w:rPr>
              <w:tab/>
              <w:t>(2.7)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3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4"/>
              </w:tabs>
              <w:spacing w:before="55" w:after="30" w:line="240" w:lineRule="auto"/>
              <w:jc w:val="right"/>
            </w:pPr>
            <w:r>
              <w:rPr>
                <w:rFonts w:ascii="Times New Roman" w:eastAsia="Times New Roman" w:hAnsi="Times New Roman" w:cs="Times New Roman"/>
                <w:b/>
                <w:i w:val="0"/>
                <w:color w:val="000000"/>
                <w:sz w:val="18"/>
                <w:u w:val="none"/>
              </w:rPr>
              <w:tab/>
              <w:t>(3.2)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56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09"/>
                <w:tab w:val="left" w:pos="1492"/>
              </w:tabs>
              <w:spacing w:before="55" w:after="30" w:line="240" w:lineRule="auto"/>
              <w:jc w:val="right"/>
            </w:pPr>
            <w:r>
              <w:rPr>
                <w:rFonts w:ascii="Times New Roman" w:eastAsia="Times New Roman" w:hAnsi="Times New Roman" w:cs="Times New Roman"/>
                <w:b/>
                <w:i w:val="0"/>
                <w:color w:val="000000"/>
                <w:sz w:val="18"/>
                <w:u w:val="none"/>
              </w:rPr>
              <w:tab/>
              <w:t>0.5</w:t>
              <w:tab/>
            </w:r>
          </w:p>
        </w:tc>
      </w:tr>
      <w:tr>
        <w:tblPrEx>
          <w:tblW w:w="10800" w:type="dxa"/>
          <w:tblInd w:w="0" w:type="dxa"/>
          <w:tblLayout w:type="fixed"/>
        </w:tblPrEx>
        <w:trPr>
          <w:cantSplit/>
          <w:trHeight w:hRule="exact" w:val="300"/>
        </w:trPr>
        <w:tc>
          <w:tcPr>
            <w:tcW w:w="58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8"/>
                <w:u w:val="none"/>
              </w:rPr>
              <w:t>Total debt outstanding, net</w:t>
            </w:r>
          </w:p>
        </w:tc>
        <w:tc>
          <w:tcPr>
            <w:tcW w:w="162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89"/>
                <w:tab w:val="left" w:pos="1552"/>
              </w:tabs>
              <w:spacing w:before="55" w:after="30" w:line="240" w:lineRule="auto"/>
              <w:jc w:val="right"/>
            </w:pPr>
            <w:r>
              <w:rPr>
                <w:rFonts w:ascii="Times New Roman" w:eastAsia="Times New Roman" w:hAnsi="Times New Roman" w:cs="Times New Roman"/>
                <w:b/>
                <w:i w:val="0"/>
                <w:color w:val="000000"/>
                <w:sz w:val="18"/>
                <w:u w:val="none"/>
              </w:rPr>
              <w:t>$</w:t>
              <w:tab/>
              <w:t>367.5</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3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104"/>
                <w:tab w:val="left" w:pos="1567"/>
              </w:tabs>
              <w:spacing w:before="55" w:after="30" w:line="240" w:lineRule="auto"/>
              <w:jc w:val="right"/>
            </w:pPr>
            <w:r>
              <w:rPr>
                <w:rFonts w:ascii="Times New Roman" w:eastAsia="Times New Roman" w:hAnsi="Times New Roman" w:cs="Times New Roman"/>
                <w:b/>
                <w:i w:val="0"/>
                <w:color w:val="000000"/>
                <w:sz w:val="18"/>
                <w:u w:val="none"/>
              </w:rPr>
              <w:t>$</w:t>
              <w:tab/>
              <w:t>443.4</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56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39"/>
              </w:tabs>
              <w:spacing w:before="55" w:after="30" w:line="240" w:lineRule="auto"/>
              <w:jc w:val="right"/>
            </w:pPr>
            <w:r>
              <w:rPr>
                <w:rFonts w:ascii="Times New Roman" w:eastAsia="Times New Roman" w:hAnsi="Times New Roman" w:cs="Times New Roman"/>
                <w:b/>
                <w:i w:val="0"/>
                <w:color w:val="000000"/>
                <w:sz w:val="18"/>
                <w:u w:val="none"/>
              </w:rPr>
              <w:t>$</w:t>
              <w:tab/>
              <w:t>(75.9)</w:t>
            </w:r>
          </w:p>
        </w:tc>
      </w:tr>
    </w:tbl>
    <w:p>
      <w:pPr>
        <w:keepNext w:val="0"/>
        <w:keepLines/>
        <w:pageBreakBefore w:val="0"/>
        <w:widowControl w:val="0"/>
        <w:numPr>
          <w:ilvl w:val="0"/>
          <w:numId w:val="0"/>
        </w:numPr>
        <w:spacing w:before="240" w:after="0" w:line="257" w:lineRule="auto"/>
        <w:ind w:left="0" w:right="0" w:firstLine="0"/>
        <w:jc w:val="left"/>
        <w:outlineLvl w:val="9"/>
        <w:rPr>
          <w:rFonts w:ascii="Times New Roman" w:eastAsia="Times New Roman" w:hAnsi="Times New Roman" w:cs="Times New Roman"/>
          <w:b/>
          <w:i/>
          <w:sz w:val="18"/>
          <w:vertAlign w:val="superscript"/>
        </w:rPr>
      </w:pPr>
      <w:r>
        <w:rPr>
          <w:rFonts w:ascii="Times New Roman" w:eastAsia="Times New Roman" w:hAnsi="Times New Roman" w:cs="Times New Roman"/>
          <w:b w:val="0"/>
          <w:i w:val="0"/>
          <w:sz w:val="18"/>
          <w:vertAlign w:val="superscript"/>
        </w:rPr>
        <w:t xml:space="preserve">(1) </w:t>
      </w:r>
      <w:r>
        <w:rPr>
          <w:rFonts w:ascii="Times New Roman" w:eastAsia="Times New Roman" w:hAnsi="Times New Roman" w:cs="Times New Roman"/>
          <w:b w:val="0"/>
          <w:i w:val="0"/>
          <w:sz w:val="18"/>
        </w:rPr>
        <w:t>This amount has been excluded from current liabilities as it is supported by the Revolving Credit Facility and restricted cash from the proceeds of the Senior Secured Notes Add On</w:t>
      </w:r>
      <w:r>
        <w:rPr>
          <w:rFonts w:ascii="Times New Roman" w:eastAsia="Times New Roman" w:hAnsi="Times New Roman" w:cs="Times New Roman"/>
          <w:b w:val="0"/>
          <w:i w:val="0"/>
          <w:color w:val="000000"/>
          <w:sz w:val="18"/>
          <w:u w:val="none"/>
        </w:rPr>
        <w:t xml:space="preserve"> (as defined</w:t>
      </w:r>
      <w:r>
        <w:rPr>
          <w:rFonts w:ascii="Times New Roman" w:eastAsia="Times New Roman" w:hAnsi="Times New Roman" w:cs="Times New Roman"/>
          <w:b w:val="0"/>
          <w:i w:val="0"/>
          <w:color w:val="000000"/>
          <w:sz w:val="18"/>
          <w:u w:val="none"/>
        </w:rPr>
        <w:t xml:space="preserve"> in Note </w:t>
      </w:r>
      <w:r>
        <w:rPr>
          <w:rFonts w:ascii="Times New Roman" w:eastAsia="Times New Roman" w:hAnsi="Times New Roman" w:cs="Times New Roman"/>
          <w:b w:val="0"/>
          <w:i w:val="0"/>
          <w:color w:val="000000"/>
          <w:sz w:val="20"/>
          <w:u w:val="none"/>
        </w:rPr>
        <w:t>9</w:t>
      </w:r>
      <w:r>
        <w:rPr>
          <w:rFonts w:ascii="Times New Roman" w:eastAsia="Times New Roman" w:hAnsi="Times New Roman" w:cs="Times New Roman"/>
          <w:b w:val="0"/>
          <w:i w:val="0"/>
          <w:color w:val="000000"/>
          <w:sz w:val="18"/>
          <w:u w:val="none"/>
        </w:rPr>
        <w:t>,</w:t>
      </w:r>
      <w:r>
        <w:rPr>
          <w:rFonts w:ascii="Times New Roman" w:eastAsia="Times New Roman" w:hAnsi="Times New Roman" w:cs="Times New Roman"/>
          <w:b w:val="0"/>
          <w:i w:val="0"/>
          <w:color w:val="000000"/>
          <w:sz w:val="18"/>
          <w:u w:val="none"/>
        </w:rPr>
        <w:t xml:space="preserve"> </w:t>
      </w:r>
      <w:r>
        <w:rPr>
          <w:rFonts w:ascii="Times New Roman" w:eastAsia="Times New Roman" w:hAnsi="Times New Roman" w:cs="Times New Roman"/>
          <w:b w:val="0"/>
          <w:i/>
          <w:color w:val="000000"/>
          <w:sz w:val="20"/>
          <w:u w:val="none"/>
        </w:rPr>
        <w:t>Borrowings</w:t>
      </w:r>
      <w:r>
        <w:rPr>
          <w:rFonts w:ascii="Times New Roman" w:eastAsia="Times New Roman" w:hAnsi="Times New Roman" w:cs="Times New Roman"/>
          <w:b w:val="0"/>
          <w:i w:val="0"/>
          <w:color w:val="000000"/>
          <w:sz w:val="18"/>
          <w:u w:val="none"/>
        </w:rPr>
        <w:t>)</w:t>
      </w:r>
      <w:r>
        <w:rPr>
          <w:rFonts w:ascii="Times New Roman" w:eastAsia="Times New Roman" w:hAnsi="Times New Roman" w:cs="Times New Roman"/>
          <w:b w:val="0"/>
          <w:i w:val="0"/>
          <w:sz w:val="18"/>
        </w:rPr>
        <w:t>, which are expected to remain outstanding for an uninterrupted period extending beyond one year from the balance sheet date.</w:t>
      </w:r>
    </w:p>
    <w:p>
      <w:pPr>
        <w:keepNext w:val="0"/>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val="0"/>
          <w:i/>
          <w:sz w:val="20"/>
          <w:vertAlign w:val="superscript"/>
        </w:rPr>
      </w:pPr>
      <w:r>
        <w:rPr>
          <w:rFonts w:ascii="Times New Roman" w:eastAsia="Times New Roman" w:hAnsi="Times New Roman" w:cs="Times New Roman"/>
          <w:b w:val="0"/>
          <w:i/>
          <w:sz w:val="20"/>
        </w:rPr>
        <w:t>Cash Flows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515"/>
        <w:gridCol w:w="1605"/>
        <w:gridCol w:w="75"/>
        <w:gridCol w:w="1605"/>
      </w:tblGrid>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3285"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Nine Months Ended</w:t>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8"/>
                <w:u w:val="none"/>
              </w:rPr>
              <w:t>(In millions)</w:t>
            </w:r>
          </w:p>
        </w:tc>
        <w:tc>
          <w:tcPr>
            <w:tcW w:w="160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July 4, 2025</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June 28, 2024</w:t>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55" w:after="30" w:line="240" w:lineRule="auto"/>
              <w:ind w:left="180"/>
              <w:jc w:val="left"/>
            </w:pPr>
            <w:r>
              <w:rPr>
                <w:rFonts w:ascii="Times New Roman" w:eastAsia="Times New Roman" w:hAnsi="Times New Roman" w:cs="Times New Roman"/>
                <w:b w:val="0"/>
                <w:i w:val="0"/>
                <w:color w:val="000000"/>
                <w:sz w:val="18"/>
                <w:u w:val="none"/>
              </w:rPr>
              <w:t>Net cash flow provided by (used in):</w:t>
            </w:r>
          </w:p>
        </w:tc>
        <w:tc>
          <w:tcPr>
            <w:tcW w:w="16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585"/>
              <w:jc w:val="left"/>
            </w:pPr>
            <w:r>
              <w:rPr>
                <w:rFonts w:ascii="Times New Roman" w:eastAsia="Times New Roman" w:hAnsi="Times New Roman" w:cs="Times New Roman"/>
                <w:b w:val="0"/>
                <w:i w:val="0"/>
                <w:color w:val="000000"/>
                <w:sz w:val="18"/>
                <w:u w:val="none"/>
              </w:rPr>
              <w:t>Operating activities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33.8</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w:t>
              <w:tab/>
              <w:t>21.4</w:t>
              <w:tab/>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585"/>
              <w:jc w:val="left"/>
            </w:pPr>
            <w:r>
              <w:rPr>
                <w:rFonts w:ascii="Times New Roman" w:eastAsia="Times New Roman" w:hAnsi="Times New Roman" w:cs="Times New Roman"/>
                <w:b w:val="0"/>
                <w:i w:val="0"/>
                <w:color w:val="000000"/>
                <w:sz w:val="18"/>
                <w:u w:val="none"/>
              </w:rPr>
              <w:t>Investing activities</w:t>
            </w: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64"/>
                <w:tab w:val="left" w:pos="1537"/>
              </w:tabs>
              <w:spacing w:before="75" w:after="30" w:line="240" w:lineRule="auto"/>
              <w:jc w:val="right"/>
            </w:pPr>
            <w:r>
              <w:rPr>
                <w:rFonts w:ascii="Times New Roman" w:eastAsia="Times New Roman" w:hAnsi="Times New Roman" w:cs="Times New Roman"/>
                <w:b w:val="0"/>
                <w:i w:val="0"/>
                <w:color w:val="000000"/>
                <w:sz w:val="18"/>
                <w:u w:val="none"/>
              </w:rPr>
              <w:tab/>
              <w:t>11.0</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(13.5)</w:t>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585"/>
              <w:jc w:val="left"/>
            </w:pPr>
            <w:r>
              <w:rPr>
                <w:rFonts w:ascii="Times New Roman" w:eastAsia="Times New Roman" w:hAnsi="Times New Roman" w:cs="Times New Roman"/>
                <w:b w:val="0"/>
                <w:i w:val="0"/>
                <w:color w:val="000000"/>
                <w:sz w:val="18"/>
                <w:u w:val="none"/>
              </w:rPr>
              <w:t>Financing activities</w:t>
            </w: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4"/>
              </w:tabs>
              <w:spacing w:before="75" w:after="30" w:line="240" w:lineRule="auto"/>
              <w:jc w:val="right"/>
            </w:pPr>
            <w:r>
              <w:rPr>
                <w:rFonts w:ascii="Times New Roman" w:eastAsia="Times New Roman" w:hAnsi="Times New Roman" w:cs="Times New Roman"/>
                <w:b w:val="0"/>
                <w:i w:val="0"/>
                <w:color w:val="000000"/>
                <w:sz w:val="18"/>
                <w:u w:val="none"/>
              </w:rPr>
              <w:tab/>
              <w:t>(77.0)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74"/>
              </w:tabs>
              <w:spacing w:before="75" w:after="30" w:line="240" w:lineRule="auto"/>
              <w:jc w:val="right"/>
            </w:pPr>
            <w:r>
              <w:rPr>
                <w:rFonts w:ascii="Times New Roman" w:eastAsia="Times New Roman" w:hAnsi="Times New Roman" w:cs="Times New Roman"/>
                <w:b w:val="0"/>
                <w:i w:val="0"/>
                <w:color w:val="000000"/>
                <w:sz w:val="18"/>
                <w:u w:val="none"/>
              </w:rPr>
              <w:tab/>
              <w:t>(4.1)</w:t>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585"/>
              <w:jc w:val="left"/>
            </w:pPr>
            <w:r>
              <w:rPr>
                <w:rFonts w:ascii="Times New Roman" w:eastAsia="Times New Roman" w:hAnsi="Times New Roman" w:cs="Times New Roman"/>
                <w:b w:val="0"/>
                <w:i w:val="0"/>
                <w:color w:val="000000"/>
                <w:sz w:val="18"/>
                <w:u w:val="none"/>
              </w:rPr>
              <w:t>Effects of exchange rate changes on cash and cash equivalents and restricted cash</w:t>
            </w: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54"/>
                <w:tab w:val="left" w:pos="1537"/>
              </w:tabs>
              <w:spacing w:before="75" w:after="30" w:line="240" w:lineRule="auto"/>
              <w:jc w:val="right"/>
            </w:pPr>
            <w:r>
              <w:rPr>
                <w:rFonts w:ascii="Times New Roman" w:eastAsia="Times New Roman" w:hAnsi="Times New Roman" w:cs="Times New Roman"/>
                <w:b w:val="0"/>
                <w:i w:val="0"/>
                <w:color w:val="000000"/>
                <w:sz w:val="18"/>
                <w:u w:val="none"/>
              </w:rPr>
              <w:tab/>
              <w:t>0.3</w:t>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6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299"/>
                <w:tab w:val="left" w:pos="1537"/>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10800" w:type="dxa"/>
          <w:tblInd w:w="0" w:type="dxa"/>
          <w:tblLayout w:type="fixed"/>
        </w:tblPrEx>
        <w:trPr>
          <w:cantSplit/>
          <w:trHeight w:hRule="exact" w:val="285"/>
        </w:trPr>
        <w:tc>
          <w:tcPr>
            <w:tcW w:w="751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ind w:left="945" w:hanging="180"/>
              <w:jc w:val="left"/>
            </w:pPr>
            <w:r>
              <w:rPr>
                <w:rFonts w:ascii="Times New Roman" w:eastAsia="Times New Roman" w:hAnsi="Times New Roman" w:cs="Times New Roman"/>
                <w:b w:val="0"/>
                <w:i w:val="0"/>
                <w:color w:val="000000"/>
                <w:sz w:val="18"/>
                <w:u w:val="none"/>
              </w:rPr>
              <w:t>Net (decrease) increase in cash and cash equivalents and restricted cash</w:t>
            </w: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084"/>
              </w:tabs>
              <w:spacing w:before="55" w:after="30" w:line="240" w:lineRule="auto"/>
              <w:jc w:val="right"/>
            </w:pPr>
            <w:r>
              <w:rPr>
                <w:rFonts w:ascii="Times New Roman" w:eastAsia="Times New Roman" w:hAnsi="Times New Roman" w:cs="Times New Roman"/>
                <w:b w:val="0"/>
                <w:i w:val="0"/>
                <w:color w:val="000000"/>
                <w:sz w:val="18"/>
                <w:u w:val="none"/>
              </w:rPr>
              <w:t>$</w:t>
              <w:tab/>
              <w:t>(31.9)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254"/>
                <w:tab w:val="left" w:pos="1537"/>
              </w:tabs>
              <w:spacing w:before="55" w:after="30" w:line="240" w:lineRule="auto"/>
              <w:jc w:val="right"/>
            </w:pPr>
            <w:r>
              <w:rPr>
                <w:rFonts w:ascii="Times New Roman" w:eastAsia="Times New Roman" w:hAnsi="Times New Roman" w:cs="Times New Roman"/>
                <w:b w:val="0"/>
                <w:i w:val="0"/>
                <w:color w:val="000000"/>
                <w:sz w:val="18"/>
                <w:u w:val="none"/>
              </w:rPr>
              <w:t>$</w:t>
              <w:tab/>
              <w:t>3.8</w:t>
              <w:tab/>
            </w:r>
          </w:p>
        </w:tc>
      </w:tr>
    </w:tbl>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2"/>
        </w:rPr>
      </w:pPr>
      <w:r>
        <w:rPr>
          <w:rFonts w:ascii="Times New Roman" w:eastAsia="Times New Roman" w:hAnsi="Times New Roman" w:cs="Times New Roman"/>
          <w:b w:val="0"/>
          <w:i w:val="0"/>
          <w:sz w:val="20"/>
        </w:rPr>
        <w:tab/>
      </w:r>
      <w:r>
        <w:rPr>
          <w:rFonts w:ascii="Times New Roman" w:eastAsia="Times New Roman" w:hAnsi="Times New Roman" w:cs="Times New Roman"/>
          <w:b w:val="0"/>
          <w:i/>
          <w:color w:val="000000"/>
          <w:sz w:val="20"/>
          <w:u w:val="none"/>
        </w:rPr>
        <w:t>Net cash provided by operating activities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Cash </w:t>
      </w:r>
      <w:r>
        <w:rPr>
          <w:rFonts w:ascii="Times New Roman" w:eastAsia="Times New Roman" w:hAnsi="Times New Roman" w:cs="Times New Roman"/>
          <w:b w:val="0"/>
          <w:i w:val="0"/>
          <w:color w:val="000000"/>
          <w:sz w:val="20"/>
          <w:u w:val="none"/>
        </w:rPr>
        <w:t>provided by</w:t>
      </w:r>
      <w:r>
        <w:rPr>
          <w:rFonts w:ascii="Times New Roman" w:eastAsia="Times New Roman" w:hAnsi="Times New Roman" w:cs="Times New Roman"/>
          <w:b w:val="0"/>
          <w:i w:val="0"/>
          <w:sz w:val="20"/>
        </w:rPr>
        <w:t xml:space="preserve"> operating activities was </w:t>
      </w:r>
      <w:r>
        <w:rPr>
          <w:rFonts w:ascii="Times New Roman" w:eastAsia="Times New Roman" w:hAnsi="Times New Roman" w:cs="Times New Roman"/>
          <w:b w:val="0"/>
          <w:i w:val="0"/>
          <w:color w:val="000000"/>
          <w:sz w:val="20"/>
          <w:u w:val="none"/>
        </w:rPr>
        <w:t>$33.8 million</w:t>
      </w:r>
      <w:r>
        <w:rPr>
          <w:rFonts w:ascii="Times New Roman" w:eastAsia="Times New Roman" w:hAnsi="Times New Roman" w:cs="Times New Roman"/>
          <w:b w:val="0"/>
          <w:i w:val="0"/>
          <w:sz w:val="20"/>
        </w:rPr>
        <w:t xml:space="preserve"> and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$21.4 million</w:t>
      </w:r>
      <w:r>
        <w:rPr>
          <w:rFonts w:ascii="Times New Roman" w:eastAsia="Times New Roman" w:hAnsi="Times New Roman" w:cs="Times New Roman"/>
          <w:b w:val="0"/>
          <w:i w:val="0"/>
          <w:sz w:val="20"/>
        </w:rPr>
        <w:t xml:space="preserve"> for</w:t>
      </w:r>
      <w:r>
        <w:rPr>
          <w:rFonts w:ascii="Times New Roman" w:eastAsia="Times New Roman" w:hAnsi="Times New Roman" w:cs="Times New Roman"/>
          <w:b w:val="0"/>
          <w:i w:val="0"/>
          <w:sz w:val="20"/>
        </w:rPr>
        <w:t xml:space="preserve">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xml:space="preserve">, respectively. Net cash provided by operating activities </w:t>
      </w:r>
      <w:r>
        <w:rPr>
          <w:rFonts w:ascii="Times New Roman" w:eastAsia="Times New Roman" w:hAnsi="Times New Roman" w:cs="Times New Roman"/>
          <w:b w:val="0"/>
          <w:i w:val="0"/>
          <w:color w:val="000000"/>
          <w:sz w:val="20"/>
          <w:u w:val="none"/>
        </w:rPr>
        <w:t>increased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$12.4 million</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Significant changes in operating assets and liabilities affecting cash flows during these periods included:</w:t>
      </w:r>
    </w:p>
    <w:p>
      <w:pPr>
        <w:keepNext w:val="0"/>
        <w:keepLines/>
        <w:pageBreakBefore w:val="0"/>
        <w:widowControl w:val="0"/>
        <w:numPr>
          <w:ilvl w:val="0"/>
          <w:numId w:val="31"/>
        </w:numPr>
        <w:spacing w:before="120" w:after="0" w:line="240" w:lineRule="exact"/>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t>Net loss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was </w:t>
      </w:r>
      <w:r>
        <w:rPr>
          <w:rFonts w:ascii="Times New Roman" w:eastAsia="Times New Roman" w:hAnsi="Times New Roman" w:cs="Times New Roman"/>
          <w:b w:val="0"/>
          <w:i w:val="0"/>
          <w:color w:val="000000"/>
          <w:sz w:val="20"/>
          <w:u w:val="none"/>
        </w:rPr>
        <w:t>$82.1 million</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w:t>
      </w:r>
      <w:r>
        <w:rPr>
          <w:rFonts w:ascii="Times New Roman" w:eastAsia="Times New Roman" w:hAnsi="Times New Roman" w:cs="Times New Roman"/>
          <w:b w:val="0"/>
          <w:i w:val="0"/>
          <w:color w:val="000000"/>
          <w:sz w:val="20"/>
          <w:u w:val="none"/>
        </w:rPr>
        <w:t>net income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$2.7 million</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w:t>
      </w:r>
      <w:r>
        <w:rPr>
          <w:rFonts w:ascii="Times New Roman" w:eastAsia="Times New Roman" w:hAnsi="Times New Roman" w:cs="Times New Roman"/>
          <w:b w:val="0"/>
          <w:i w:val="0"/>
          <w:sz w:val="20"/>
        </w:rPr>
        <w:t>h</w:t>
      </w:r>
      <w:r>
        <w:rPr>
          <w:rFonts w:ascii="Times New Roman" w:eastAsia="Times New Roman" w:hAnsi="Times New Roman" w:cs="Times New Roman"/>
          <w:b w:val="0"/>
          <w:i w:val="0"/>
          <w:sz w:val="20"/>
        </w:rPr>
        <w:t>e change from net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income to net loss was </w:t>
      </w:r>
      <w:r>
        <w:rPr>
          <w:rFonts w:ascii="Times New Roman" w:eastAsia="Times New Roman" w:hAnsi="Times New Roman" w:cs="Times New Roman"/>
          <w:b w:val="0"/>
          <w:i w:val="0"/>
          <w:sz w:val="20"/>
        </w:rPr>
        <w:t xml:space="preserve">primarily </w:t>
      </w:r>
      <w:r>
        <w:rPr>
          <w:rFonts w:ascii="Times New Roman" w:eastAsia="Times New Roman" w:hAnsi="Times New Roman" w:cs="Times New Roman"/>
          <w:b w:val="0"/>
          <w:i w:val="0"/>
          <w:sz w:val="20"/>
        </w:rPr>
        <w:t xml:space="preserve">due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rPr>
        <w:t xml:space="preserve">a goodwill impairment </w:t>
      </w:r>
      <w:r>
        <w:rPr>
          <w:rFonts w:ascii="Times New Roman" w:eastAsia="Times New Roman" w:hAnsi="Times New Roman" w:cs="Times New Roman"/>
          <w:b w:val="0"/>
          <w:i w:val="0"/>
          <w:sz w:val="20"/>
        </w:rPr>
        <w:t>charge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in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partially off</w:t>
      </w:r>
      <w:r>
        <w:rPr>
          <w:rFonts w:ascii="Times New Roman" w:eastAsia="Times New Roman" w:hAnsi="Times New Roman" w:cs="Times New Roman"/>
          <w:b w:val="0"/>
          <w:i w:val="0"/>
          <w:sz w:val="20"/>
        </w:rPr>
        <w:t xml:space="preserve">set by </w:t>
      </w:r>
      <w:r>
        <w:rPr>
          <w:rFonts w:ascii="Times New Roman" w:eastAsia="Times New Roman" w:hAnsi="Times New Roman" w:cs="Times New Roman"/>
          <w:b w:val="0"/>
          <w:i w:val="0"/>
          <w:color w:val="000000"/>
          <w:sz w:val="20"/>
          <w:u w:val="none"/>
        </w:rPr>
        <w:t>$10.4 million</w:t>
      </w:r>
      <w:r>
        <w:rPr>
          <w:rFonts w:ascii="Times New Roman" w:eastAsia="Times New Roman" w:hAnsi="Times New Roman" w:cs="Times New Roman"/>
          <w:b w:val="0"/>
          <w:i w:val="0"/>
          <w:sz w:val="20"/>
        </w:rPr>
        <w:t xml:space="preserve"> of higher sales </w:t>
      </w:r>
      <w:r>
        <w:rPr>
          <w:rFonts w:ascii="Times New Roman" w:eastAsia="Times New Roman" w:hAnsi="Times New Roman" w:cs="Times New Roman"/>
          <w:b w:val="0"/>
          <w:i w:val="0"/>
          <w:sz w:val="20"/>
        </w:rPr>
        <w:t xml:space="preserve">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$4.2 million</w:t>
      </w:r>
      <w:r>
        <w:rPr>
          <w:rFonts w:ascii="Times New Roman" w:eastAsia="Times New Roman" w:hAnsi="Times New Roman" w:cs="Times New Roman"/>
          <w:b w:val="0"/>
          <w:i w:val="0"/>
          <w:sz w:val="20"/>
        </w:rPr>
        <w:t xml:space="preserve"> of higher </w:t>
      </w:r>
      <w:r>
        <w:rPr>
          <w:rFonts w:ascii="Times New Roman" w:eastAsia="Times New Roman" w:hAnsi="Times New Roman" w:cs="Times New Roman"/>
          <w:b w:val="0"/>
          <w:i w:val="0"/>
          <w:color w:val="000000"/>
          <w:sz w:val="20"/>
          <w:u w:val="none"/>
        </w:rPr>
        <w:t>other income (expense), net</w:t>
      </w:r>
      <w:r>
        <w:rPr>
          <w:rFonts w:ascii="Times New Roman" w:eastAsia="Times New Roman" w:hAnsi="Times New Roman" w:cs="Times New Roman"/>
          <w:b w:val="0"/>
          <w:i w:val="0"/>
          <w:sz w:val="20"/>
        </w:rPr>
        <w:t xml:space="preserve"> in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w:t>
      </w:r>
    </w:p>
    <w:p>
      <w:pPr>
        <w:keepNext w:val="0"/>
        <w:keepLines/>
        <w:pageBreakBefore w:val="0"/>
        <w:widowControl w:val="0"/>
        <w:numPr>
          <w:ilvl w:val="0"/>
          <w:numId w:val="32"/>
        </w:numPr>
        <w:spacing w:before="120" w:after="0" w:line="240" w:lineRule="exact"/>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Non-cash increase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$102.6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primarily due to</w:t>
      </w:r>
      <w:r>
        <w:rPr>
          <w:rFonts w:ascii="Times New Roman" w:eastAsia="Times New Roman" w:hAnsi="Times New Roman" w:cs="Times New Roman"/>
          <w:b w:val="0"/>
          <w:i w:val="0"/>
          <w:sz w:val="20"/>
        </w:rPr>
        <w:t xml:space="preserve"> the add backs related to </w:t>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sz w:val="20"/>
        </w:rPr>
        <w:t xml:space="preserve">goodwill impairment </w:t>
      </w:r>
      <w:r>
        <w:rPr>
          <w:rFonts w:ascii="Times New Roman" w:eastAsia="Times New Roman" w:hAnsi="Times New Roman" w:cs="Times New Roman"/>
          <w:b w:val="0"/>
          <w:i w:val="0"/>
          <w:sz w:val="20"/>
        </w:rPr>
        <w:t>charge</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$11.1 million</w:t>
      </w:r>
      <w:r>
        <w:rPr>
          <w:rFonts w:ascii="Times New Roman" w:eastAsia="Times New Roman" w:hAnsi="Times New Roman" w:cs="Times New Roman"/>
          <w:b w:val="0"/>
          <w:i w:val="0"/>
          <w:sz w:val="20"/>
        </w:rPr>
        <w:t xml:space="preserve"> in deferred tax assets due to the higher net income position during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w:t>
      </w:r>
    </w:p>
    <w:p>
      <w:pPr>
        <w:keepNext w:val="0"/>
        <w:keepLines w:val="0"/>
        <w:pageBreakBefore w:val="0"/>
        <w:widowControl/>
        <w:numPr>
          <w:ilvl w:val="0"/>
          <w:numId w:val="33"/>
        </w:numPr>
        <w:spacing w:before="120" w:after="0" w:line="240" w:lineRule="exact"/>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Cash used for inventories was </w:t>
      </w:r>
      <w:r>
        <w:rPr>
          <w:rFonts w:ascii="Times New Roman" w:eastAsia="Times New Roman" w:hAnsi="Times New Roman" w:cs="Times New Roman"/>
          <w:b w:val="0"/>
          <w:i w:val="0"/>
          <w:color w:val="000000"/>
          <w:sz w:val="20"/>
          <w:u w:val="none"/>
        </w:rPr>
        <w:t>$29.6 million</w:t>
      </w:r>
      <w:r>
        <w:rPr>
          <w:rFonts w:ascii="Times New Roman" w:eastAsia="Times New Roman" w:hAnsi="Times New Roman" w:cs="Times New Roman"/>
          <w:b w:val="0"/>
          <w:i w:val="0"/>
          <w:sz w:val="20"/>
        </w:rPr>
        <w:t xml:space="preserve"> higher in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compared to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primarily due to an increase in inventory for anticipated future demand.</w:t>
      </w:r>
    </w:p>
    <w:p>
      <w:pPr>
        <w:keepNext w:val="0"/>
        <w:keepLines w:val="0"/>
        <w:pageBreakBefore w:val="0"/>
        <w:widowControl/>
        <w:numPr>
          <w:ilvl w:val="0"/>
          <w:numId w:val="34"/>
        </w:numPr>
        <w:spacing w:before="120" w:after="0" w:line="240" w:lineRule="exact"/>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t xml:space="preserve">Cash used for accrued liabilities and other current and </w:t>
      </w:r>
      <w:r>
        <w:rPr>
          <w:rFonts w:ascii="Times New Roman" w:eastAsia="Times New Roman" w:hAnsi="Times New Roman" w:cs="Times New Roman"/>
          <w:b w:val="0"/>
          <w:i w:val="0"/>
          <w:color w:val="000000"/>
          <w:sz w:val="20"/>
          <w:u w:val="none"/>
        </w:rPr>
        <w:t>other long-term liabilities</w:t>
      </w:r>
      <w:r>
        <w:rPr>
          <w:rFonts w:ascii="Times New Roman" w:eastAsia="Times New Roman" w:hAnsi="Times New Roman" w:cs="Times New Roman"/>
          <w:b w:val="0"/>
          <w:i w:val="0"/>
          <w:color w:val="000000"/>
          <w:sz w:val="20"/>
          <w:u w:val="none"/>
        </w:rPr>
        <w:t xml:space="preserve"> decreased by </w:t>
      </w:r>
      <w:r>
        <w:rPr>
          <w:rFonts w:ascii="Times New Roman" w:eastAsia="Times New Roman" w:hAnsi="Times New Roman" w:cs="Times New Roman"/>
          <w:b w:val="0"/>
          <w:i w:val="0"/>
          <w:color w:val="000000"/>
          <w:sz w:val="20"/>
          <w:u w:val="none"/>
        </w:rPr>
        <w:t>$7.8 million</w:t>
      </w:r>
      <w:r>
        <w:rPr>
          <w:rFonts w:ascii="Times New Roman" w:eastAsia="Times New Roman" w:hAnsi="Times New Roman" w:cs="Times New Roman"/>
          <w:b w:val="0"/>
          <w:i w:val="0"/>
          <w:color w:val="000000"/>
          <w:sz w:val="20"/>
          <w:u w:val="none"/>
        </w:rPr>
        <w:t xml:space="preserve"> due t</w:t>
      </w:r>
      <w:r>
        <w:rPr>
          <w:rFonts w:ascii="Times New Roman" w:eastAsia="Times New Roman" w:hAnsi="Times New Roman" w:cs="Times New Roman"/>
          <w:b w:val="0"/>
          <w:i w:val="0"/>
          <w:color w:val="000000"/>
          <w:sz w:val="20"/>
          <w:u w:val="none"/>
        </w:rPr>
        <w:t>o increased interest costs primarily related to the issuance of the Senior Secure Notes Add On and the timing of certain payroll costs.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color w:val="000000"/>
          <w:sz w:val="20"/>
          <w:u w:val="none"/>
        </w:rPr>
        <w:t>Net cash provided by (used in) investing activities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Cash </w:t>
      </w:r>
      <w:r>
        <w:rPr>
          <w:rFonts w:ascii="Times New Roman" w:eastAsia="Times New Roman" w:hAnsi="Times New Roman" w:cs="Times New Roman"/>
          <w:b w:val="0"/>
          <w:i w:val="0"/>
          <w:color w:val="000000"/>
          <w:sz w:val="20"/>
          <w:u w:val="none"/>
        </w:rPr>
        <w:t>provided by</w:t>
      </w:r>
      <w:r>
        <w:rPr>
          <w:rFonts w:ascii="Times New Roman" w:eastAsia="Times New Roman" w:hAnsi="Times New Roman" w:cs="Times New Roman"/>
          <w:b w:val="0"/>
          <w:i w:val="0"/>
          <w:sz w:val="20"/>
        </w:rPr>
        <w:t xml:space="preserve"> investing activities</w:t>
      </w:r>
      <w:r>
        <w:rPr>
          <w:rFonts w:ascii="Times New Roman" w:eastAsia="Times New Roman" w:hAnsi="Times New Roman" w:cs="Times New Roman"/>
          <w:b w:val="0"/>
          <w:i w:val="0"/>
          <w:sz w:val="20"/>
        </w:rPr>
        <w:t xml:space="preserve"> du</w:t>
      </w:r>
      <w:r>
        <w:rPr>
          <w:rFonts w:ascii="Times New Roman" w:eastAsia="Times New Roman" w:hAnsi="Times New Roman" w:cs="Times New Roman"/>
          <w:b w:val="0"/>
          <w:i w:val="0"/>
          <w:sz w:val="20"/>
        </w:rPr>
        <w:t>ring th</w:t>
      </w:r>
      <w:r>
        <w:rPr>
          <w:rFonts w:ascii="Times New Roman" w:eastAsia="Times New Roman" w:hAnsi="Times New Roman" w:cs="Times New Roman"/>
          <w:b w:val="0"/>
          <w:i w:val="0"/>
          <w:sz w:val="20"/>
        </w:rPr>
        <w:t xml:space="preserve">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was </w:t>
      </w:r>
      <w:r>
        <w:rPr>
          <w:rFonts w:ascii="Times New Roman" w:eastAsia="Times New Roman" w:hAnsi="Times New Roman" w:cs="Times New Roman"/>
          <w:b w:val="0"/>
          <w:i w:val="0"/>
          <w:color w:val="000000"/>
          <w:sz w:val="20"/>
          <w:u w:val="none"/>
        </w:rPr>
        <w:t>$11.0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c</w:t>
      </w:r>
      <w:r>
        <w:rPr>
          <w:rFonts w:ascii="Times New Roman" w:eastAsia="Times New Roman" w:hAnsi="Times New Roman" w:cs="Times New Roman"/>
          <w:b w:val="0"/>
          <w:i w:val="0"/>
          <w:sz w:val="20"/>
        </w:rPr>
        <w:t>ompare</w:t>
      </w:r>
      <w:r>
        <w:rPr>
          <w:rFonts w:ascii="Times New Roman" w:eastAsia="Times New Roman" w:hAnsi="Times New Roman" w:cs="Times New Roman"/>
          <w:b w:val="0"/>
          <w:i w:val="0"/>
          <w:sz w:val="20"/>
        </w:rPr>
        <w:t>d to</w:t>
      </w:r>
      <w:r>
        <w:rPr>
          <w:rFonts w:ascii="Times New Roman" w:eastAsia="Times New Roman" w:hAnsi="Times New Roman" w:cs="Times New Roman"/>
          <w:b w:val="0"/>
          <w:i w:val="0"/>
          <w:sz w:val="20"/>
        </w:rPr>
        <w:t xml:space="preserve"> net </w:t>
      </w:r>
      <w:r>
        <w:rPr>
          <w:rFonts w:ascii="Times New Roman" w:eastAsia="Times New Roman" w:hAnsi="Times New Roman" w:cs="Times New Roman"/>
          <w:b w:val="0"/>
          <w:i w:val="0"/>
          <w:sz w:val="20"/>
        </w:rPr>
        <w:t xml:space="preserve">cash </w:t>
      </w:r>
      <w:r>
        <w:rPr>
          <w:rFonts w:ascii="Times New Roman" w:eastAsia="Times New Roman" w:hAnsi="Times New Roman" w:cs="Times New Roman"/>
          <w:b w:val="0"/>
          <w:i w:val="0"/>
          <w:color w:val="000000"/>
          <w:sz w:val="20"/>
          <w:u w:val="none"/>
        </w:rPr>
        <w:t>used in</w:t>
      </w:r>
      <w:r>
        <w:rPr>
          <w:rFonts w:ascii="Times New Roman" w:eastAsia="Times New Roman" w:hAnsi="Times New Roman" w:cs="Times New Roman"/>
          <w:b w:val="0"/>
          <w:i w:val="0"/>
          <w:sz w:val="20"/>
        </w:rPr>
        <w:t xml:space="preserve"> investing activities of </w:t>
      </w:r>
      <w:r>
        <w:rPr>
          <w:rFonts w:ascii="Times New Roman" w:eastAsia="Times New Roman" w:hAnsi="Times New Roman" w:cs="Times New Roman"/>
          <w:b w:val="0"/>
          <w:i w:val="0"/>
          <w:color w:val="000000"/>
          <w:sz w:val="20"/>
          <w:u w:val="none"/>
        </w:rPr>
        <w:t>$13.5 million</w:t>
      </w:r>
      <w:r>
        <w:rPr>
          <w:rFonts w:ascii="Times New Roman" w:eastAsia="Times New Roman" w:hAnsi="Times New Roman" w:cs="Times New Roman"/>
          <w:b w:val="0"/>
          <w:i w:val="0"/>
          <w:sz w:val="20"/>
        </w:rPr>
        <w:t xml:space="preserve"> for the </w:t>
      </w:r>
      <w:r>
        <w:rPr>
          <w:rFonts w:ascii="Times New Roman" w:eastAsia="Times New Roman" w:hAnsi="Times New Roman" w:cs="Times New Roman"/>
          <w:b w:val="0"/>
          <w:i w:val="0"/>
          <w:color w:val="000000"/>
          <w:sz w:val="20"/>
          <w:u w:val="none"/>
        </w:rPr>
        <w:t>nine months ended June 28, 2024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The in</w:t>
      </w:r>
      <w:r>
        <w:rPr>
          <w:rFonts w:ascii="Times New Roman" w:eastAsia="Times New Roman" w:hAnsi="Times New Roman" w:cs="Times New Roman"/>
          <w:b w:val="0"/>
          <w:i w:val="0"/>
          <w:sz w:val="20"/>
        </w:rPr>
        <w:t xml:space="preserve">crease in cash provided by investing activities was primarily due to the implementation of an investment strategy to increase the Company’s cash balance to pay down the outstanding Convertible Notes </w:t>
      </w:r>
      <w:r>
        <w:rPr>
          <w:rFonts w:ascii="Times New Roman" w:eastAsia="Times New Roman" w:hAnsi="Times New Roman" w:cs="Times New Roman"/>
          <w:b w:val="0"/>
          <w:i w:val="0"/>
          <w:sz w:val="20"/>
        </w:rPr>
        <w:t xml:space="preserve">that matured and were repaid in full </w:t>
      </w:r>
      <w:r>
        <w:rPr>
          <w:rFonts w:ascii="Times New Roman" w:eastAsia="Times New Roman" w:hAnsi="Times New Roman" w:cs="Times New Roman"/>
          <w:b w:val="0"/>
          <w:i w:val="0"/>
          <w:sz w:val="20"/>
        </w:rPr>
        <w:t xml:space="preserve">during the third quarter of fiscal year 2025. This strategy resulted in increased proceeds from maturities and sales of marketable debt securities of </w:t>
      </w:r>
      <w:r>
        <w:rPr>
          <w:rFonts w:ascii="Times New Roman" w:eastAsia="Times New Roman" w:hAnsi="Times New Roman" w:cs="Times New Roman"/>
          <w:b w:val="0"/>
          <w:i w:val="0"/>
          <w:color w:val="000000"/>
          <w:sz w:val="20"/>
          <w:u w:val="none"/>
        </w:rPr>
        <w:t>$10.6 million</w:t>
      </w:r>
      <w:r>
        <w:rPr>
          <w:rFonts w:ascii="Times New Roman" w:eastAsia="Times New Roman" w:hAnsi="Times New Roman" w:cs="Times New Roman"/>
          <w:b w:val="0"/>
          <w:i w:val="0"/>
          <w:sz w:val="20"/>
        </w:rPr>
        <w:t xml:space="preserve">, lower purchases of short-term marketable securities of </w:t>
      </w:r>
      <w:r>
        <w:rPr>
          <w:rFonts w:ascii="Times New Roman" w:eastAsia="Times New Roman" w:hAnsi="Times New Roman" w:cs="Times New Roman"/>
          <w:b w:val="0"/>
          <w:i w:val="0"/>
          <w:color w:val="000000"/>
          <w:sz w:val="20"/>
          <w:u w:val="none"/>
        </w:rPr>
        <w:t>$6.5 million</w:t>
      </w:r>
      <w:r>
        <w:rPr>
          <w:rFonts w:ascii="Times New Roman" w:eastAsia="Times New Roman" w:hAnsi="Times New Roman" w:cs="Times New Roman"/>
          <w:b w:val="0"/>
          <w:i w:val="0"/>
          <w:sz w:val="20"/>
        </w:rPr>
        <w:t xml:space="preserve"> and lower purchases of property, plant, and equipment of </w:t>
      </w:r>
      <w:r>
        <w:rPr>
          <w:rFonts w:ascii="Times New Roman" w:eastAsia="Times New Roman" w:hAnsi="Times New Roman" w:cs="Times New Roman"/>
          <w:b w:val="0"/>
          <w:i w:val="0"/>
          <w:color w:val="000000"/>
          <w:sz w:val="20"/>
          <w:u w:val="none"/>
        </w:rPr>
        <w:t>$3.6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color w:val="000000"/>
          <w:sz w:val="20"/>
          <w:u w:val="none"/>
        </w:rPr>
        <w:t>Net cash used in financing activities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Net cash </w:t>
      </w:r>
      <w:r>
        <w:rPr>
          <w:rFonts w:ascii="Times New Roman" w:eastAsia="Times New Roman" w:hAnsi="Times New Roman" w:cs="Times New Roman"/>
          <w:b w:val="0"/>
          <w:i w:val="0"/>
          <w:color w:val="000000"/>
          <w:sz w:val="20"/>
          <w:u w:val="none"/>
        </w:rPr>
        <w:t>used in</w:t>
      </w:r>
      <w:r>
        <w:rPr>
          <w:rFonts w:ascii="Times New Roman" w:eastAsia="Times New Roman" w:hAnsi="Times New Roman" w:cs="Times New Roman"/>
          <w:b w:val="0"/>
          <w:i w:val="0"/>
          <w:sz w:val="20"/>
        </w:rPr>
        <w:t xml:space="preserve"> financing activities was </w:t>
      </w:r>
      <w:r>
        <w:rPr>
          <w:rFonts w:ascii="Times New Roman" w:eastAsia="Times New Roman" w:hAnsi="Times New Roman" w:cs="Times New Roman"/>
          <w:b w:val="0"/>
          <w:i w:val="0"/>
          <w:color w:val="000000"/>
          <w:sz w:val="20"/>
          <w:u w:val="none"/>
        </w:rPr>
        <w:t>$77.0 million</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$4.1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xml:space="preserve">, respectively. The </w:t>
      </w:r>
      <w:r>
        <w:rPr>
          <w:rFonts w:ascii="Times New Roman" w:eastAsia="Times New Roman" w:hAnsi="Times New Roman" w:cs="Times New Roman"/>
          <w:b w:val="0"/>
          <w:i w:val="0"/>
          <w:color w:val="000000"/>
          <w:sz w:val="20"/>
          <w:u w:val="none"/>
        </w:rPr>
        <w:t>increase</w:t>
      </w:r>
      <w:r>
        <w:rPr>
          <w:rFonts w:ascii="Times New Roman" w:eastAsia="Times New Roman" w:hAnsi="Times New Roman" w:cs="Times New Roman"/>
          <w:b w:val="0"/>
          <w:i w:val="0"/>
          <w:sz w:val="20"/>
        </w:rPr>
        <w:t xml:space="preserve"> in ca</w:t>
      </w:r>
      <w:r>
        <w:rPr>
          <w:rFonts w:ascii="Times New Roman" w:eastAsia="Times New Roman" w:hAnsi="Times New Roman" w:cs="Times New Roman"/>
          <w:b w:val="0"/>
          <w:i w:val="0"/>
          <w:sz w:val="20"/>
        </w:rPr>
        <w:t xml:space="preserve">sh </w:t>
      </w:r>
      <w:r>
        <w:rPr>
          <w:rFonts w:ascii="Times New Roman" w:eastAsia="Times New Roman" w:hAnsi="Times New Roman" w:cs="Times New Roman"/>
          <w:b w:val="0"/>
          <w:i w:val="0"/>
          <w:color w:val="000000"/>
          <w:sz w:val="20"/>
          <w:u w:val="none"/>
        </w:rPr>
        <w:t>used in</w:t>
      </w:r>
      <w:r>
        <w:rPr>
          <w:rFonts w:ascii="Times New Roman" w:eastAsia="Times New Roman" w:hAnsi="Times New Roman" w:cs="Times New Roman"/>
          <w:b w:val="0"/>
          <w:i w:val="0"/>
          <w:sz w:val="20"/>
        </w:rPr>
        <w:t xml:space="preserve"> financing activities was</w:t>
      </w:r>
      <w:r>
        <w:rPr>
          <w:rFonts w:ascii="Times New Roman" w:eastAsia="Times New Roman" w:hAnsi="Times New Roman" w:cs="Times New Roman"/>
          <w:b w:val="0"/>
          <w:i w:val="0"/>
          <w:sz w:val="20"/>
        </w:rPr>
        <w:t xml:space="preserve"> primarily due to the </w:t>
      </w:r>
      <w:r>
        <w:rPr>
          <w:rFonts w:ascii="Times New Roman" w:eastAsia="Times New Roman" w:hAnsi="Times New Roman" w:cs="Times New Roman"/>
          <w:b w:val="0"/>
          <w:i w:val="0"/>
          <w:sz w:val="20"/>
        </w:rPr>
        <w:t>re</w:t>
      </w:r>
      <w:r>
        <w:rPr>
          <w:rFonts w:ascii="Times New Roman" w:eastAsia="Times New Roman" w:hAnsi="Times New Roman" w:cs="Times New Roman"/>
          <w:b w:val="0"/>
          <w:i w:val="0"/>
          <w:sz w:val="20"/>
        </w:rPr>
        <w:t>payment</w:t>
      </w:r>
      <w:r>
        <w:rPr>
          <w:rFonts w:ascii="Times New Roman" w:eastAsia="Times New Roman" w:hAnsi="Times New Roman" w:cs="Times New Roman"/>
          <w:b w:val="0"/>
          <w:i w:val="0"/>
          <w:sz w:val="20"/>
        </w:rPr>
        <w:t xml:space="preserve"> in full</w:t>
      </w:r>
      <w:r>
        <w:rPr>
          <w:rFonts w:ascii="Times New Roman" w:eastAsia="Times New Roman" w:hAnsi="Times New Roman" w:cs="Times New Roman"/>
          <w:b w:val="0"/>
          <w:i w:val="0"/>
          <w:sz w:val="20"/>
        </w:rPr>
        <w:t xml:space="preserve"> of the </w:t>
      </w:r>
      <w:r>
        <w:rPr>
          <w:rFonts w:ascii="Times New Roman" w:eastAsia="Times New Roman" w:hAnsi="Times New Roman" w:cs="Times New Roman"/>
          <w:b w:val="0"/>
          <w:i w:val="0"/>
          <w:sz w:val="20"/>
        </w:rPr>
        <w:t>Convertible Notes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of </w:t>
      </w:r>
      <w:r>
        <w:rPr>
          <w:rFonts w:ascii="Times New Roman" w:eastAsia="Times New Roman" w:hAnsi="Times New Roman" w:cs="Times New Roman"/>
          <w:b w:val="0"/>
          <w:i w:val="0"/>
          <w:color w:val="000000"/>
          <w:sz w:val="20"/>
          <w:u w:val="none"/>
        </w:rPr>
        <w:t>$200.0 million</w:t>
      </w:r>
      <w:r>
        <w:rPr>
          <w:rFonts w:ascii="Times New Roman" w:eastAsia="Times New Roman" w:hAnsi="Times New Roman" w:cs="Times New Roman"/>
          <w:b w:val="0"/>
          <w:i w:val="0"/>
          <w:sz w:val="20"/>
        </w:rPr>
        <w:t>, partially offset by the issuance</w:t>
      </w:r>
      <w:r>
        <w:rPr>
          <w:rFonts w:ascii="Times New Roman" w:eastAsia="Times New Roman" w:hAnsi="Times New Roman" w:cs="Times New Roman"/>
          <w:b w:val="0"/>
          <w:i w:val="0"/>
          <w:sz w:val="20"/>
        </w:rPr>
        <w:t xml:space="preserve"> of the Senior Secured Notes Add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n </w:t>
      </w:r>
      <w:r>
        <w:rPr>
          <w:rFonts w:ascii="Times New Roman" w:eastAsia="Times New Roman" w:hAnsi="Times New Roman" w:cs="Times New Roman"/>
          <w:b w:val="0"/>
          <w:i w:val="0"/>
          <w:sz w:val="20"/>
        </w:rPr>
        <w:t xml:space="preserve">of </w:t>
      </w:r>
      <w:r>
        <w:rPr>
          <w:rFonts w:ascii="Times New Roman" w:eastAsia="Times New Roman" w:hAnsi="Times New Roman" w:cs="Times New Roman"/>
          <w:b w:val="0"/>
          <w:i w:val="0"/>
          <w:color w:val="000000"/>
          <w:sz w:val="20"/>
          <w:u w:val="none"/>
        </w:rPr>
        <w:t>$126.9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during the first quarter of fiscal year 2</w:t>
      </w:r>
      <w:r>
        <w:rPr>
          <w:rFonts w:ascii="Times New Roman" w:eastAsia="Times New Roman" w:hAnsi="Times New Roman" w:cs="Times New Roman"/>
          <w:b w:val="0"/>
          <w:i w:val="0"/>
          <w:sz w:val="20"/>
        </w:rPr>
        <w:t>0</w:t>
      </w:r>
      <w:r>
        <w:rPr>
          <w:rFonts w:ascii="Times New Roman" w:eastAsia="Times New Roman" w:hAnsi="Times New Roman" w:cs="Times New Roman"/>
          <w:b w:val="0"/>
          <w:i w:val="0"/>
          <w:sz w:val="20"/>
        </w:rPr>
        <w:t>25.</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Material Contractual Obligations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In </w:t>
      </w:r>
      <w:r>
        <w:rPr>
          <w:rFonts w:ascii="Times New Roman" w:eastAsia="Times New Roman" w:hAnsi="Times New Roman" w:cs="Times New Roman"/>
          <w:b w:val="0"/>
          <w:i w:val="0"/>
          <w:color w:val="000000"/>
          <w:sz w:val="20"/>
          <w:u w:val="none"/>
        </w:rPr>
        <w:t>October 2013</w:t>
      </w:r>
      <w:r>
        <w:rPr>
          <w:rFonts w:ascii="Times New Roman" w:eastAsia="Times New Roman" w:hAnsi="Times New Roman" w:cs="Times New Roman"/>
          <w:b w:val="0"/>
          <w:i w:val="0"/>
          <w:sz w:val="20"/>
        </w:rPr>
        <w:t xml:space="preserve">, we entered into an amended agreement with dpiX and other parties that, among other things, provides us with the right to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sz w:val="20"/>
        </w:rPr>
        <w:t xml:space="preserve"> of dpiX’s total manufacturing capacity produced after </w:t>
      </w:r>
      <w:r>
        <w:rPr>
          <w:rFonts w:ascii="Times New Roman" w:eastAsia="Times New Roman" w:hAnsi="Times New Roman" w:cs="Times New Roman"/>
          <w:b w:val="0"/>
          <w:i w:val="0"/>
          <w:color w:val="000000"/>
          <w:sz w:val="20"/>
          <w:u w:val="none"/>
        </w:rPr>
        <w:t>January 1, 2014</w:t>
      </w:r>
      <w:r>
        <w:rPr>
          <w:rFonts w:ascii="Times New Roman" w:eastAsia="Times New Roman" w:hAnsi="Times New Roman" w:cs="Times New Roman"/>
          <w:b w:val="0"/>
          <w:i w:val="0"/>
          <w:sz w:val="20"/>
        </w:rPr>
        <w:t xml:space="preserve">. The amended agreement requires us to pay for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sz w:val="20"/>
        </w:rPr>
        <w:t xml:space="preserve"> of the fixed costs (as defined in the amended agreement), as determined at the beginning of each calendar year. In January 2025, the Company's fixed cost commitment was </w:t>
      </w:r>
      <w:r>
        <w:rPr>
          <w:rFonts w:ascii="Times New Roman" w:eastAsia="Times New Roman" w:hAnsi="Times New Roman" w:cs="Times New Roman"/>
          <w:b w:val="0"/>
          <w:i w:val="0"/>
          <w:color w:val="000000"/>
          <w:sz w:val="20"/>
          <w:u w:val="none"/>
        </w:rPr>
        <w:t>determined</w:t>
      </w:r>
      <w:r>
        <w:rPr>
          <w:rFonts w:ascii="Times New Roman" w:eastAsia="Times New Roman" w:hAnsi="Times New Roman" w:cs="Times New Roman"/>
          <w:b w:val="0"/>
          <w:i w:val="0"/>
          <w:sz w:val="20"/>
        </w:rPr>
        <w:t xml:space="preserve"> to be </w:t>
      </w:r>
      <w:r>
        <w:rPr>
          <w:rFonts w:ascii="Times New Roman" w:eastAsia="Times New Roman" w:hAnsi="Times New Roman" w:cs="Times New Roman"/>
          <w:b w:val="0"/>
          <w:i w:val="0"/>
          <w:color w:val="000000"/>
          <w:sz w:val="20"/>
          <w:u w:val="none"/>
        </w:rPr>
        <w:t>$13.7 million</w:t>
      </w:r>
      <w:r>
        <w:rPr>
          <w:rFonts w:ascii="Times New Roman" w:eastAsia="Times New Roman" w:hAnsi="Times New Roman" w:cs="Times New Roman"/>
          <w:b w:val="0"/>
          <w:i w:val="0"/>
          <w:color w:val="000000"/>
          <w:sz w:val="20"/>
          <w:u w:val="none"/>
        </w:rPr>
        <w:t xml:space="preserve"> for calendar year 2025.</w:t>
      </w:r>
      <w:r>
        <w:rPr>
          <w:rFonts w:ascii="Times New Roman" w:eastAsia="Times New Roman" w:hAnsi="Times New Roman" w:cs="Times New Roman"/>
          <w:b w:val="0"/>
          <w:i w:val="0"/>
          <w:sz w:val="20"/>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the Company estimated it has </w:t>
      </w:r>
      <w:r>
        <w:rPr>
          <w:rFonts w:ascii="Times New Roman" w:eastAsia="Times New Roman" w:hAnsi="Times New Roman" w:cs="Times New Roman"/>
          <w:b w:val="0"/>
          <w:i w:val="0"/>
          <w:color w:val="000000"/>
          <w:sz w:val="20"/>
          <w:u w:val="none"/>
        </w:rPr>
        <w:t>$6.8 million</w:t>
      </w:r>
      <w:r>
        <w:rPr>
          <w:rFonts w:ascii="Times New Roman" w:eastAsia="Times New Roman" w:hAnsi="Times New Roman" w:cs="Times New Roman"/>
          <w:b w:val="0"/>
          <w:i w:val="0"/>
          <w:sz w:val="20"/>
        </w:rPr>
        <w:t xml:space="preserve"> related to this fixed cost commitment remaining for calendar year </w:t>
      </w:r>
      <w:r>
        <w:rPr>
          <w:rFonts w:ascii="Times New Roman" w:eastAsia="Times New Roman" w:hAnsi="Times New Roman" w:cs="Times New Roman"/>
          <w:b w:val="0"/>
          <w:i w:val="0"/>
          <w:color w:val="000000"/>
          <w:sz w:val="20"/>
          <w:u w:val="none"/>
        </w:rPr>
        <w:t>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The</w:t>
      </w:r>
      <w:r>
        <w:rPr>
          <w:rFonts w:ascii="Times New Roman" w:eastAsia="Times New Roman" w:hAnsi="Times New Roman" w:cs="Times New Roman"/>
          <w:b w:val="0"/>
          <w:i w:val="0"/>
          <w:sz w:val="20"/>
        </w:rPr>
        <w:t xml:space="preserve"> amended agreement will continue unless the ownership structure of dpiX changes (as defined in the amended agreement).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In August 2015, pursuant to a Domination and Profit and Loss Transfer Agreement (the “DPLTA”), we committed to pay the noncontrolling shareholders of MeVis Medical an annual recurring net compensation of </w:t>
      </w:r>
      <w:r>
        <w:rPr>
          <w:rFonts w:ascii="Times New Roman" w:eastAsia="Times New Roman" w:hAnsi="Times New Roman" w:cs="Times New Roman"/>
          <w:b w:val="0"/>
          <w:i w:val="0"/>
          <w:color w:val="000000"/>
          <w:sz w:val="20"/>
          <w:u w:val="none"/>
        </w:rPr>
        <w:t>€0.95</w:t>
      </w:r>
      <w:r>
        <w:rPr>
          <w:rFonts w:ascii="Times New Roman" w:eastAsia="Times New Roman" w:hAnsi="Times New Roman" w:cs="Times New Roman"/>
          <w:b w:val="0"/>
          <w:i w:val="0"/>
          <w:sz w:val="20"/>
        </w:rPr>
        <w:t xml:space="preserve"> per MeVis Medical share. The annual net payment will continue for the life of the DPLTA, which we anticipate will continue for as long as we remain as the controlling shareholder of MeVis Medical.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noncontrolling shareholders together held approximately </w:t>
      </w:r>
      <w:r>
        <w:rPr>
          <w:rFonts w:ascii="Times New Roman" w:eastAsia="Times New Roman" w:hAnsi="Times New Roman" w:cs="Times New Roman"/>
          <w:b w:val="0"/>
          <w:i w:val="0"/>
          <w:color w:val="000000"/>
          <w:sz w:val="20"/>
          <w:u w:val="none"/>
        </w:rPr>
        <w:t>0.5 million</w:t>
      </w:r>
      <w:r>
        <w:rPr>
          <w:rFonts w:ascii="Times New Roman" w:eastAsia="Times New Roman" w:hAnsi="Times New Roman" w:cs="Times New Roman"/>
          <w:b w:val="0"/>
          <w:i w:val="0"/>
          <w:sz w:val="20"/>
        </w:rPr>
        <w:t xml:space="preserve"> shares of MeVis Medical, representing </w:t>
      </w:r>
      <w:r>
        <w:rPr>
          <w:rFonts w:ascii="Times New Roman" w:eastAsia="Times New Roman" w:hAnsi="Times New Roman" w:cs="Times New Roman"/>
          <w:b w:val="0"/>
          <w:i w:val="0"/>
          <w:color w:val="000000"/>
          <w:sz w:val="20"/>
          <w:u w:val="none"/>
        </w:rPr>
        <w:t>26.3%</w:t>
      </w:r>
      <w:r>
        <w:rPr>
          <w:rFonts w:ascii="Times New Roman" w:eastAsia="Times New Roman" w:hAnsi="Times New Roman" w:cs="Times New Roman"/>
          <w:b w:val="0"/>
          <w:i w:val="0"/>
          <w:sz w:val="20"/>
        </w:rPr>
        <w:t xml:space="preserve"> of the outstanding shares.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Company enters into purchase agreements with its suppliers in the ordinary course of its business for the purchase of goods and services. Some of these purchase agreements are non-cancellable and thus contractually obligate the Company to future cash payments.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our non-cancellable supplier purchase obligations totaled </w:t>
      </w:r>
      <w:r>
        <w:rPr>
          <w:rFonts w:ascii="Times New Roman" w:eastAsia="Times New Roman" w:hAnsi="Times New Roman" w:cs="Times New Roman"/>
          <w:b w:val="0"/>
          <w:i w:val="0"/>
          <w:color w:val="000000"/>
          <w:sz w:val="20"/>
          <w:u w:val="none"/>
        </w:rPr>
        <w:t>$3.6 million</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Contingencies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From time to time, we are a party to or otherwise involved in legal proceedings, government inspections, investigations, customs and duty audits, and other claims and contingency matters, both inside and outside the United States, arising in the ordinary course of our business or otherwise. We accrue amounts for probable losses, to the extent they can be reasonably estimated, that we believe are adequate to address any liabilities related to legal proceedings as well as other loss contingencies that we believe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t>
      </w:r>
      <w:r>
        <w:rPr>
          <w:rFonts w:ascii="Times New Roman" w:eastAsia="Times New Roman" w:hAnsi="Times New Roman" w:cs="Times New Roman"/>
          <w:b w:val="0"/>
          <w:i w:val="0"/>
          <w:sz w:val="20"/>
        </w:rPr>
        <w:t>We did not have any material contingent liabilities</w:t>
      </w:r>
      <w:r>
        <w:rPr>
          <w:rFonts w:ascii="Times New Roman" w:eastAsia="Times New Roman" w:hAnsi="Times New Roman" w:cs="Times New Roman"/>
          <w:b w:val="0"/>
          <w:i w:val="0"/>
          <w:sz w:val="20"/>
        </w:rPr>
        <w:t xml:space="preser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shd w:val="clear" w:color="auto" w:fill="FFFFFF"/>
        </w:rPr>
        <w:t xml:space="preserve">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sz w:val="20"/>
        </w:rPr>
        <w:t>. Legal expenses are expensed as incurred.</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Days Sales Outstanding</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Trade accounts receivable days sales outstanding (“DSO”) was </w:t>
      </w:r>
      <w:r>
        <w:rPr>
          <w:rFonts w:ascii="Times New Roman" w:eastAsia="Times New Roman" w:hAnsi="Times New Roman" w:cs="Times New Roman"/>
          <w:b w:val="0"/>
          <w:i w:val="0"/>
          <w:color w:val="000000"/>
          <w:sz w:val="20"/>
          <w:u w:val="none"/>
        </w:rPr>
        <w:t>61</w:t>
      </w:r>
      <w:r>
        <w:rPr>
          <w:rFonts w:ascii="Times New Roman" w:eastAsia="Times New Roman" w:hAnsi="Times New Roman" w:cs="Times New Roman"/>
          <w:b w:val="0"/>
          <w:i w:val="0"/>
          <w:sz w:val="20"/>
        </w:rPr>
        <w:t xml:space="preserve"> days at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70</w:t>
      </w:r>
      <w:r>
        <w:rPr>
          <w:rFonts w:ascii="Times New Roman" w:eastAsia="Times New Roman" w:hAnsi="Times New Roman" w:cs="Times New Roman"/>
          <w:b w:val="0"/>
          <w:i w:val="0"/>
          <w:sz w:val="20"/>
        </w:rPr>
        <w:t xml:space="preserve"> days at </w:t>
      </w:r>
      <w:r>
        <w:rPr>
          <w:rFonts w:ascii="Times New Roman" w:eastAsia="Times New Roman" w:hAnsi="Times New Roman" w:cs="Times New Roman"/>
          <w:b w:val="0"/>
          <w:i w:val="0"/>
          <w:color w:val="000000"/>
          <w:sz w:val="20"/>
          <w:u w:val="none"/>
        </w:rPr>
        <w:t>September 27, 2024</w:t>
      </w:r>
      <w:r>
        <w:rPr>
          <w:rFonts w:ascii="Times New Roman" w:eastAsia="Times New Roman" w:hAnsi="Times New Roman" w:cs="Times New Roman"/>
          <w:b w:val="0"/>
          <w:i w:val="0"/>
          <w:sz w:val="20"/>
        </w:rPr>
        <w:t>. Our accounts receivable and DSO are impacted by a number of factors, including the timing of product shipments, collections performance, payment terms, the mix of revenues from different regions and the effects of economic instability.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2"/>
        </w:rPr>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sz w:val="20"/>
        </w:rPr>
      </w:pPr>
      <w:bookmarkStart w:id="36" w:name="Section37"/>
      <w:bookmarkEnd w:id="36"/>
      <w:r>
        <w:rPr>
          <w:rFonts w:ascii="Times New Roman" w:eastAsia="Times New Roman" w:hAnsi="Times New Roman" w:cs="Times New Roman"/>
          <w:b/>
          <w:i/>
          <w:sz w:val="20"/>
        </w:rPr>
        <w:t>Recent Accounting Standards or Updates Not Yet Effective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See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Summary of Significant Accounting Policies</w:t>
      </w:r>
      <w:r>
        <w:rPr>
          <w:rFonts w:ascii="Times New Roman" w:eastAsia="Times New Roman" w:hAnsi="Times New Roman" w:cs="Times New Roman"/>
          <w:b w:val="0"/>
          <w:i w:val="0"/>
          <w:sz w:val="20"/>
        </w:rPr>
        <w:t xml:space="preserve">, of the accompanying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for a description of recent accounting standards, including the expected dates of adoption and the estimated effects on our </w:t>
      </w:r>
      <w:r>
        <w:rPr>
          <w:rFonts w:ascii="Times New Roman" w:eastAsia="Times New Roman" w:hAnsi="Times New Roman" w:cs="Times New Roman"/>
          <w:b w:val="0"/>
          <w:i w:val="0"/>
          <w:color w:val="000000"/>
          <w:sz w:val="20"/>
          <w:u w:val="none"/>
        </w:rPr>
        <w:t>Condensed Consolidated Financial Statements</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2"/>
        <w:rPr>
          <w:rFonts w:ascii="Times New Roman" w:eastAsia="Times New Roman" w:hAnsi="Times New Roman" w:cs="Times New Roman"/>
          <w:b/>
          <w:i/>
          <w:sz w:val="20"/>
        </w:rPr>
      </w:pPr>
      <w:bookmarkStart w:id="37" w:name="Section38"/>
      <w:bookmarkEnd w:id="37"/>
      <w:r>
        <w:rPr>
          <w:rFonts w:ascii="Times New Roman" w:eastAsia="Times New Roman" w:hAnsi="Times New Roman" w:cs="Times New Roman"/>
          <w:b/>
          <w:i/>
          <w:sz w:val="20"/>
        </w:rPr>
        <w:t>Backlog</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Backlog is the a</w:t>
      </w:r>
      <w:r>
        <w:rPr>
          <w:rFonts w:ascii="Times New Roman" w:eastAsia="Times New Roman" w:hAnsi="Times New Roman" w:cs="Times New Roman"/>
          <w:b w:val="0"/>
          <w:i w:val="0"/>
          <w:sz w:val="20"/>
        </w:rPr>
        <w:t xml:space="preserve">ccumulation of all orders for which revenues have not been recognized and are still considered valid. Backlog also includes a small portion of billed service contracts that are included in deferred revenue. Our estimated total backlog at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was approximately </w:t>
      </w:r>
      <w:r>
        <w:rPr>
          <w:rFonts w:ascii="Times New Roman" w:eastAsia="Times New Roman" w:hAnsi="Times New Roman" w:cs="Times New Roman"/>
          <w:b w:val="0"/>
          <w:i w:val="0"/>
          <w:color w:val="000000"/>
          <w:sz w:val="20"/>
          <w:u w:val="none"/>
        </w:rPr>
        <w:t>$284 million</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pPr>
        <w:keepNext w:val="0"/>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240" w:after="0" w:line="288" w:lineRule="auto"/>
        <w:ind w:left="0" w:right="0" w:firstLine="0"/>
        <w:jc w:val="left"/>
        <w:outlineLvl w:val="1"/>
        <w:rPr>
          <w:rFonts w:ascii="Times New Roman" w:eastAsia="Times New Roman" w:hAnsi="Times New Roman" w:cs="Times New Roman"/>
          <w:b/>
          <w:i w:val="0"/>
          <w:sz w:val="20"/>
        </w:rPr>
      </w:pPr>
      <w:bookmarkStart w:id="38" w:name="Section39"/>
      <w:bookmarkEnd w:id="38"/>
      <w:r>
        <w:rPr>
          <w:rFonts w:ascii="Times New Roman" w:eastAsia="Times New Roman" w:hAnsi="Times New Roman" w:cs="Times New Roman"/>
          <w:b/>
          <w:i w:val="0"/>
          <w:sz w:val="20"/>
        </w:rPr>
        <w:t xml:space="preserve">Item 3. </w:t>
      </w:r>
      <w:r>
        <w:rPr>
          <w:rFonts w:ascii="Times New Roman" w:eastAsia="Times New Roman" w:hAnsi="Times New Roman" w:cs="Times New Roman"/>
          <w:b/>
          <w:i w:val="0"/>
          <w:color w:val="000000"/>
          <w:sz w:val="20"/>
          <w:u w:val="none"/>
        </w:rPr>
        <w:t>Quantitative and Qualitative Disclosures about Market Risk</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are exposed to four primary types of market risks: foreign currency exchange rate risk, credit and counterparty risk, interest rate risk, and commodity price risk.</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Foreign Currency Exchange Rate Risk</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or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or purchase in foreign markets.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may enter into foreign currency forward and option contracts with financial institutions to protect against foreign exchange risks associated with certain existing assets and liabilities, net investments in foreign subsidiaries, and forecast purchases denominated in foreign currencies. We may hedge portions of forecasted foreign currency exposure, typically for one to three months. In addition, we hold cross-currency swaps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 See Note </w:t>
      </w:r>
      <w:r>
        <w:rPr>
          <w:rFonts w:ascii="Times New Roman" w:eastAsia="Times New Roman" w:hAnsi="Times New Roman" w:cs="Times New Roman"/>
          <w:b w:val="0"/>
          <w:i w:val="0"/>
          <w:color w:val="000000"/>
          <w:sz w:val="20"/>
          <w:u w:val="none"/>
        </w:rPr>
        <w:t>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Financial Derivatives and Hedging Activities</w:t>
      </w:r>
      <w:r>
        <w:rPr>
          <w:rFonts w:ascii="Times New Roman" w:eastAsia="Times New Roman" w:hAnsi="Times New Roman" w:cs="Times New Roman"/>
          <w:b w:val="0"/>
          <w:i/>
          <w:sz w:val="20"/>
        </w:rPr>
        <w:t xml:space="preserve">, </w:t>
      </w:r>
      <w:r>
        <w:rPr>
          <w:rFonts w:ascii="Times New Roman" w:eastAsia="Times New Roman" w:hAnsi="Times New Roman" w:cs="Times New Roman"/>
          <w:b w:val="0"/>
          <w:i w:val="0"/>
          <w:sz w:val="20"/>
        </w:rPr>
        <w:t xml:space="preserve">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for further information.</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Credit and Counterparty Risk</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use a centralized approach to manage substantially all of our cash and to finance our operations. Our cash and cash equivalents and marketable securities may be exposed to a concentration of credit risk, and we may also be exposed to credit risk and interest rate risk to the extent that we enter into credit facilities.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or requiring certain customers to provide a down payment.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Interest Rate Risk</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i w:val="0"/>
          <w:color w:val="000000"/>
          <w:sz w:val="20"/>
          <w:u w:val="single"/>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Borrowings under our Revolving Credit Facility</w:t>
      </w:r>
      <w:r>
        <w:rPr>
          <w:rFonts w:ascii="Times New Roman" w:eastAsia="Times New Roman" w:hAnsi="Times New Roman" w:cs="Times New Roman"/>
          <w:b w:val="0"/>
          <w:i w:val="0"/>
          <w:sz w:val="20"/>
        </w:rPr>
        <w:t xml:space="preserve"> bear interest at floating interest rates.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we had </w:t>
      </w:r>
      <w:r>
        <w:rPr>
          <w:rFonts w:ascii="Times New Roman" w:eastAsia="Times New Roman" w:hAnsi="Times New Roman" w:cs="Times New Roman"/>
          <w:b w:val="0"/>
          <w:i w:val="0"/>
          <w:color w:val="000000"/>
          <w:sz w:val="20"/>
          <w:u w:val="none"/>
        </w:rPr>
        <w:t>no</w:t>
      </w:r>
      <w:r>
        <w:rPr>
          <w:rFonts w:ascii="Times New Roman" w:eastAsia="Times New Roman" w:hAnsi="Times New Roman" w:cs="Times New Roman"/>
          <w:b w:val="0"/>
          <w:i w:val="0"/>
          <w:sz w:val="20"/>
        </w:rPr>
        <w:t xml:space="preserve"> borrowings subject to floating interest rates</w:t>
      </w:r>
      <w:r>
        <w:rPr>
          <w:rFonts w:ascii="Times New Roman" w:eastAsia="Times New Roman" w:hAnsi="Times New Roman" w:cs="Times New Roman"/>
          <w:b w:val="0"/>
          <w:i w:val="0"/>
          <w:sz w:val="20"/>
        </w:rPr>
        <w:t xml:space="preserve">. See Note </w:t>
      </w:r>
      <w:r>
        <w:rPr>
          <w:rFonts w:ascii="Times New Roman" w:eastAsia="Times New Roman" w:hAnsi="Times New Roman" w:cs="Times New Roman"/>
          <w:b w:val="0"/>
          <w:i w:val="0"/>
          <w:color w:val="000000"/>
          <w:sz w:val="20"/>
          <w:u w:val="none"/>
        </w:rPr>
        <w:t>9</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Borrowings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for further information.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exposure to interest rate risk also relates to our interest-bearing assets, primarily our cash and cash equivalents and marketable securities. Fixed rate securities may have their market value adversely affected due to a rise in interest rates, while floating rate securities may produce less income than expected if interest rates fall. Due in part to these factors, our future investment income may fluctuate due to changes in interest rates or we may suffer losses in principal if we are forced to sell securities that decline in market value due to changes in interest rates. </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Commodity Price Risk</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sz w:val="20"/>
        </w:rPr>
        <w:t>, we did not have any commodity derivative instruments in place to manage our exposure to price changes.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Sensitivity Analysis</w:t>
      </w:r>
    </w:p>
    <w:p>
      <w:pPr>
        <w:keepNext/>
        <w:keepLines/>
        <w:pageBreakBefore w:val="0"/>
        <w:widowControl w:val="0"/>
        <w:numPr>
          <w:ilvl w:val="0"/>
          <w:numId w:val="0"/>
        </w:numPr>
        <w:spacing w:before="120" w:after="120" w:line="240" w:lineRule="exact"/>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following table sets forth the potential loss in future earnings, fair value, or cash flows resulting from hypothetical changes in relevant market rates or prices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The actual impact of the respective underlying rates and price changes on the financial instruments may differ significantly from those shown in the sensitivity analysis.</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940"/>
        <w:gridCol w:w="4875"/>
        <w:gridCol w:w="1725"/>
        <w:gridCol w:w="1260"/>
      </w:tblGrid>
      <w:tr>
        <w:tblPrEx>
          <w:tblW w:w="10800" w:type="dxa"/>
          <w:tblInd w:w="0" w:type="dxa"/>
          <w:tblLayout w:type="fixed"/>
        </w:tblPrEx>
        <w:trPr>
          <w:cantSplit/>
          <w:trHeight w:hRule="exact" w:val="645"/>
        </w:trPr>
        <w:tc>
          <w:tcPr>
            <w:tcW w:w="29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Market Risk Category</w:t>
            </w:r>
          </w:p>
        </w:tc>
        <w:tc>
          <w:tcPr>
            <w:tcW w:w="487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8"/>
                <w:u w:val="none"/>
              </w:rPr>
              <w:t>Hypothetical Change</w:t>
            </w:r>
          </w:p>
        </w:tc>
        <w:tc>
          <w:tcPr>
            <w:tcW w:w="17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8"/>
                <w:u w:val="none"/>
              </w:rPr>
              <w:t>Estimated Annual Impact</w:t>
            </w:r>
          </w:p>
          <w:p>
            <w:pPr>
              <w:spacing w:after="30" w:line="240" w:lineRule="auto"/>
              <w:jc w:val="center"/>
            </w:pPr>
            <w:r>
              <w:rPr>
                <w:rFonts w:ascii="Times New Roman" w:eastAsia="Times New Roman" w:hAnsi="Times New Roman" w:cs="Times New Roman"/>
                <w:b/>
                <w:i w:val="0"/>
                <w:color w:val="000000"/>
                <w:sz w:val="18"/>
                <w:u w:val="none"/>
              </w:rPr>
              <w:t>(In millions)</w:t>
            </w:r>
          </w:p>
        </w:tc>
        <w:tc>
          <w:tcPr>
            <w:tcW w:w="126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Impact Category</w:t>
            </w:r>
          </w:p>
        </w:tc>
      </w:tr>
      <w:tr>
        <w:tblPrEx>
          <w:tblW w:w="10800" w:type="dxa"/>
          <w:tblInd w:w="0" w:type="dxa"/>
          <w:tblLayout w:type="fixed"/>
        </w:tblPrEx>
        <w:trPr>
          <w:cantSplit/>
          <w:trHeight w:hRule="exact" w:val="285"/>
        </w:trPr>
        <w:tc>
          <w:tcPr>
            <w:tcW w:w="29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Foreign Currency - Revenue</w:t>
            </w:r>
          </w:p>
        </w:tc>
        <w:tc>
          <w:tcPr>
            <w:tcW w:w="4875"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10% decrease in foreign exchange rates</w:t>
            </w:r>
          </w:p>
        </w:tc>
        <w:tc>
          <w:tcPr>
            <w:tcW w:w="17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284"/>
                <w:tab w:val="left" w:pos="1657"/>
              </w:tabs>
              <w:spacing w:before="55" w:after="30" w:line="240" w:lineRule="auto"/>
              <w:jc w:val="right"/>
            </w:pPr>
            <w:r>
              <w:rPr>
                <w:rFonts w:ascii="Times New Roman" w:eastAsia="Times New Roman" w:hAnsi="Times New Roman" w:cs="Times New Roman"/>
                <w:b w:val="0"/>
                <w:i w:val="0"/>
                <w:color w:val="000000"/>
                <w:sz w:val="18"/>
                <w:u w:val="none"/>
              </w:rPr>
              <w:t>$</w:t>
              <w:tab/>
              <w:t>14.1</w:t>
              <w:tab/>
            </w:r>
          </w:p>
        </w:tc>
        <w:tc>
          <w:tcPr>
            <w:tcW w:w="1260" w:type="dxa"/>
            <w:tcBorders>
              <w:top w:val="single" w:sz="8" w:space="0" w:color="000000"/>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val="0"/>
                <w:i w:val="0"/>
                <w:color w:val="000000"/>
                <w:sz w:val="18"/>
                <w:u w:val="none"/>
              </w:rPr>
              <w:t>Earnings</w:t>
            </w:r>
          </w:p>
        </w:tc>
      </w:tr>
      <w:tr>
        <w:tblPrEx>
          <w:tblW w:w="10800" w:type="dxa"/>
          <w:tblInd w:w="0" w:type="dxa"/>
          <w:tblLayout w:type="fixed"/>
        </w:tblPrEx>
        <w:trPr>
          <w:cantSplit/>
          <w:trHeight w:hRule="exact" w:val="285"/>
        </w:trPr>
        <w:tc>
          <w:tcPr>
            <w:tcW w:w="294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Interest Rate - Marketable Securities</w:t>
            </w:r>
          </w:p>
        </w:tc>
        <w:tc>
          <w:tcPr>
            <w:tcW w:w="4875"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100 basis point decrease in interest rate of underlying investments</w:t>
            </w:r>
          </w:p>
        </w:tc>
        <w:tc>
          <w:tcPr>
            <w:tcW w:w="172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374"/>
                <w:tab w:val="left" w:pos="1657"/>
              </w:tabs>
              <w:spacing w:before="75" w:after="30" w:line="240" w:lineRule="auto"/>
              <w:jc w:val="right"/>
            </w:pPr>
            <w:r>
              <w:rPr>
                <w:rFonts w:ascii="Times New Roman" w:eastAsia="Times New Roman" w:hAnsi="Times New Roman" w:cs="Times New Roman"/>
                <w:b w:val="0"/>
                <w:i w:val="0"/>
                <w:color w:val="000000"/>
                <w:sz w:val="18"/>
                <w:u w:val="none"/>
              </w:rPr>
              <w:tab/>
              <w:t>1.0</w:t>
              <w:tab/>
            </w:r>
          </w:p>
        </w:tc>
        <w:tc>
          <w:tcPr>
            <w:tcW w:w="12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center"/>
            </w:pPr>
            <w:r>
              <w:rPr>
                <w:rFonts w:ascii="Times New Roman" w:eastAsia="Times New Roman" w:hAnsi="Times New Roman" w:cs="Times New Roman"/>
                <w:b w:val="0"/>
                <w:i w:val="0"/>
                <w:color w:val="000000"/>
                <w:sz w:val="18"/>
                <w:u w:val="none"/>
              </w:rPr>
              <w:t>Earnings</w:t>
            </w:r>
          </w:p>
        </w:tc>
      </w:tr>
      <w:tr>
        <w:tblPrEx>
          <w:tblW w:w="10800" w:type="dxa"/>
          <w:tblInd w:w="0" w:type="dxa"/>
          <w:tblLayout w:type="fixed"/>
        </w:tblPrEx>
        <w:trPr>
          <w:cantSplit/>
          <w:trHeight w:hRule="exact" w:val="285"/>
        </w:trPr>
        <w:tc>
          <w:tcPr>
            <w:tcW w:w="294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Commodity Price</w:t>
            </w:r>
          </w:p>
        </w:tc>
        <w:tc>
          <w:tcPr>
            <w:tcW w:w="4875"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10% increase in commodity prices</w:t>
            </w:r>
          </w:p>
        </w:tc>
        <w:tc>
          <w:tcPr>
            <w:tcW w:w="172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374"/>
                <w:tab w:val="left" w:pos="1657"/>
              </w:tabs>
              <w:spacing w:before="75" w:after="30" w:line="240" w:lineRule="auto"/>
              <w:jc w:val="right"/>
            </w:pPr>
            <w:r>
              <w:rPr>
                <w:rFonts w:ascii="Times New Roman" w:eastAsia="Times New Roman" w:hAnsi="Times New Roman" w:cs="Times New Roman"/>
                <w:b w:val="0"/>
                <w:i w:val="0"/>
                <w:color w:val="000000"/>
                <w:sz w:val="18"/>
                <w:u w:val="none"/>
              </w:rPr>
              <w:t>$</w:t>
              <w:tab/>
              <w:t>3.1</w:t>
              <w:tab/>
            </w:r>
          </w:p>
        </w:tc>
        <w:tc>
          <w:tcPr>
            <w:tcW w:w="12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75" w:after="30" w:line="240" w:lineRule="auto"/>
              <w:jc w:val="center"/>
            </w:pPr>
            <w:r>
              <w:rPr>
                <w:rFonts w:ascii="Times New Roman" w:eastAsia="Times New Roman" w:hAnsi="Times New Roman" w:cs="Times New Roman"/>
                <w:b w:val="0"/>
                <w:i w:val="0"/>
                <w:color w:val="000000"/>
                <w:sz w:val="18"/>
                <w:u w:val="none"/>
              </w:rPr>
              <w:t>Earnings</w:t>
            </w:r>
          </w:p>
        </w:tc>
      </w:tr>
    </w:tbl>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
        </w:rPr>
      </w:pPr>
    </w:p>
    <w:p>
      <w:pPr>
        <w:keepNext w:val="0"/>
        <w:keepLines/>
        <w:pageBreakBefore w:val="0"/>
        <w:widowControl w:val="0"/>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
        </w:rPr>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40" w:lineRule="exact"/>
        <w:ind w:left="0" w:right="0" w:firstLine="0"/>
        <w:jc w:val="left"/>
        <w:outlineLvl w:val="1"/>
        <w:rPr>
          <w:rFonts w:ascii="Times New Roman" w:eastAsia="Times New Roman" w:hAnsi="Times New Roman" w:cs="Times New Roman"/>
          <w:b/>
          <w:i w:val="0"/>
          <w:sz w:val="20"/>
        </w:rPr>
      </w:pPr>
      <w:bookmarkStart w:id="39" w:name="Section40"/>
      <w:bookmarkEnd w:id="39"/>
      <w:r>
        <w:rPr>
          <w:rFonts w:ascii="Times New Roman" w:eastAsia="Times New Roman" w:hAnsi="Times New Roman" w:cs="Times New Roman"/>
          <w:b/>
          <w:i w:val="0"/>
          <w:sz w:val="20"/>
        </w:rPr>
        <w:t>Item 4. Controls and Procedures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D</w:t>
      </w:r>
      <w:r>
        <w:rPr>
          <w:rFonts w:ascii="Times New Roman" w:eastAsia="Times New Roman" w:hAnsi="Times New Roman" w:cs="Times New Roman"/>
          <w:b/>
          <w:i/>
          <w:sz w:val="20"/>
        </w:rPr>
        <w:t>isclosure Controls and Procedures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disclosure controls and procedures (as defined in Rules 13a-15(e) and 15d-15(e) under the Securities Exchange Act of 1934, as amended (the "Exchange Act") are designed to provide reasonable assurance that information required to be disclosed in the reports that we file or submit under the Exchange Act is recorded, processed, summarized, and reported within the time periods specified in the rules and forms of the SEC and that such information is accumulated and communicated to management, including our principal executive and financial officers, as appropriate to allow timely decisions regarding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Under the supervision and with the participation of our management, including our Chief Executive Officer (“CEO”) and Chief Financial Officer (“CFO”), we conducted an evaluation of the effectiveness of our internal control over financial reporting as of the end of the period covered by this report. Based on this evaluation, our CEO and our CFO have concluded that our disclosure controls and procedures were effective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Changes in Internal Control Over Financial Reporting</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There were no changes in our internal control over financial reporting during the quarter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that have materially affected, or are reasonably likely to materially affect, our internal control over financial reporting (as defined in Exchange Act Rules 13a-15(f) and 15d-15(f) under the Exchange Act).</w:t>
      </w:r>
    </w:p>
    <w:p>
      <w:pPr>
        <w:keepNext/>
        <w:keepLines/>
        <w:pageBreakBefore w:val="0"/>
        <w:widowControl w:val="0"/>
        <w:numPr>
          <w:ilvl w:val="0"/>
          <w:numId w:val="0"/>
        </w:numPr>
        <w:spacing w:before="120" w:after="0" w:line="240" w:lineRule="exact"/>
        <w:ind w:left="0" w:right="0" w:firstLine="0"/>
        <w:jc w:val="left"/>
        <w:outlineLvl w:val="9"/>
        <w:sectPr>
          <w:headerReference w:type="default" r:id="rId37"/>
          <w:type w:val="continuous"/>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left"/>
        <w:outlineLvl w:val="0"/>
        <w:rPr>
          <w:rFonts w:ascii="Times New Roman" w:eastAsia="Times New Roman" w:hAnsi="Times New Roman" w:cs="Times New Roman"/>
          <w:b/>
          <w:i w:val="0"/>
          <w:sz w:val="20"/>
        </w:rPr>
      </w:pPr>
      <w:bookmarkStart w:id="40" w:name="Section41"/>
      <w:bookmarkEnd w:id="40"/>
      <w:r>
        <w:rPr>
          <w:rFonts w:ascii="Times New Roman" w:eastAsia="Times New Roman" w:hAnsi="Times New Roman" w:cs="Times New Roman"/>
          <w:b/>
          <w:i w:val="0"/>
          <w:sz w:val="20"/>
        </w:rPr>
        <w:t>PART II</w:t>
      </w:r>
    </w:p>
    <w:p>
      <w:pPr>
        <w:keepNext w:val="0"/>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OTHER INFORMATION</w:t>
      </w:r>
    </w:p>
    <w:p>
      <w:pPr>
        <w:keepNext w:val="0"/>
        <w:keepLines w:val="0"/>
        <w:pageBreakBefore w:val="0"/>
        <w:widowControl/>
        <w:numPr>
          <w:ilvl w:val="0"/>
          <w:numId w:val="0"/>
        </w:numPr>
        <w:spacing w:before="240" w:after="0" w:line="288" w:lineRule="auto"/>
        <w:ind w:left="0" w:right="0" w:firstLine="0"/>
        <w:jc w:val="left"/>
        <w:outlineLvl w:val="9"/>
        <w:sectPr>
          <w:pgSz w:w="12240" w:h="15840"/>
          <w:pgMar w:top="1080" w:right="720" w:bottom="1080" w:left="720" w:header="270" w:footer="270"/>
          <w:cols w:space="708"/>
        </w:sectPr>
      </w:pPr>
    </w:p>
    <w:p>
      <w:pPr>
        <w:keepNext/>
        <w:keepLines/>
        <w:pageBreakBefore w:val="0"/>
        <w:widowControl w:val="0"/>
        <w:numPr>
          <w:ilvl w:val="0"/>
          <w:numId w:val="0"/>
        </w:numPr>
        <w:spacing w:before="240" w:after="0" w:line="240" w:lineRule="exact"/>
        <w:ind w:left="0" w:right="0" w:firstLine="0"/>
        <w:jc w:val="left"/>
        <w:outlineLvl w:val="1"/>
        <w:rPr>
          <w:rFonts w:ascii="Times New Roman" w:eastAsia="Times New Roman" w:hAnsi="Times New Roman" w:cs="Times New Roman"/>
          <w:b/>
          <w:i w:val="0"/>
          <w:sz w:val="20"/>
        </w:rPr>
      </w:pPr>
      <w:bookmarkStart w:id="41" w:name="Section42"/>
      <w:bookmarkEnd w:id="41"/>
      <w:r>
        <w:rPr>
          <w:rFonts w:ascii="Times New Roman" w:eastAsia="Times New Roman" w:hAnsi="Times New Roman" w:cs="Times New Roman"/>
          <w:b/>
          <w:i w:val="0"/>
          <w:sz w:val="20"/>
        </w:rPr>
        <w:t>Item 1. Legal Proceedings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are subject to various claims, complaints, and legal actions in the normal course of business from time to time. The resolution of such claims, complaints, and legal actions is subject to significant uncertainty and may be expensive, time consuming and disruptive to our operations. At the present time, we do not believe we have any current or pending litigation for which the outcome could have a material adverse effect on our operations or financial position.</w:t>
      </w:r>
    </w:p>
    <w:p>
      <w:pPr>
        <w:keepNext w:val="0"/>
        <w:keepLines/>
        <w:pageBreakBefore w:val="0"/>
        <w:widowControl w:val="0"/>
        <w:numPr>
          <w:ilvl w:val="0"/>
          <w:numId w:val="0"/>
        </w:numPr>
        <w:spacing w:before="120" w:after="0" w:line="288" w:lineRule="auto"/>
        <w:ind w:left="0" w:right="0" w:firstLine="0"/>
        <w:jc w:val="left"/>
        <w:outlineLvl w:val="9"/>
        <w:sectPr>
          <w:footerReference w:type="default" r:id="rId38"/>
          <w:type w:val="continuous"/>
          <w:pgSz w:w="12240" w:h="15840"/>
          <w:pgMar w:top="1080" w:right="720" w:bottom="1080" w:left="720" w:header="270" w:footer="0"/>
          <w:cols w:space="708"/>
        </w:sectPr>
      </w:pPr>
    </w:p>
    <w:p>
      <w:pPr>
        <w:keepNext/>
        <w:keepLines/>
        <w:pageBreakBefore w:val="0"/>
        <w:widowControl w:val="0"/>
        <w:numPr>
          <w:ilvl w:val="0"/>
          <w:numId w:val="0"/>
        </w:numPr>
        <w:spacing w:before="240" w:after="0" w:line="240" w:lineRule="exact"/>
        <w:ind w:left="0" w:right="0" w:firstLine="0"/>
        <w:jc w:val="left"/>
        <w:outlineLvl w:val="1"/>
        <w:rPr>
          <w:rFonts w:ascii="Times New Roman" w:eastAsia="Times New Roman" w:hAnsi="Times New Roman" w:cs="Times New Roman"/>
          <w:b/>
          <w:i w:val="0"/>
          <w:sz w:val="20"/>
        </w:rPr>
      </w:pPr>
      <w:bookmarkStart w:id="42" w:name="Section43"/>
      <w:bookmarkEnd w:id="42"/>
      <w:r>
        <w:rPr>
          <w:rFonts w:ascii="Times New Roman" w:eastAsia="Times New Roman" w:hAnsi="Times New Roman" w:cs="Times New Roman"/>
          <w:b/>
          <w:i w:val="0"/>
          <w:sz w:val="20"/>
        </w:rPr>
        <w:t xml:space="preserve">Item 1A. </w:t>
      </w:r>
      <w:r>
        <w:rPr>
          <w:rFonts w:ascii="Times New Roman" w:eastAsia="Times New Roman" w:hAnsi="Times New Roman" w:cs="Times New Roman"/>
          <w:b/>
          <w:i w:val="0"/>
          <w:color w:val="000000"/>
          <w:sz w:val="20"/>
          <w:u w:val="none"/>
        </w:rPr>
        <w:t>Risk Factors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Investing in Varex Imaging Corporation common stock involves risks, and the following risk factors and other information included in this Quarterly Report on Form 10-Q (this "Quarterly Report") under Part I, Item 2 "</w:t>
      </w:r>
      <w:r>
        <w:rPr>
          <w:rFonts w:ascii="Times New Roman" w:eastAsia="Times New Roman" w:hAnsi="Times New Roman" w:cs="Times New Roman"/>
          <w:b w:val="0"/>
          <w:i/>
          <w:color w:val="000000"/>
          <w:sz w:val="20"/>
          <w:u w:val="none"/>
        </w:rPr>
        <w:t>Management’s Discussion and Analysis of Financial Condition and Results of Operations</w:t>
      </w:r>
      <w:r>
        <w:rPr>
          <w:rFonts w:ascii="Times New Roman" w:eastAsia="Times New Roman" w:hAnsi="Times New Roman" w:cs="Times New Roman"/>
          <w:b w:val="0"/>
          <w:i w:val="0"/>
          <w:sz w:val="20"/>
        </w:rPr>
        <w:t>" and Part I, Item 3 "</w:t>
      </w:r>
      <w:r>
        <w:rPr>
          <w:rFonts w:ascii="Times New Roman" w:eastAsia="Times New Roman" w:hAnsi="Times New Roman" w:cs="Times New Roman"/>
          <w:b w:val="0"/>
          <w:i/>
          <w:color w:val="000000"/>
          <w:sz w:val="20"/>
          <w:u w:val="none"/>
        </w:rPr>
        <w:t>Quantitative and Qualitative Disclosures about Market Risk</w:t>
      </w:r>
      <w:r>
        <w:rPr>
          <w:rFonts w:ascii="Times New Roman" w:eastAsia="Times New Roman" w:hAnsi="Times New Roman" w:cs="Times New Roman"/>
          <w:b w:val="0"/>
          <w:i w:val="0"/>
          <w:sz w:val="20"/>
        </w:rPr>
        <w:t>" should be carefully considered. Although the risk factors described below are the ones management deems significant, additional risks and uncertainties not presently known to us or that are presently known to us that we presently deem not material may also adversely affect our business operations.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Risks Relating to Our Business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We sell our products and services to a limited number of OEM customers, many of which are also our competitors, and a delay in an order to a future period, as well as a reduction in or loss of business of one or more of these customers has in the past and may in the future materially reduce our sales.</w:t>
      </w:r>
    </w:p>
    <w:p>
      <w:pPr>
        <w:keepNext w:val="0"/>
        <w:keepLines w:val="0"/>
        <w:pageBreakBefore w:val="0"/>
        <w:widowControl/>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had one customer during the </w:t>
      </w:r>
      <w:r>
        <w:rPr>
          <w:rFonts w:ascii="Times New Roman" w:eastAsia="Times New Roman" w:hAnsi="Times New Roman" w:cs="Times New Roman"/>
          <w:b w:val="0"/>
          <w:i w:val="0"/>
          <w:color w:val="000000"/>
          <w:sz w:val="20"/>
          <w:u w:val="none"/>
        </w:rPr>
        <w:t>three and nine months ended July 4, 2025</w:t>
      </w:r>
      <w:r>
        <w:rPr>
          <w:rFonts w:ascii="Times New Roman" w:eastAsia="Times New Roman" w:hAnsi="Times New Roman" w:cs="Times New Roman"/>
          <w:b w:val="0"/>
          <w:i w:val="0"/>
          <w:sz w:val="20"/>
        </w:rPr>
        <w:t xml:space="preserve"> that accounted for approximately </w:t>
      </w:r>
      <w:r>
        <w:rPr>
          <w:rFonts w:ascii="Times New Roman" w:eastAsia="Times New Roman" w:hAnsi="Times New Roman" w:cs="Times New Roman"/>
          <w:b w:val="0"/>
          <w:i w:val="0"/>
          <w:color w:val="000000"/>
          <w:sz w:val="20"/>
          <w:u w:val="none"/>
        </w:rPr>
        <w:t>18%</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18%</w:t>
      </w:r>
      <w:r>
        <w:rPr>
          <w:rFonts w:ascii="Times New Roman" w:eastAsia="Times New Roman" w:hAnsi="Times New Roman" w:cs="Times New Roman"/>
          <w:b w:val="0"/>
          <w:i w:val="0"/>
          <w:sz w:val="20"/>
        </w:rPr>
        <w:t xml:space="preserve"> of our revenue, respectively, all of which was </w:t>
      </w:r>
      <w:r>
        <w:rPr>
          <w:rFonts w:ascii="Times New Roman" w:eastAsia="Times New Roman" w:hAnsi="Times New Roman" w:cs="Times New Roman"/>
          <w:b w:val="0"/>
          <w:i w:val="0"/>
          <w:color w:val="000000"/>
          <w:sz w:val="20"/>
          <w:u w:val="none"/>
        </w:rPr>
        <w:t>in our Medical segment.</w:t>
      </w:r>
      <w:r>
        <w:rPr>
          <w:rFonts w:ascii="Times New Roman" w:eastAsia="Times New Roman" w:hAnsi="Times New Roman" w:cs="Times New Roman"/>
          <w:b w:val="0"/>
          <w:i w:val="0"/>
          <w:sz w:val="20"/>
        </w:rPr>
        <w:t xml:space="preserve"> Our ten largest customers as a group accounted for approximately </w:t>
      </w:r>
      <w:r>
        <w:rPr>
          <w:rFonts w:ascii="Times New Roman" w:eastAsia="Times New Roman" w:hAnsi="Times New Roman" w:cs="Times New Roman"/>
          <w:b w:val="0"/>
          <w:i w:val="0"/>
          <w:color w:val="000000"/>
          <w:sz w:val="20"/>
          <w:u w:val="none"/>
        </w:rPr>
        <w:t>52%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color w:val="000000"/>
          <w:sz w:val="20"/>
          <w:u w:val="none"/>
        </w:rPr>
        <w:t>54%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of our revenue for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respectivel</w:t>
      </w:r>
      <w:r>
        <w:rPr>
          <w:rFonts w:ascii="Times New Roman" w:eastAsia="Times New Roman" w:hAnsi="Times New Roman" w:cs="Times New Roman"/>
          <w:b w:val="0"/>
          <w:i w:val="0"/>
          <w:sz w:val="20"/>
        </w:rPr>
        <w:t>y</w:t>
      </w:r>
      <w:r>
        <w:rPr>
          <w:rFonts w:ascii="Times New Roman" w:eastAsia="Times New Roman" w:hAnsi="Times New Roman" w:cs="Times New Roman"/>
          <w:b w:val="0"/>
          <w:i w:val="0"/>
          <w:sz w:val="20"/>
        </w:rPr>
        <w:t xml:space="preserve">. Our ten largest customers as a group accounted for approximately </w:t>
      </w:r>
      <w:r>
        <w:rPr>
          <w:rFonts w:ascii="Times New Roman" w:eastAsia="Times New Roman" w:hAnsi="Times New Roman" w:cs="Times New Roman"/>
          <w:b w:val="0"/>
          <w:i w:val="0"/>
          <w:color w:val="000000"/>
          <w:sz w:val="20"/>
          <w:u w:val="none"/>
        </w:rPr>
        <w:t>53%</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54%</w:t>
      </w:r>
      <w:r>
        <w:rPr>
          <w:rFonts w:ascii="Times New Roman" w:eastAsia="Times New Roman" w:hAnsi="Times New Roman" w:cs="Times New Roman"/>
          <w:b w:val="0"/>
          <w:i w:val="0"/>
          <w:sz w:val="20"/>
        </w:rPr>
        <w:t xml:space="preserve"> of our revenue for 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 xml:space="preserve">, respectively. </w:t>
      </w:r>
      <w:r>
        <w:rPr>
          <w:rFonts w:ascii="Times New Roman" w:eastAsia="Times New Roman" w:hAnsi="Times New Roman" w:cs="Times New Roman"/>
          <w:b w:val="0"/>
          <w:i w:val="0"/>
          <w:color w:val="000000"/>
          <w:sz w:val="20"/>
          <w:u w:val="none"/>
        </w:rPr>
        <w:t>Because</w:t>
      </w:r>
      <w:r>
        <w:rPr>
          <w:rFonts w:ascii="Times New Roman" w:eastAsia="Times New Roman" w:hAnsi="Times New Roman" w:cs="Times New Roman"/>
          <w:b w:val="0"/>
          <w:i w:val="0"/>
          <w:sz w:val="20"/>
        </w:rPr>
        <w:t xml:space="preserve"> we often take significant time to replace lost business, in the past our operating results have been, and in the future it is likely that our operating results would be, materially and adversely affected if one or more of our major OEM customers were to cancel, delay, or reduce orders.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Furthermore, we generate significant accounts receivables from the sale of our products and the provision of services directly to these customers. One customer accounted for </w:t>
      </w:r>
      <w:r>
        <w:rPr>
          <w:rFonts w:ascii="Times New Roman" w:eastAsia="Times New Roman" w:hAnsi="Times New Roman" w:cs="Times New Roman"/>
          <w:b w:val="0"/>
          <w:i w:val="0"/>
          <w:color w:val="000000"/>
          <w:sz w:val="20"/>
          <w:u w:val="none"/>
        </w:rPr>
        <w:t>13.5%</w:t>
      </w:r>
      <w:r>
        <w:rPr>
          <w:rFonts w:ascii="Times New Roman" w:eastAsia="Times New Roman" w:hAnsi="Times New Roman" w:cs="Times New Roman"/>
          <w:b w:val="0"/>
          <w:i w:val="0"/>
          <w:sz w:val="20"/>
        </w:rPr>
        <w:t xml:space="preserve"> of our accounts receivables 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If one or more of these customers were to cancel a product order or service contract, become insolvent, or otherwise be unable or fail to pay for our products and/or services in a timely manner, our operating results and financial condition could be materially and adversely affected.</w:t>
      </w:r>
    </w:p>
    <w:p>
      <w:pPr>
        <w:keepNext w:val="0"/>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Our business has in the past been, is currently being, and in the future may be, negatively impacted by changes in import/export regulatory regimes, tariffs, trade wars, and national policies, including exemptions thereto.</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are </w:t>
      </w:r>
      <w:r>
        <w:rPr>
          <w:rFonts w:ascii="Times New Roman" w:eastAsia="Times New Roman" w:hAnsi="Times New Roman" w:cs="Times New Roman"/>
          <w:b w:val="0"/>
          <w:i w:val="0"/>
          <w:sz w:val="20"/>
        </w:rPr>
        <w:t>both a global importer of raw materials that are used in our finished products and an exporter of finished goods to our customers worldwide. Our products are integrated into the systems and products of our OEM customers, as well as into our own industrial systems. Tariffs, trade wars, import restrictions, boycotts, embargoes, government investigations, trade policies and compliance matters have in the past limited, are currently limiting, and in the future could limit our ability and our customers' ability to compete, which could cause our long-term prospects in such countries to suffer. Tariffs on imported materials have increased our costs and prices and lowered gross margins on some of our products, thereby having a direct adverse impact on our business and results of operations. Retaliatory tariffs have increased our customers’ costs for products exported from the United States, which has caused us to make, and may in the future require us to make, price concessions on some products and has caused, and may in the future cause, some customers to stop purchasing our products.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For example, </w:t>
      </w:r>
      <w:r>
        <w:rPr>
          <w:rFonts w:ascii="Times New Roman" w:eastAsia="Times New Roman" w:hAnsi="Times New Roman" w:cs="Times New Roman"/>
          <w:b w:val="0"/>
          <w:i w:val="0"/>
          <w:sz w:val="20"/>
        </w:rPr>
        <w:t>during the calendar ye</w:t>
      </w:r>
      <w:r>
        <w:rPr>
          <w:rFonts w:ascii="Times New Roman" w:eastAsia="Times New Roman" w:hAnsi="Times New Roman" w:cs="Times New Roman"/>
          <w:b w:val="0"/>
          <w:i w:val="0"/>
          <w:sz w:val="20"/>
        </w:rPr>
        <w:t>ar</w:t>
      </w:r>
      <w:r>
        <w:rPr>
          <w:rFonts w:ascii="Times New Roman" w:eastAsia="Times New Roman" w:hAnsi="Times New Roman" w:cs="Times New Roman"/>
          <w:b w:val="0"/>
          <w:i w:val="0"/>
          <w:sz w:val="20"/>
        </w:rPr>
        <w:t xml:space="preserve">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the United States Administration </w:t>
      </w:r>
      <w:r>
        <w:rPr>
          <w:rFonts w:ascii="Times New Roman" w:eastAsia="Times New Roman" w:hAnsi="Times New Roman" w:cs="Times New Roman"/>
          <w:b w:val="0"/>
          <w:i w:val="0"/>
          <w:sz w:val="20"/>
        </w:rPr>
        <w:t>has</w:t>
      </w:r>
      <w:r>
        <w:rPr>
          <w:rFonts w:ascii="Times New Roman" w:eastAsia="Times New Roman" w:hAnsi="Times New Roman" w:cs="Times New Roman"/>
          <w:b w:val="0"/>
          <w:i w:val="0"/>
          <w:sz w:val="20"/>
        </w:rPr>
        <w:t xml:space="preserve"> a</w:t>
      </w:r>
      <w:r>
        <w:rPr>
          <w:rFonts w:ascii="Times New Roman" w:eastAsia="Times New Roman" w:hAnsi="Times New Roman" w:cs="Times New Roman"/>
          <w:b w:val="0"/>
          <w:i w:val="0"/>
          <w:sz w:val="20"/>
        </w:rPr>
        <w:t>nnounce</w:t>
      </w:r>
      <w:r>
        <w:rPr>
          <w:rFonts w:ascii="Times New Roman" w:eastAsia="Times New Roman" w:hAnsi="Times New Roman" w:cs="Times New Roman"/>
          <w:b w:val="0"/>
          <w:i w:val="0"/>
          <w:sz w:val="20"/>
        </w:rPr>
        <w:t>d an</w:t>
      </w:r>
      <w:r>
        <w:rPr>
          <w:rFonts w:ascii="Times New Roman" w:eastAsia="Times New Roman" w:hAnsi="Times New Roman" w:cs="Times New Roman"/>
          <w:b w:val="0"/>
          <w:i w:val="0"/>
          <w:sz w:val="20"/>
        </w:rPr>
        <w:t xml:space="preserve">d </w:t>
      </w:r>
      <w:r>
        <w:rPr>
          <w:rFonts w:ascii="Times New Roman" w:eastAsia="Times New Roman" w:hAnsi="Times New Roman" w:cs="Times New Roman"/>
          <w:b w:val="0"/>
          <w:i w:val="0"/>
          <w:sz w:val="20"/>
        </w:rPr>
        <w:t xml:space="preserve">imposed </w:t>
      </w:r>
      <w:r>
        <w:rPr>
          <w:rFonts w:ascii="Times New Roman" w:eastAsia="Times New Roman" w:hAnsi="Times New Roman" w:cs="Times New Roman"/>
          <w:b w:val="0"/>
          <w:i w:val="0"/>
          <w:sz w:val="20"/>
        </w:rPr>
        <w:t xml:space="preserve">a </w:t>
      </w:r>
      <w:r>
        <w:rPr>
          <w:rFonts w:ascii="Times New Roman" w:eastAsia="Times New Roman" w:hAnsi="Times New Roman" w:cs="Times New Roman"/>
          <w:b w:val="0"/>
          <w:i w:val="0"/>
          <w:sz w:val="20"/>
        </w:rPr>
        <w:t>v</w:t>
      </w:r>
      <w:r>
        <w:rPr>
          <w:rFonts w:ascii="Times New Roman" w:eastAsia="Times New Roman" w:hAnsi="Times New Roman" w:cs="Times New Roman"/>
          <w:b w:val="0"/>
          <w:i w:val="0"/>
          <w:sz w:val="20"/>
        </w:rPr>
        <w:t>arie</w:t>
      </w:r>
      <w:r>
        <w:rPr>
          <w:rFonts w:ascii="Times New Roman" w:eastAsia="Times New Roman" w:hAnsi="Times New Roman" w:cs="Times New Roman"/>
          <w:b w:val="0"/>
          <w:i w:val="0"/>
          <w:sz w:val="20"/>
        </w:rPr>
        <w:t xml:space="preserve">ty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f </w:t>
      </w:r>
      <w:r>
        <w:rPr>
          <w:rFonts w:ascii="Times New Roman" w:eastAsia="Times New Roman" w:hAnsi="Times New Roman" w:cs="Times New Roman"/>
          <w:b w:val="0"/>
          <w:i w:val="0"/>
          <w:sz w:val="20"/>
        </w:rPr>
        <w:t>new</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w:t>
      </w:r>
      <w:r>
        <w:rPr>
          <w:rFonts w:ascii="Times New Roman" w:eastAsia="Times New Roman" w:hAnsi="Times New Roman" w:cs="Times New Roman"/>
          <w:b w:val="0"/>
          <w:i w:val="0"/>
          <w:sz w:val="20"/>
        </w:rPr>
        <w:t>ar</w:t>
      </w:r>
      <w:r>
        <w:rPr>
          <w:rFonts w:ascii="Times New Roman" w:eastAsia="Times New Roman" w:hAnsi="Times New Roman" w:cs="Times New Roman"/>
          <w:b w:val="0"/>
          <w:i w:val="0"/>
          <w:sz w:val="20"/>
        </w:rPr>
        <w:t>i</w:t>
      </w:r>
      <w:r>
        <w:rPr>
          <w:rFonts w:ascii="Times New Roman" w:eastAsia="Times New Roman" w:hAnsi="Times New Roman" w:cs="Times New Roman"/>
          <w:b w:val="0"/>
          <w:i w:val="0"/>
          <w:sz w:val="20"/>
        </w:rPr>
        <w:t xml:space="preserve">ffs </w:t>
      </w:r>
      <w:r>
        <w:rPr>
          <w:rFonts w:ascii="Times New Roman" w:eastAsia="Times New Roman" w:hAnsi="Times New Roman" w:cs="Times New Roman"/>
          <w:b w:val="0"/>
          <w:i w:val="0"/>
          <w:sz w:val="20"/>
        </w:rPr>
        <w:t>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imports for other countries.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 response, a number of those impacted or potentially impacted countries have announced and/or imposed retal</w:t>
      </w:r>
      <w:r>
        <w:rPr>
          <w:rFonts w:ascii="Times New Roman" w:eastAsia="Times New Roman" w:hAnsi="Times New Roman" w:cs="Times New Roman"/>
          <w:b w:val="0"/>
          <w:i w:val="0"/>
          <w:sz w:val="20"/>
        </w:rPr>
        <w:t>iatory</w:t>
      </w:r>
      <w:r>
        <w:rPr>
          <w:rFonts w:ascii="Times New Roman" w:eastAsia="Times New Roman" w:hAnsi="Times New Roman" w:cs="Times New Roman"/>
          <w:b w:val="0"/>
          <w:i w:val="0"/>
          <w:sz w:val="20"/>
        </w:rPr>
        <w:t xml:space="preserve"> ta</w:t>
      </w:r>
      <w:r>
        <w:rPr>
          <w:rFonts w:ascii="Times New Roman" w:eastAsia="Times New Roman" w:hAnsi="Times New Roman" w:cs="Times New Roman"/>
          <w:b w:val="0"/>
          <w:i w:val="0"/>
          <w:sz w:val="20"/>
        </w:rPr>
        <w:t>riffs</w:t>
      </w:r>
      <w:r>
        <w:rPr>
          <w:rFonts w:ascii="Times New Roman" w:eastAsia="Times New Roman" w:hAnsi="Times New Roman" w:cs="Times New Roman"/>
          <w:b w:val="0"/>
          <w:i w:val="0"/>
          <w:sz w:val="20"/>
        </w:rPr>
        <w:t xml:space="preserve"> on United States imports</w:t>
      </w:r>
      <w:r>
        <w:rPr>
          <w:rFonts w:ascii="Times New Roman" w:eastAsia="Times New Roman" w:hAnsi="Times New Roman" w:cs="Times New Roman"/>
          <w:b w:val="0"/>
          <w:i w:val="0"/>
          <w:sz w:val="20"/>
        </w:rPr>
        <w:t>. This situation is ongoing and remains fluid.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These actions impacted our results of operations and profitability during the current fiscal year, particularly the bilateral United States and Chinese tariffs. Absent a de-escalation in the current trade wars, particularly the trade war between the United States and China, the tariffs are expected to negatively impact our business, results of operation, and financial condition, including by increasing our costs and prices, lowering gross margins, adversely impacting revenue, and making our products less competitive with similar products not imported from the United States, which could have a material adverse impact on our business.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Additional new tar</w:t>
      </w:r>
      <w:r>
        <w:rPr>
          <w:rFonts w:ascii="Times New Roman" w:eastAsia="Times New Roman" w:hAnsi="Times New Roman" w:cs="Times New Roman"/>
          <w:b w:val="0"/>
          <w:i w:val="0"/>
          <w:sz w:val="20"/>
        </w:rPr>
        <w:t>iffs, trade restrictions</w:t>
      </w:r>
      <w:r>
        <w:rPr>
          <w:rFonts w:ascii="Times New Roman" w:eastAsia="Times New Roman" w:hAnsi="Times New Roman" w:cs="Times New Roman"/>
          <w:b w:val="0"/>
          <w:i w:val="0"/>
          <w:sz w:val="20"/>
        </w:rPr>
        <w:t xml:space="preserve"> or other </w:t>
      </w:r>
      <w:r>
        <w:rPr>
          <w:rFonts w:ascii="Times New Roman" w:eastAsia="Times New Roman" w:hAnsi="Times New Roman" w:cs="Times New Roman"/>
          <w:b w:val="0"/>
          <w:i w:val="0"/>
          <w:sz w:val="20"/>
        </w:rPr>
        <w:t>retaliatory</w:t>
      </w:r>
      <w:r>
        <w:rPr>
          <w:rFonts w:ascii="Times New Roman" w:eastAsia="Times New Roman" w:hAnsi="Times New Roman" w:cs="Times New Roman"/>
          <w:b w:val="0"/>
          <w:i w:val="0"/>
          <w:sz w:val="20"/>
        </w:rPr>
        <w:t xml:space="preserve"> actions aimed at </w:t>
      </w:r>
      <w:r>
        <w:rPr>
          <w:rFonts w:ascii="Times New Roman" w:eastAsia="Times New Roman" w:hAnsi="Times New Roman" w:cs="Times New Roman"/>
          <w:b w:val="0"/>
          <w:i w:val="0"/>
          <w:sz w:val="20"/>
        </w:rPr>
        <w:t>specific industries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s</w:t>
      </w:r>
      <w:r>
        <w:rPr>
          <w:rFonts w:ascii="Times New Roman" w:eastAsia="Times New Roman" w:hAnsi="Times New Roman" w:cs="Times New Roman"/>
          <w:b w:val="0"/>
          <w:i w:val="0"/>
          <w:sz w:val="20"/>
        </w:rPr>
        <w:t>uch as X-ray imaging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products</w:t>
      </w:r>
      <w:r>
        <w:rPr>
          <w:rFonts w:ascii="Times New Roman" w:eastAsia="Times New Roman" w:hAnsi="Times New Roman" w:cs="Times New Roman"/>
          <w:b w:val="0"/>
          <w:i w:val="0"/>
          <w:sz w:val="20"/>
        </w:rPr>
        <w:t xml:space="preserve">, could also materially </w:t>
      </w:r>
      <w:r>
        <w:rPr>
          <w:rFonts w:ascii="Times New Roman" w:eastAsia="Times New Roman" w:hAnsi="Times New Roman" w:cs="Times New Roman"/>
          <w:b w:val="0"/>
          <w:i w:val="0"/>
          <w:sz w:val="20"/>
        </w:rPr>
        <w:t>impact our business.</w:t>
      </w:r>
      <w:r>
        <w:rPr>
          <w:rFonts w:ascii="Times New Roman" w:eastAsia="Times New Roman" w:hAnsi="Times New Roman" w:cs="Times New Roman"/>
          <w:b w:val="0"/>
          <w:i w:val="0"/>
          <w:sz w:val="20"/>
        </w:rPr>
        <w:t xml:space="preserve"> Furthermore, </w:t>
      </w:r>
      <w:r>
        <w:rPr>
          <w:rFonts w:ascii="Times New Roman" w:eastAsia="Times New Roman" w:hAnsi="Times New Roman" w:cs="Times New Roman"/>
          <w:b w:val="0"/>
          <w:i w:val="0"/>
          <w:sz w:val="20"/>
        </w:rPr>
        <w:t xml:space="preserve">if international </w:t>
      </w:r>
      <w:r>
        <w:rPr>
          <w:rFonts w:ascii="Times New Roman" w:eastAsia="Times New Roman" w:hAnsi="Times New Roman" w:cs="Times New Roman"/>
          <w:b w:val="0"/>
          <w:i w:val="0"/>
          <w:sz w:val="20"/>
        </w:rPr>
        <w:t>customers'</w:t>
      </w:r>
      <w:r>
        <w:rPr>
          <w:rFonts w:ascii="Times New Roman" w:eastAsia="Times New Roman" w:hAnsi="Times New Roman" w:cs="Times New Roman"/>
          <w:b w:val="0"/>
          <w:i w:val="0"/>
          <w:sz w:val="20"/>
        </w:rPr>
        <w:t xml:space="preserve"> negative perceptions of the actions of the </w:t>
      </w:r>
      <w:r>
        <w:rPr>
          <w:rFonts w:ascii="Times New Roman" w:eastAsia="Times New Roman" w:hAnsi="Times New Roman" w:cs="Times New Roman"/>
          <w:b w:val="0"/>
          <w:i w:val="0"/>
          <w:sz w:val="20"/>
        </w:rPr>
        <w:t>United States Administration</w:t>
      </w:r>
      <w:r>
        <w:rPr>
          <w:rFonts w:ascii="Times New Roman" w:eastAsia="Times New Roman" w:hAnsi="Times New Roman" w:cs="Times New Roman"/>
          <w:b w:val="0"/>
          <w:i w:val="0"/>
          <w:sz w:val="20"/>
        </w:rPr>
        <w:t xml:space="preserve"> influence th</w:t>
      </w:r>
      <w:r>
        <w:rPr>
          <w:rFonts w:ascii="Times New Roman" w:eastAsia="Times New Roman" w:hAnsi="Times New Roman" w:cs="Times New Roman"/>
          <w:b w:val="0"/>
          <w:i w:val="0"/>
          <w:sz w:val="20"/>
        </w:rPr>
        <w:t>eir buying decisions, our business and results of operations could be neg</w:t>
      </w:r>
      <w:r>
        <w:rPr>
          <w:rFonts w:ascii="Times New Roman" w:eastAsia="Times New Roman" w:hAnsi="Times New Roman" w:cs="Times New Roman"/>
          <w:b w:val="0"/>
          <w:i w:val="0"/>
          <w:sz w:val="20"/>
        </w:rPr>
        <w:t>at</w:t>
      </w:r>
      <w:r>
        <w:rPr>
          <w:rFonts w:ascii="Times New Roman" w:eastAsia="Times New Roman" w:hAnsi="Times New Roman" w:cs="Times New Roman"/>
          <w:b w:val="0"/>
          <w:i w:val="0"/>
          <w:sz w:val="20"/>
        </w:rPr>
        <w:t>ively impacted.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the past, both the governments of the United States and China have granted tariff exclusions that temporarily eliminate certain duties payable for specific commodities, providing partial relief from such tariffs, but with certain exceptions, they must be solicited and approved. There is no guarantee that exclusions will be granted or that existing exclusions will be extended by either government. In addition, we cannot provide any guarantee that we will be able to effectively implement other tariff mitigation measures, such as free trade zones, bonded mechanisms, or drawback programs.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In addition to tariffs, China’s stated policy of reducing its dependence on foreign manufacturers and technology companies may result in reduced demand for our products and our customers' products in China, which could have a material adverse impact on our business, results of operations and financial position. There are risks that the Chinese government may, among other things, require the use of local suppliers, compel companies that do business in China to partner with local companies to conduct business, or provide incentives to government-backed local customers to buy from local suppliers rather than companies like ours, all of which could adversely impact our business, results of operations and financial position. As an example, </w:t>
      </w:r>
      <w:r>
        <w:rPr>
          <w:rFonts w:ascii="Times New Roman" w:eastAsia="Times New Roman" w:hAnsi="Times New Roman" w:cs="Times New Roman"/>
          <w:b w:val="0"/>
          <w:i w:val="0"/>
          <w:sz w:val="20"/>
        </w:rPr>
        <w:t>in April 2025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the China Ministry of Commerce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initiated two investigations related to medical products imported into China</w:t>
      </w:r>
      <w:r>
        <w:rPr>
          <w:rFonts w:ascii="Times New Roman" w:eastAsia="Times New Roman" w:hAnsi="Times New Roman" w:cs="Times New Roman"/>
          <w:b w:val="0"/>
          <w:i w:val="0"/>
          <w:sz w:val="20"/>
        </w:rPr>
        <w:t xml:space="preserve">. One investigation relates to the impact of imports of X-ray tubes on the domestic industry and its competitiveness, and another relates to imports into China of certain medical CT X-ray tubes and tube inserts for CT devices (collectively “CT Tubes and Inserts”) originating from the United States and India. We produce CT Tubes and Inserts in the United States and export them to China, but do not produce CT Tubes and Inserts in India. Total sales of medical X-ray tubes we imported into China represented approximately </w:t>
      </w:r>
      <w:r>
        <w:rPr>
          <w:rFonts w:ascii="Times New Roman" w:eastAsia="Times New Roman" w:hAnsi="Times New Roman" w:cs="Times New Roman"/>
          <w:b w:val="0"/>
          <w:i w:val="0"/>
          <w:color w:val="000000"/>
          <w:sz w:val="20"/>
          <w:u w:val="none"/>
        </w:rPr>
        <w:t>10%</w:t>
      </w:r>
      <w:r>
        <w:rPr>
          <w:rFonts w:ascii="Times New Roman" w:eastAsia="Times New Roman" w:hAnsi="Times New Roman" w:cs="Times New Roman"/>
          <w:b w:val="0"/>
          <w:i w:val="0"/>
          <w:sz w:val="20"/>
        </w:rPr>
        <w:t xml:space="preserve"> of our total revenue in fiscal year 2024.</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Currently, MOFCOM has paused both of</w:t>
      </w:r>
      <w:r>
        <w:rPr>
          <w:rFonts w:ascii="Times New Roman" w:eastAsia="Times New Roman" w:hAnsi="Times New Roman" w:cs="Times New Roman"/>
          <w:b w:val="0"/>
          <w:i w:val="0"/>
          <w:sz w:val="20"/>
        </w:rPr>
        <w:t xml:space="preserve"> the MOFCOM Investigations. If recommenced, </w:t>
      </w:r>
      <w:r>
        <w:rPr>
          <w:rFonts w:ascii="Times New Roman" w:eastAsia="Times New Roman" w:hAnsi="Times New Roman" w:cs="Times New Roman"/>
          <w:b w:val="0"/>
          <w:i w:val="0"/>
          <w:sz w:val="20"/>
        </w:rPr>
        <w:t>w</w:t>
      </w:r>
      <w:r>
        <w:rPr>
          <w:rFonts w:ascii="Times New Roman" w:eastAsia="Times New Roman" w:hAnsi="Times New Roman" w:cs="Times New Roman"/>
          <w:b w:val="0"/>
          <w:i w:val="0"/>
          <w:sz w:val="20"/>
        </w:rPr>
        <w:t>e anticipate that the MOFCOM Investigations may take approximately one year</w:t>
      </w:r>
      <w:r>
        <w:rPr>
          <w:rFonts w:ascii="Times New Roman" w:eastAsia="Times New Roman" w:hAnsi="Times New Roman" w:cs="Times New Roman"/>
          <w:b w:val="0"/>
          <w:i w:val="0"/>
          <w:sz w:val="20"/>
        </w:rPr>
        <w:t xml:space="preserve"> from commencement</w:t>
      </w:r>
      <w:r>
        <w:rPr>
          <w:rFonts w:ascii="Times New Roman" w:eastAsia="Times New Roman" w:hAnsi="Times New Roman" w:cs="Times New Roman"/>
          <w:b w:val="0"/>
          <w:i w:val="0"/>
          <w:sz w:val="20"/>
        </w:rPr>
        <w:t xml:space="preserve"> to resolve. If, as a result of the outcome of the MOFCOM Investigations, we are required to increase our prices or tariffs are imposed on the CT Tubes and Inserts we export to China, our prices may not be competitive with local and other manufacturers, which could negatively impact our ability to compete in China and negatively impact our business, results of operations and financial condition.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Any of the foregoing factors could require us to reconsider our current operating model, including whether we can continue to operate in specifically impacted locations, or if we need to relocate or otherwise restructure existing operations. Such changes may require us to invest significant additional capital we had anticipated using for other purposes such as expanding existing operations, entering new markets, or paying down debt. Diversion of these funds from their anticipated uses could adversely impact our business, results of operations, financial position, and our ability to pay down or restructure our existing debt.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Increasing tensions between countries, such as China and Taiwan, as well as local conflicts including the Ukraine-Russia</w:t>
      </w:r>
      <w:r>
        <w:rPr>
          <w:rFonts w:ascii="Times New Roman" w:eastAsia="Times New Roman" w:hAnsi="Times New Roman" w:cs="Times New Roman"/>
          <w:b w:val="0"/>
          <w:i w:val="0"/>
          <w:sz w:val="20"/>
        </w:rPr>
        <w:t xml:space="preserve"> and Israel-Iran</w:t>
      </w:r>
      <w:r>
        <w:rPr>
          <w:rFonts w:ascii="Times New Roman" w:eastAsia="Times New Roman" w:hAnsi="Times New Roman" w:cs="Times New Roman"/>
          <w:b w:val="0"/>
          <w:i w:val="0"/>
          <w:sz w:val="20"/>
        </w:rPr>
        <w:t xml:space="preserve"> war</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may lead the United States and/or other countries to impose new tariffs and sanctions or expand existing tariffs and sanctions, enact boycotts and embargoes, and otherwise seek to limit or stop the flow of goods to or from involved countries. In the past, such actions both in China and Russia, have caused, are causing, and could in the future cause, significant disruptions in the regions and industries we serve and in our supply chain, as well as decrease demand from customers for the ultimate products using our solutions and materially harm our business, financial condition, and result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of operation</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Customer-driven changes in order forecasts is a frequent occurrence that has created and continues to create challenges for us in accurately predicting the demand or delivery schedules for our products.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End-user product demand, economic uncertainties, the impact of pandemic diseases, natural disasters, armed conflict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geopolitical tensions, possible legislative, tariff, and trade policy reforms and reactionary retaliatory responses to such reforms, f</w:t>
      </w:r>
      <w:r>
        <w:rPr>
          <w:rFonts w:ascii="Times New Roman" w:eastAsia="Times New Roman" w:hAnsi="Times New Roman" w:cs="Times New Roman"/>
          <w:b w:val="0"/>
          <w:i w:val="0"/>
          <w:sz w:val="20"/>
        </w:rPr>
        <w:t>or example, the tariffs announced by the United States</w:t>
      </w:r>
      <w:r>
        <w:rPr>
          <w:rFonts w:ascii="Times New Roman" w:eastAsia="Times New Roman" w:hAnsi="Times New Roman" w:cs="Times New Roman"/>
          <w:b w:val="0"/>
          <w:i w:val="0"/>
          <w:sz w:val="20"/>
        </w:rPr>
        <w:t xml:space="preserve"> this calendar year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and the retaliatory actions announced by a number of countries in response</w:t>
      </w:r>
      <w:r>
        <w:rPr>
          <w:rFonts w:ascii="Times New Roman" w:eastAsia="Times New Roman" w:hAnsi="Times New Roman" w:cs="Times New Roman"/>
          <w:b w:val="0"/>
          <w:i w:val="0"/>
          <w:sz w:val="20"/>
        </w:rPr>
        <w:t>, potential social unrest and uncertainty resulting therefrom, government investigations, for example, the MOFCOM Investigations, and before that, the Chinese government initiated anti-corruption investigations related to China's healthcare industry</w:t>
      </w:r>
      <w:r>
        <w:rPr>
          <w:rFonts w:ascii="Times New Roman" w:eastAsia="Times New Roman" w:hAnsi="Times New Roman" w:cs="Times New Roman"/>
          <w:b w:val="0"/>
          <w:i w:val="0"/>
          <w:sz w:val="20"/>
        </w:rPr>
        <w:t>, and other matters beyond our control, make it difficult for our customers to accurately forecast and plan future business activities, which makes it difficult for us to accurately predict demand or delivery schedules for our products. Because the manufacture of our products requires some lead-time, changes in customer purchasing forecasts have previously resulted in excess inventory and slowdowns in sales, which are likely to occur again in the future. Changes to customer forecasts can occur on short notice, as our customers face inherent competitive issues, new product introduction delays, and regulatory risks. Our agreements for imaging components contain purchasing estimates that are typically based on our customers’ forward-looking forecasts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we may not be able to accurately forecast. Reductions in purchasing patterns have in the past, and may in the future, materially and adversely affect our operating results.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0"/>
        </w:rPr>
        <w:t>We compete in highly competitive industries, and we are subject to pricing pressures and other factors that have in the past and may in the future result in margin erosion and loss of customers.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compete in industries characterized by rapidly evolving technology, intense competition and pricing pressure. We often compete with companies that have greater financial, marketing and other resources than us. Some of the major diagnostic imaging systems companies, which are the primary OEM customers for our X-ray imaging components, also manufacture X-ray imaging components, including X-ray tubes and flat panel detectors, for use in their own imaging systems products. We have experienced, and may in the future experience, decreased sales of our products to these customers if they manufacture a greater percentage of their components in-house or purchase components from external sources other than us, which has had and may in the future have an adverse effect on our business and results of operations. We have in the past made price and other concessions to maintain existing customers and attract new customers, and may have to make additional price and other concessions in the future.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addition, we compete against other stand-alone, independent X-ray tube manufacturers for both the OEM business of major diagnostic imaging equipment manufacturers and the independent servicing business for X-ray tubes. The flat panel detectors industry is also very competitive, and we face intense competition from over a dozen smaller competitors. In our Industrial business, we also compete with other OEM suppliers primarily outside of the United States. Some of our competitors outside of the United States may have resources and support from their governments that we do not, such as preferences for local manufacturers, and may not be subject to the same tariffs, trade policies, trade compliance regulations and government investigations as us.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competitors are not all subject to the same standards, regulatory and/or other legal requirements to which we are subject and, therefore, they could have a competitive advantage in developing, manufacturing, and marketing products and services. Any inability to develop, gain regulatory approval for, and supply commercial quantities of competitive products to existing and potential customers as quickly and effectively as our competitors could limit acceptance of our products and negatively and materially affect our pricing, sales, revenues, market share, and gross margins and our ability to maintain or increase our operating margins.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Our success depends on meeting our customers' needs and demands.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To be successful, we must anticipate our customers’ needs and demands, as well as potential shifts in preferences. If we are unable to anticipate these needs and demands, or the mix of products requested by our customers changes from what we expect, our revenue, margins, and financial results could be adversely affected. When the U.S. Dollar is strong compared to the operating currencies of our international customers, our ability to meet such customers’ pricing expectations is particularly challenging and may result in erosion of revenues, product margin, and/or market share or other concessions on business terms.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addition, certain costs, including installation and warranty costs, associated with new products have been, and may in the future be proportionately greater than the costs associated with existing products and have or may therefore disproportionately, materially, and adversely affect our gross and operating margins. We may also experience lower margins due to increased commodities prices, and inadequate transfer pricing favoring sales to third parties over internal sales.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disruptions, or inventory write-downs. Further, using aging production equipment might hamper our capacity to innovate to meet customers’ needs and demands and stay competitive. Failure to develop and adopt artificial intelligence ("AI") technology could also hinder our competitiveness and growth potential. We may also experience challenges in developing and implementing effective product and sales strategies, leading to missed opportunities and customer dissatisfaction.</w:t>
      </w:r>
    </w:p>
    <w:p>
      <w:pPr>
        <w:keepNext w:val="0"/>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Our success depends on the successful development, introduction, and commercialization of new generations of products and enhancements to or simplifications of existing product lines.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operate in business segments characterized by rapid change and technological innovation. Our customers use our products in their medical diagnostic, security, and industrial imaging systems, and we must continually introduce new products at competitive prices while also improving existing products with higher quality, lower costs, and increased features. We and our joint ventures have in the past spent, and in the future may need to spend, more time and money than we expect to develop, market, and introduce new products, product enhancements, and technologies. Even if we succeed in introducing new products, enhancements, or technologies as soon as expected, potential customers may not accept or purchase these new products, enhancements, or technologies, and we may not be able to recover all or a meaningful part of our investment. Once introduced, new products may materially and adversely impact sales of our existing products or make them less desirable or even obsolete, which could materially and adversely impact our revenues and operating results.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Furthermore, we may not be able to successfully develop, manufacture, or introduce new products or enhancements to existing products, the roll-out of which involves compliance with complex quality assurance processes, including the Quality System Regulation (“QSR”)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results.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More than half of our revenue is currently generated from customers located outside the United States, and is subject to global, regional, and country-specific economic instability, shifting political environments, changing tax treatment, tariffs, trade wars and other risks associated with international manufacturing, operations, and sales.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Revenues generated from customers located outside the United States accounted for approximately </w:t>
      </w:r>
      <w:r>
        <w:rPr>
          <w:rFonts w:ascii="Times New Roman" w:eastAsia="Times New Roman" w:hAnsi="Times New Roman" w:cs="Times New Roman"/>
          <w:b w:val="0"/>
          <w:i w:val="0"/>
          <w:color w:val="000000"/>
          <w:sz w:val="20"/>
          <w:u w:val="none"/>
        </w:rPr>
        <w:t>69%</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67%</w:t>
      </w:r>
      <w:r>
        <w:rPr>
          <w:rFonts w:ascii="Times New Roman" w:eastAsia="Times New Roman" w:hAnsi="Times New Roman" w:cs="Times New Roman"/>
          <w:b w:val="0"/>
          <w:i w:val="0"/>
          <w:sz w:val="20"/>
        </w:rPr>
        <w:t xml:space="preserve"> of our total revenues for the </w:t>
      </w:r>
      <w:r>
        <w:rPr>
          <w:rFonts w:ascii="Times New Roman" w:eastAsia="Times New Roman" w:hAnsi="Times New Roman" w:cs="Times New Roman"/>
          <w:b w:val="0"/>
          <w:i w:val="0"/>
          <w:color w:val="000000"/>
          <w:sz w:val="20"/>
          <w:u w:val="none"/>
        </w:rPr>
        <w:t>three months ended July 4, 2025</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sz w:val="20"/>
        </w:rPr>
        <w:t>,</w:t>
      </w:r>
      <w:r>
        <w:rPr>
          <w:rFonts w:ascii="Times New Roman" w:eastAsia="Times New Roman" w:hAnsi="Times New Roman" w:cs="Times New Roman"/>
          <w:b w:val="0"/>
          <w:i w:val="0"/>
          <w:color w:val="000000"/>
          <w:sz w:val="20"/>
          <w:u w:val="none"/>
        </w:rPr>
        <w:t xml:space="preserve"> respectively, and approximately </w:t>
      </w:r>
      <w:r>
        <w:rPr>
          <w:rFonts w:ascii="Times New Roman" w:eastAsia="Times New Roman" w:hAnsi="Times New Roman" w:cs="Times New Roman"/>
          <w:b w:val="0"/>
          <w:i w:val="0"/>
          <w:color w:val="000000"/>
          <w:sz w:val="20"/>
          <w:u w:val="none"/>
        </w:rPr>
        <w:t>69%</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and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68%</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 xml:space="preserve">of our total revenues for </w:t>
      </w:r>
      <w:r>
        <w:rPr>
          <w:rFonts w:ascii="Times New Roman" w:eastAsia="Times New Roman" w:hAnsi="Times New Roman" w:cs="Times New Roman"/>
          <w:b w:val="0"/>
          <w:i w:val="0"/>
          <w:color w:val="000000"/>
          <w:sz w:val="20"/>
          <w:u w:val="none"/>
        </w:rPr>
        <w:t xml:space="preserve">the </w:t>
      </w:r>
      <w:r>
        <w:rPr>
          <w:rFonts w:ascii="Times New Roman" w:eastAsia="Times New Roman" w:hAnsi="Times New Roman" w:cs="Times New Roman"/>
          <w:b w:val="0"/>
          <w:i w:val="0"/>
          <w:color w:val="000000"/>
          <w:sz w:val="20"/>
          <w:u w:val="none"/>
        </w:rPr>
        <w:t>nine months ended July 4, 2025</w:t>
      </w:r>
      <w:r>
        <w:rPr>
          <w:rFonts w:ascii="Times New Roman" w:eastAsia="Times New Roman" w:hAnsi="Times New Roman" w:cs="Times New Roman"/>
          <w:b w:val="0"/>
          <w:i w:val="0"/>
          <w:color w:val="000000"/>
          <w:sz w:val="20"/>
          <w:u w:val="none"/>
        </w:rPr>
        <w:t xml:space="preserve"> and </w:t>
      </w:r>
      <w:r>
        <w:rPr>
          <w:rFonts w:ascii="Times New Roman" w:eastAsia="Times New Roman" w:hAnsi="Times New Roman" w:cs="Times New Roman"/>
          <w:b w:val="0"/>
          <w:i w:val="0"/>
          <w:color w:val="000000"/>
          <w:sz w:val="20"/>
          <w:u w:val="none"/>
        </w:rPr>
        <w:t>June 28, 2024</w:t>
      </w:r>
      <w:r>
        <w:rPr>
          <w:rFonts w:ascii="Times New Roman" w:eastAsia="Times New Roman" w:hAnsi="Times New Roman" w:cs="Times New Roman"/>
          <w:b w:val="0"/>
          <w:i w:val="0"/>
          <w:color w:val="000000"/>
          <w:sz w:val="20"/>
          <w:u w:val="none"/>
        </w:rPr>
        <w:t>, respectively</w:t>
      </w:r>
      <w:r>
        <w:rPr>
          <w:rFonts w:ascii="Times New Roman" w:eastAsia="Times New Roman" w:hAnsi="Times New Roman" w:cs="Times New Roman"/>
          <w:b w:val="0"/>
          <w:i w:val="0"/>
          <w:sz w:val="20"/>
        </w:rPr>
        <w:t>. We intend to continue to expand our presence internationally and expect to expend significant resources in doing so. Our results have in the past, are currently, and could in the future be impacted by a variety of factors, including:</w:t>
      </w:r>
    </w:p>
    <w:p>
      <w:pPr>
        <w:keepNext w:val="0"/>
        <w:keepLines/>
        <w:pageBreakBefore w:val="0"/>
        <w:widowControl w:val="0"/>
        <w:numPr>
          <w:ilvl w:val="0"/>
          <w:numId w:val="35"/>
        </w:numPr>
        <w:spacing w:before="12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governmental imposition of additional taxes, tariffs, global economic sanctions programs, or other restrictions on foreign trade, and responsive retaliatory actions from impacted countries, </w:t>
      </w:r>
      <w:r>
        <w:rPr>
          <w:rFonts w:ascii="Times New Roman" w:eastAsia="Times New Roman" w:hAnsi="Times New Roman" w:cs="Times New Roman"/>
          <w:b w:val="0"/>
          <w:i w:val="0"/>
          <w:sz w:val="20"/>
        </w:rPr>
        <w:t xml:space="preserve">including, </w:t>
      </w:r>
      <w:r>
        <w:rPr>
          <w:rFonts w:ascii="Times New Roman" w:eastAsia="Times New Roman" w:hAnsi="Times New Roman" w:cs="Times New Roman"/>
          <w:b w:val="0"/>
          <w:i w:val="0"/>
          <w:sz w:val="20"/>
        </w:rPr>
        <w:t>for example</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the current trade war between the United States and China, and</w:t>
      </w:r>
      <w:r>
        <w:rPr>
          <w:rFonts w:ascii="Times New Roman" w:eastAsia="Times New Roman" w:hAnsi="Times New Roman" w:cs="Times New Roman"/>
          <w:b w:val="0"/>
          <w:i w:val="0"/>
          <w:color w:val="000000"/>
          <w:sz w:val="20"/>
          <w:u w:val="none"/>
        </w:rPr>
        <w:t xml:space="preserve"> </w:t>
      </w:r>
      <w:r>
        <w:rPr>
          <w:rFonts w:ascii="Times New Roman" w:eastAsia="Times New Roman" w:hAnsi="Times New Roman" w:cs="Times New Roman"/>
          <w:b w:val="0"/>
          <w:i w:val="0"/>
          <w:color w:val="000000"/>
          <w:sz w:val="20"/>
          <w:u w:val="none"/>
        </w:rPr>
        <w:t>the MOFCOM Investigations</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3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political and economic instability, including the possibility of civil unrest, terrorism, mass violence, armed conflict, or pandemic diseases, which may among other things, impact our operations and business access;</w:t>
      </w:r>
    </w:p>
    <w:p>
      <w:pPr>
        <w:keepNext w:val="0"/>
        <w:keepLines w:val="0"/>
        <w:pageBreakBefore w:val="0"/>
        <w:widowControl/>
        <w:numPr>
          <w:ilvl w:val="0"/>
          <w:numId w:val="3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currency fluctuations, and in particular the relative strength of the U.S. Dollar, which is our functional and reporting currency;</w:t>
      </w:r>
    </w:p>
    <w:p>
      <w:pPr>
        <w:keepNext w:val="0"/>
        <w:keepLines w:val="0"/>
        <w:pageBreakBefore w:val="0"/>
        <w:widowControl/>
        <w:numPr>
          <w:ilvl w:val="0"/>
          <w:numId w:val="3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difficulties in staffing and managing employee relations in foreign operations, including in foreign joint ventures, particularly in attracting and retaining personnel qualified to design, test, sell and support our products;</w:t>
      </w:r>
    </w:p>
    <w:p>
      <w:pPr>
        <w:keepNext w:val="0"/>
        <w:keepLines w:val="0"/>
        <w:pageBreakBefore w:val="0"/>
        <w:widowControl/>
        <w:numPr>
          <w:ilvl w:val="0"/>
          <w:numId w:val="39"/>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difficulties in coordinating our operations globally and in maintaining uniform standards, controls, procedures, and policies across our operations;</w:t>
      </w:r>
    </w:p>
    <w:p>
      <w:pPr>
        <w:keepNext w:val="0"/>
        <w:keepLines w:val="0"/>
        <w:pageBreakBefore w:val="0"/>
        <w:widowControl/>
        <w:numPr>
          <w:ilvl w:val="0"/>
          <w:numId w:val="4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longer payment cycles associated with many customers located outside the United States;</w:t>
      </w:r>
    </w:p>
    <w:p>
      <w:pPr>
        <w:keepNext w:val="0"/>
        <w:keepLines w:val="0"/>
        <w:pageBreakBefore w:val="0"/>
        <w:widowControl/>
        <w:numPr>
          <w:ilvl w:val="0"/>
          <w:numId w:val="41"/>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difficulties in interpreting or enforcing agreements and collecting receivables through many foreign countries’ legal systems;</w:t>
      </w:r>
    </w:p>
    <w:p>
      <w:pPr>
        <w:keepNext w:val="0"/>
        <w:keepLines w:val="0"/>
        <w:pageBreakBefore w:val="0"/>
        <w:widowControl/>
        <w:numPr>
          <w:ilvl w:val="0"/>
          <w:numId w:val="42"/>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imposition of burdensome governmental regulations, including changing laws and regulations with respect to collecting and maintaining personally identifiable data; and</w:t>
      </w:r>
    </w:p>
    <w:p>
      <w:pPr>
        <w:keepNext w:val="0"/>
        <w:keepLines w:val="0"/>
        <w:pageBreakBefore w:val="0"/>
        <w:widowControl/>
        <w:numPr>
          <w:ilvl w:val="0"/>
          <w:numId w:val="43"/>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compliance with import/export laws and requirements.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Some of our locations expose us to higher security risks, which could result in both harm to our employees and contractors or substantial costs. Some of our services are performed in or adjacent to high-risk locations where the country or location and surrounding area experience political, social, or economic turmoil, war or civil unrest, or high levels of criminal or terrorist activities. In those locations where we have employees or operations, we may incur substantial costs to maintain the safety of our personnel, and we may suffer the loss of employees and contractors, which could harm our business, reputation, and operating results.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We may be unable to complete future acquisitions or joint ventures or realize expected benefits from acquisitions of or investments in new businesses and joint ventures, products, or technologies, which could harm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ability to identify and take advantage of attractive acquisitions or other business development opportunities (including through joint ventures) is an important component in implementing our overall business strategy. Such transactions involve a number of risks, including the following: </w:t>
      </w:r>
    </w:p>
    <w:p>
      <w:pPr>
        <w:keepNext w:val="0"/>
        <w:keepLines/>
        <w:pageBreakBefore w:val="0"/>
        <w:widowControl w:val="0"/>
        <w:numPr>
          <w:ilvl w:val="0"/>
          <w:numId w:val="44"/>
        </w:numPr>
        <w:spacing w:before="12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may not be able to identify suitable candidates or successfully complete or finance identified acquisitions;</w:t>
      </w:r>
    </w:p>
    <w:p>
      <w:pPr>
        <w:keepNext w:val="0"/>
        <w:keepLines/>
        <w:pageBreakBefore w:val="0"/>
        <w:widowControl w:val="0"/>
        <w:numPr>
          <w:ilvl w:val="0"/>
          <w:numId w:val="45"/>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may incur substantial costs, including advisory fees and diversion of management attention, in evaluating a potential transaction;</w:t>
      </w:r>
    </w:p>
    <w:p>
      <w:pPr>
        <w:keepNext w:val="0"/>
        <w:keepLines w:val="0"/>
        <w:pageBreakBefore w:val="0"/>
        <w:widowControl/>
        <w:numPr>
          <w:ilvl w:val="0"/>
          <w:numId w:val="4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may be unable to achieve the anticipated benefits from the transaction, including a return on our investment;</w:t>
      </w:r>
    </w:p>
    <w:p>
      <w:pPr>
        <w:keepNext w:val="0"/>
        <w:keepLines w:val="0"/>
        <w:pageBreakBefore w:val="0"/>
        <w:widowControl/>
        <w:numPr>
          <w:ilvl w:val="0"/>
          <w:numId w:val="4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may have difficulty integrating organizations, products, technologies, or employees of an acquired business into our operations and may have difficulty retaining the key personnel of the acquired business;</w:t>
      </w:r>
    </w:p>
    <w:p>
      <w:pPr>
        <w:keepNext w:val="0"/>
        <w:keepLines w:val="0"/>
        <w:pageBreakBefore w:val="0"/>
        <w:widowControl/>
        <w:numPr>
          <w:ilvl w:val="0"/>
          <w:numId w:val="4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acquisitions, investments, and joint ventures could result in increased risks, including from potential litigation;</w:t>
      </w:r>
    </w:p>
    <w:p>
      <w:pPr>
        <w:keepNext w:val="0"/>
        <w:keepLines w:val="0"/>
        <w:pageBreakBefore w:val="0"/>
        <w:widowControl/>
        <w:numPr>
          <w:ilvl w:val="0"/>
          <w:numId w:val="49"/>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may find that we need to restructure or divest acquired businesses or assets of the acquired business; and</w:t>
      </w:r>
    </w:p>
    <w:p>
      <w:pPr>
        <w:keepNext w:val="0"/>
        <w:keepLines w:val="0"/>
        <w:pageBreakBefore w:val="0"/>
        <w:widowControl/>
        <w:numPr>
          <w:ilvl w:val="0"/>
          <w:numId w:val="5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if we fail to achieve the anticipated growth from an acquisition or joint venture, or if we decide to sell assets or a business, we may be required to dispose of a business at a lower price or on less advantageous terms, or to recognize an impairment loss on the write-down of our assets and goodwill.</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participate in joint ventures and other investments in privately held and publicly traded companies. For example, we hold a </w:t>
      </w:r>
      <w:r>
        <w:rPr>
          <w:rFonts w:ascii="Times New Roman" w:eastAsia="Times New Roman" w:hAnsi="Times New Roman" w:cs="Times New Roman"/>
          <w:b w:val="0"/>
          <w:i w:val="0"/>
          <w:color w:val="000000"/>
          <w:sz w:val="20"/>
          <w:u w:val="none"/>
        </w:rPr>
        <w:t>40%</w:t>
      </w:r>
      <w:r>
        <w:rPr>
          <w:rFonts w:ascii="Times New Roman" w:eastAsia="Times New Roman" w:hAnsi="Times New Roman" w:cs="Times New Roman"/>
          <w:b w:val="0"/>
          <w:i w:val="0"/>
          <w:sz w:val="20"/>
        </w:rPr>
        <w:t xml:space="preserve"> ownership interest in dpiX Holding Company LLC, the major supplier of our amorphous silicon-based thin film transistor arrays for flat panels used in our digital image detectors, a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sz w:val="20"/>
        </w:rPr>
        <w:t xml:space="preserve"> interest in VEC Imaging GmbH &amp; Co. KG ("VEC"), a joint venture formed to develop technology for use in X-ray imaging components, a </w:t>
      </w:r>
      <w:r>
        <w:rPr>
          <w:rFonts w:ascii="Times New Roman" w:eastAsia="Times New Roman" w:hAnsi="Times New Roman" w:cs="Times New Roman"/>
          <w:b w:val="0"/>
          <w:i w:val="0"/>
          <w:color w:val="000000"/>
          <w:sz w:val="20"/>
          <w:u w:val="none"/>
        </w:rPr>
        <w:t>75%</w:t>
      </w:r>
      <w:r>
        <w:rPr>
          <w:rFonts w:ascii="Times New Roman" w:eastAsia="Times New Roman" w:hAnsi="Times New Roman" w:cs="Times New Roman"/>
          <w:b w:val="0"/>
          <w:i w:val="0"/>
          <w:sz w:val="20"/>
        </w:rPr>
        <w:t xml:space="preserve"> interest in Varex Imaging Arabia LLC, a joint venture in Saudi Arabia and a minority interest in another X-ray imaging components technology company. These and other investments are subject to risk of loss of investment capital as well as losses associated with contributed or jointly developed intellectual property, or intellectual property developed at or about the same time as these investments. These types of investments are inherently risky, in some instances because customer demand and sales for the technologies or products under development may never materialize, may develop more slowly than expected, or may underperform relative to our expectations. If these companies do not succeed, we could lose or be required to write down some or all of our investment in these companies. As discussed in the risk factor "</w:t>
      </w:r>
      <w:r>
        <w:rPr>
          <w:rFonts w:ascii="Times New Roman" w:eastAsia="Times New Roman" w:hAnsi="Times New Roman" w:cs="Times New Roman"/>
          <w:b w:val="0"/>
          <w:i/>
          <w:sz w:val="20"/>
        </w:rPr>
        <w:t>Legal proceedings may materially and adversely affect our business, results of operations, or cash flows,"</w:t>
      </w:r>
      <w:r>
        <w:rPr>
          <w:rFonts w:ascii="Times New Roman" w:eastAsia="Times New Roman" w:hAnsi="Times New Roman" w:cs="Times New Roman"/>
          <w:b w:val="0"/>
          <w:i w:val="0"/>
          <w:sz w:val="20"/>
        </w:rPr>
        <w:t xml:space="preserve"> we may incur significant time, management resources, and costs to enforce our rights, protect our intellectual property and other assets, address disputes or legal claims that have arisen, are ongoing, or may arise in the future, and/or unwind, dispose of or terminate our arrangements with respect to these joint ventures and/or investments. There is no guarantee that the time and money invested by us in developing these projects, intellectual property, or product or product enhancements, will yield the expected returns on the anticipated timeline or at all.</w:t>
      </w:r>
    </w:p>
    <w:p>
      <w:pPr>
        <w:keepNext/>
        <w:keepLines w:val="0"/>
        <w:pageBreakBefore w:val="0"/>
        <w:widowControl/>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Legal proceedings may materially and adversely affect our business, results of operations, or cash flows.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From time to time, we are a party to or otherwise involved in legal proceedings, claims, government inspections, audits or investigations, and other legal matters, both inside and outside the United States, arising in the ordinary course of our business or otherwise. Such proceedings are often lengthy, subject to significant uncertainty and may be expensive, time consuming, and disruptive to our operations. For these and other reasons, we may choose to settle legal proceedings and claims, regardless of their actual merit. If a legal proceeding were to be ultimately resolved against us, we may be required to pay damages or fines, some of which may be in excess of our insurance coverage, or may require us to change our business practices, which could materially and adversely impact our business, results of operations, or cash flows.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subsidiary Varex Imaging Deutschland AG ("Varex Germany") holds a </w:t>
      </w:r>
      <w:r>
        <w:rPr>
          <w:rFonts w:ascii="Times New Roman" w:eastAsia="Times New Roman" w:hAnsi="Times New Roman" w:cs="Times New Roman"/>
          <w:b w:val="0"/>
          <w:i w:val="0"/>
          <w:color w:val="000000"/>
          <w:sz w:val="20"/>
          <w:u w:val="none"/>
        </w:rPr>
        <w:t>50%</w:t>
      </w:r>
      <w:r>
        <w:rPr>
          <w:rFonts w:ascii="Times New Roman" w:eastAsia="Times New Roman" w:hAnsi="Times New Roman" w:cs="Times New Roman"/>
          <w:b w:val="0"/>
          <w:i w:val="0"/>
          <w:sz w:val="20"/>
        </w:rPr>
        <w:t xml:space="preserve"> interest in VEC. In </w:t>
      </w:r>
      <w:r>
        <w:rPr>
          <w:rFonts w:ascii="Times New Roman" w:eastAsia="Times New Roman" w:hAnsi="Times New Roman" w:cs="Times New Roman"/>
          <w:b w:val="0"/>
          <w:i w:val="0"/>
          <w:color w:val="000000"/>
          <w:sz w:val="20"/>
          <w:u w:val="none"/>
        </w:rPr>
        <w:t>August 2023</w:t>
      </w:r>
      <w:r>
        <w:rPr>
          <w:rFonts w:ascii="Times New Roman" w:eastAsia="Times New Roman" w:hAnsi="Times New Roman" w:cs="Times New Roman"/>
          <w:b w:val="0"/>
          <w:i w:val="0"/>
          <w:sz w:val="20"/>
        </w:rPr>
        <w:t xml:space="preserve">, February 2024, and August 2024, the partners to the VEC joint venture filed judicial proceedings in Germany against one another disputing the validity of shareholder resolutions passed in </w:t>
      </w:r>
      <w:r>
        <w:rPr>
          <w:rFonts w:ascii="Times New Roman" w:eastAsia="Times New Roman" w:hAnsi="Times New Roman" w:cs="Times New Roman"/>
          <w:b w:val="0"/>
          <w:i w:val="0"/>
          <w:color w:val="000000"/>
          <w:sz w:val="20"/>
          <w:u w:val="none"/>
        </w:rPr>
        <w:t>January 2023</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January 2024</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color w:val="000000"/>
          <w:sz w:val="20"/>
          <w:u w:val="none"/>
        </w:rPr>
        <w:t>August 2024</w:t>
      </w:r>
      <w:r>
        <w:rPr>
          <w:rFonts w:ascii="Times New Roman" w:eastAsia="Times New Roman" w:hAnsi="Times New Roman" w:cs="Times New Roman"/>
          <w:b w:val="0"/>
          <w:i w:val="0"/>
          <w:sz w:val="20"/>
        </w:rPr>
        <w:t xml:space="preserve">, respectively. Each party is, in effect, seeking to have the other party’s managing director(s) removed and to exclude the other party from the joint venture. If either party is successful, the prevailing party would be required to purchase the non-prevailing party’s interest in the joint venture for an amount equal to </w:t>
      </w:r>
      <w:r>
        <w:rPr>
          <w:rFonts w:ascii="Times New Roman" w:eastAsia="Times New Roman" w:hAnsi="Times New Roman" w:cs="Times New Roman"/>
          <w:b w:val="0"/>
          <w:i w:val="0"/>
          <w:color w:val="000000"/>
          <w:sz w:val="20"/>
          <w:u w:val="none"/>
        </w:rPr>
        <w:t>75%</w:t>
      </w:r>
      <w:r>
        <w:rPr>
          <w:rFonts w:ascii="Times New Roman" w:eastAsia="Times New Roman" w:hAnsi="Times New Roman" w:cs="Times New Roman"/>
          <w:b w:val="0"/>
          <w:i w:val="0"/>
          <w:sz w:val="20"/>
        </w:rPr>
        <w:t xml:space="preserve"> of the fair market value thereof, which amount is in dispute. In addition, in </w:t>
      </w:r>
      <w:r>
        <w:rPr>
          <w:rFonts w:ascii="Times New Roman" w:eastAsia="Times New Roman" w:hAnsi="Times New Roman" w:cs="Times New Roman"/>
          <w:b w:val="0"/>
          <w:i w:val="0"/>
          <w:color w:val="000000"/>
          <w:sz w:val="20"/>
          <w:u w:val="none"/>
        </w:rPr>
        <w:t>June 2024</w:t>
      </w:r>
      <w:r>
        <w:rPr>
          <w:rFonts w:ascii="Times New Roman" w:eastAsia="Times New Roman" w:hAnsi="Times New Roman" w:cs="Times New Roman"/>
          <w:b w:val="0"/>
          <w:i w:val="0"/>
          <w:sz w:val="20"/>
        </w:rPr>
        <w:t xml:space="preserve">, Varex Germany filed an action in Germany for a negative declaratory judgment and an injunction against business damaging statements made by certain third parties, and in </w:t>
      </w:r>
      <w:r>
        <w:rPr>
          <w:rFonts w:ascii="Times New Roman" w:eastAsia="Times New Roman" w:hAnsi="Times New Roman" w:cs="Times New Roman"/>
          <w:b w:val="0"/>
          <w:i w:val="0"/>
          <w:color w:val="000000"/>
          <w:sz w:val="20"/>
          <w:u w:val="none"/>
        </w:rPr>
        <w:t>August 2024</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October 2024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and subsequently, </w:t>
      </w:r>
      <w:r>
        <w:rPr>
          <w:rFonts w:ascii="Times New Roman" w:eastAsia="Times New Roman" w:hAnsi="Times New Roman" w:cs="Times New Roman"/>
          <w:b w:val="0"/>
          <w:i w:val="0"/>
          <w:sz w:val="20"/>
        </w:rPr>
        <w:t>Varex Germany and Varex Imaging Corporation filed additional lawsuits in Germany and the United States relating to intellectual property matters, breach of contracts and other matters. The October 2024 lawsuit was subsequently voluntarily dismissed while the parties try to negotiate a settlement. These disputes, including any determinations not in Varex Germany’s favor, have diverted, are diverting, and could in the future divert management’s attention, increase our costs, and otherwise adversely impact our business, results of operations, or cash flows.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Our subsidiary Varex Imaging International AG holds a </w:t>
      </w:r>
      <w:r>
        <w:rPr>
          <w:rFonts w:ascii="Times New Roman" w:eastAsia="Times New Roman" w:hAnsi="Times New Roman" w:cs="Times New Roman"/>
          <w:b w:val="0"/>
          <w:i w:val="0"/>
          <w:color w:val="000000"/>
          <w:sz w:val="20"/>
          <w:u w:val="none"/>
        </w:rPr>
        <w:t>75%</w:t>
      </w:r>
      <w:r>
        <w:rPr>
          <w:rFonts w:ascii="Times New Roman" w:eastAsia="Times New Roman" w:hAnsi="Times New Roman" w:cs="Times New Roman"/>
          <w:b w:val="0"/>
          <w:i w:val="0"/>
          <w:sz w:val="20"/>
        </w:rPr>
        <w:t xml:space="preserve"> interest in Varex Imaging Arabia LLC. We currently have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ongoing dispute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with our joint venture partner relative to the operation of the joint venture. T</w:t>
      </w:r>
      <w:r>
        <w:rPr>
          <w:rFonts w:ascii="Times New Roman" w:eastAsia="Times New Roman" w:hAnsi="Times New Roman" w:cs="Times New Roman"/>
          <w:b w:val="0"/>
          <w:i w:val="0"/>
          <w:sz w:val="20"/>
        </w:rPr>
        <w:t>hese</w:t>
      </w:r>
      <w:r>
        <w:rPr>
          <w:rFonts w:ascii="Times New Roman" w:eastAsia="Times New Roman" w:hAnsi="Times New Roman" w:cs="Times New Roman"/>
          <w:b w:val="0"/>
          <w:i w:val="0"/>
          <w:sz w:val="20"/>
        </w:rPr>
        <w:t xml:space="preserve"> dispute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could divert management's time and attention, increase our costs, and otherwise adversely impact our business, results of operations, or cash flows.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As discussed in the risk factor "</w:t>
      </w:r>
      <w:r>
        <w:rPr>
          <w:rFonts w:ascii="Times New Roman" w:eastAsia="Times New Roman" w:hAnsi="Times New Roman" w:cs="Times New Roman"/>
          <w:b w:val="0"/>
          <w:i/>
          <w:sz w:val="20"/>
        </w:rPr>
        <w:t>Our business has in the past been, is currently being, and in the future may be, negatively impacted by changes in import/export regulatory regimes, tariffs, trade wars, and national policies,</w:t>
      </w:r>
      <w:r>
        <w:rPr>
          <w:rFonts w:ascii="Times New Roman" w:eastAsia="Times New Roman" w:hAnsi="Times New Roman" w:cs="Times New Roman"/>
          <w:b w:val="0"/>
          <w:i w:val="0"/>
          <w:sz w:val="20"/>
        </w:rPr>
        <w:t>" MOFCOM</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initiated</w:t>
      </w:r>
      <w:r>
        <w:rPr>
          <w:rFonts w:ascii="Times New Roman" w:eastAsia="Times New Roman" w:hAnsi="Times New Roman" w:cs="Times New Roman"/>
          <w:b w:val="0"/>
          <w:i w:val="0"/>
          <w:sz w:val="20"/>
        </w:rPr>
        <w:t xml:space="preserve"> and then paused</w:t>
      </w:r>
      <w:r>
        <w:rPr>
          <w:rFonts w:ascii="Times New Roman" w:eastAsia="Times New Roman" w:hAnsi="Times New Roman" w:cs="Times New Roman"/>
          <w:b w:val="0"/>
          <w:i w:val="0"/>
          <w:sz w:val="20"/>
        </w:rPr>
        <w:t xml:space="preserve"> two investigations relating to medical products imported into China that include products we import to China.</w:t>
      </w:r>
      <w:r>
        <w:rPr>
          <w:rFonts w:ascii="Times New Roman" w:eastAsia="Times New Roman" w:hAnsi="Times New Roman" w:cs="Times New Roman"/>
          <w:b w:val="0"/>
          <w:i w:val="0"/>
          <w:sz w:val="20"/>
        </w:rPr>
        <w:t xml:space="preserve"> If recommenced, the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outcome of these investigations</w:t>
      </w:r>
      <w:r>
        <w:rPr>
          <w:rFonts w:ascii="Times New Roman" w:eastAsia="Times New Roman" w:hAnsi="Times New Roman" w:cs="Times New Roman"/>
          <w:b w:val="0"/>
          <w:i w:val="0"/>
          <w:sz w:val="20"/>
        </w:rPr>
        <w:t xml:space="preserve"> has the potential to negatively impact</w:t>
      </w:r>
      <w:r>
        <w:rPr>
          <w:rFonts w:ascii="Times New Roman" w:eastAsia="Times New Roman" w:hAnsi="Times New Roman" w:cs="Times New Roman"/>
          <w:b w:val="0"/>
          <w:i w:val="0"/>
          <w:sz w:val="20"/>
        </w:rPr>
        <w:t xml:space="preserve"> our business, results of operations and financial condition</w:t>
      </w:r>
      <w:r>
        <w:rPr>
          <w:rFonts w:ascii="Times New Roman" w:eastAsia="Times New Roman" w:hAnsi="Times New Roman" w:cs="Times New Roman"/>
          <w:b w:val="0"/>
          <w:i w:val="0"/>
          <w:sz w:val="20"/>
        </w:rPr>
        <w:t>.</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Product </w:t>
      </w:r>
      <w:r>
        <w:rPr>
          <w:rFonts w:ascii="Times New Roman" w:eastAsia="Times New Roman" w:hAnsi="Times New Roman" w:cs="Times New Roman"/>
          <w:b/>
          <w:i/>
          <w:sz w:val="20"/>
        </w:rPr>
        <w:t xml:space="preserve">defects </w:t>
      </w:r>
      <w:r>
        <w:rPr>
          <w:rFonts w:ascii="Times New Roman" w:eastAsia="Times New Roman" w:hAnsi="Times New Roman" w:cs="Times New Roman"/>
          <w:b/>
          <w:i/>
          <w:sz w:val="20"/>
        </w:rPr>
        <w:t>or misuse may result in material product or other liability or professional errors and omissions claims, litigation, investigation by regulatory authorities, or product recalls.</w:t>
      </w:r>
    </w:p>
    <w:p>
      <w:pPr>
        <w:keepNext w:val="0"/>
        <w:keepLines/>
        <w:pageBreakBefore w:val="0"/>
        <w:widowControl w:val="0"/>
        <w:numPr>
          <w:ilvl w:val="0"/>
          <w:numId w:val="0"/>
        </w:numPr>
        <w:spacing w:before="12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business exposes us to potential product and other liability claims that are inherent in the manufacture, sale, installation, servicing, and support of components that are used in medical devices and other devices that deliver radiation. Because our products are involved in the intentional delivery of radiation to the human body and other situations where people may come into contact with radiation, the possibility for significant personal injury or loss of life exists. Furthermore, if our x-ray inspection systems fail to detect the presence of bombs, explosives, weapons, contraband, or other threats to personal safety, this may lead to personal injury, loss of life, and extensive property damage. We may also be subject to warranty and damage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whether or not our products or services were a factor. We are currently a party to certain products liability litigation which, if adversely determined, could have an adverse material impact on our financial results. If a product we design or manufacture were defective, we may be required to correct or recall the product and notify regulatory authorities.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may choose to settle product liability claims against us regardless of their actual merit. A product liability action determined against us could result in adverse publicity or significant damages, including the possibility of punitive damages, and our financial position, results of operations, or cash flows could be materially and adversely affected.</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maintain limited product liability insurance coverage. Our product liability insurance policies are expensive and have high deductible amounts and self-insured retentions. Our insurance coverage may prove to be inadequate, and future policies may not be available on acceptable terms or in sufficient amounts, if at all. If a material claim is not insured or is in excess of our insurance coverage, we may have to pay substantial damages, which could have a material and adverse effect on our financial position and/or results of operations.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Risks Relating to the Manufacture of our Products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color w:val="008080"/>
          <w:sz w:val="20"/>
          <w:u w:val="none"/>
        </w:rPr>
      </w:pPr>
      <w:r>
        <w:rPr>
          <w:rFonts w:ascii="Times New Roman" w:eastAsia="Times New Roman" w:hAnsi="Times New Roman" w:cs="Times New Roman"/>
          <w:b/>
          <w:i/>
          <w:sz w:val="20"/>
        </w:rPr>
        <w:t>Supply chain disruptions, including the loss of a supplier, and any inability to obtain raw materials or supplies of important components due to inflation have impacted our ability to manufacture products, have caused delays in our ability to deliver products, and have increased our costs and may continue to do so.</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Inflation and supply chain disruptions have had, and could in the future have, an impact on our ability to manufacture certain products. Any rise in future inflation has the potential to increase our overall cost structure, and sustained inflation has resulted in, and may continue to result in, higher interest rates and capital costs, increased shipping costs, supply shortages, increased costs of labor, weakening exchange rates, and other similar effects.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Material shortages and delays due to inflation and other constraints have caused, and could in the future cause, us to temporarily stop production of certain products or miss opportunities to pursue additional sales of some products. We require certain raw materials, such as copper, nickel, silver, gold, lead, tungsten, iridium, rhenium, molybdenum, rhodium, niobium, zirconium, beryllium, and various high grades of steel alloy for X-ray tubes and industrial products. Worldwide demand, availability, and pricing of these raw materials have been volatile. If we are unable to obtain the materials necessary to make certain products without unreasonable cost or delay, our customers may seek alternative suppliers who are less impacted by the current trade war between the United States and China, or decide to in-source certain products or if we must pay more for certain materials, it could reduce our profit margin or otherwise have a material adverse effect on our business and financial results. Further, our competitors with greater financial resources may be better able to restructure their manufacturing and supply chains in response to geopolitical and economic trends and thereby have a competitive advantage over us.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obtain some of the components included in our products, such as transistor arrays, cesium iodide coatings and specialized integrated circuits for flat panel detectors, X-ray tube targets and windows, housings, glass frames, high-voltage cable, bearings, and various other components, from a limited group of suppliers or from sole-source suppliers. If our suppliers cease producing these or other components, prioritize other customers, fail to provide products on our delivery timelines, are in countries subject to significant tariffs, or become unable to continue operations, we may be unable to obtain the components from other suppliers on reasonable terms or at all, and this could materially and adversely affect our business and financial results.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Furthermore, we may be required to obtain and qualify one or more replacement suppliers or to manufacture the components internally. Such an event could (1) require us to redesign or modify our products to incorporate new parts and/or further require us to obtain clearance, qualification, or certification of these products, including by the FDA, or obtain other applicable regulatory approvals in other countries, (2) significantly increase costs for the affected products, (3) cause material delays in the delivery of affected and other related products, or (4) prevent us from meeting our delivery obligations to our customers. </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If we are not able to match our manufacturing capacity with demand for our products, our financial results may suffer.</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Many of our products have a long production cycle, and we must anticipate demand for our products to ensure adequate manufacturing and testing capacity. If we are unable to anticipate demand, and our manufacturing or testing capacity does not keep pace with product demand, we will be unable to fulfill orders in a timely manner, which may negatively impact our financial results and overall business. Conversely, if demand for our products decreases, the fixed costs associated with excess manufacturing capacity may harm our financial results, including by decreasing gross margins and increasing research and development costs as a percentage of revenue.</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0"/>
        </w:rPr>
        <w:t>Demand for our security, industrial, and inspection products tend to be unpredictable, leading to volatility in our revenues and earnings.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demand for our security and inspection products is heavily influenced by United States and foreign governmental policies on national and homeland security, border protection, and customs activities, which depend upon levels of government employment, government debt, and government budgets and appropriations that are subject to economic conditions, political changes, and oil prices. Even when government budgets and appropriations levels, economic and political conditions, and oil prices are favorable it is difficult to predict when governments may issue requests for bids, complete their bid process and award tenders, which tends to lead to volatility in our revenues and earnings.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Our operations are vulnerable to interruption or loss due to natural or other disasters, the effects of climate change, power loss, strikes, and other events beyond our control.</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conduct some of our activities, including manufacturing, research and development, administration, and data processing at facilities located in areas that have in the past experienced or may in the future experience natural disasters. A major disaster (such as a major fire, hurricane, earthquake, flood, tsunami, volcanic eruption, or terrorist attack) or a climate change-related event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such a disaster or event, shipments of our products could be delayed. Additionally, customers may delay purchases of our products until our or their operations return to normal. Even if our suppliers or customers are able to quickly respond to such a disaster or event, the ongoing effects could create some uncertainty in the operations of our business. In addition, concerns about terrorism, the effects of a terrorist attack, political turmoil, or an outbreak of epidemic diseases have in the past had, and could in the future have, a negative effect on our business operations, those of our suppliers and customers, and the ability to travel, resulting in adverse consequences on our revenues and financial performance.</w:t>
      </w:r>
    </w:p>
    <w:p>
      <w:pPr>
        <w:keepNext/>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Risks Relating to our Intellectual Property and Information Systems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Our competitive position would be harmed if we are not able to maintain or defend our intellectual property rights, and protecting our intellectual property and defending against infringement claims can be costly.</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file applications as appropriate for patents covering new products and manufacturing processes. We cannot provide assurance, however, that patents will be issued from any of our pending or future patent applications or that our current patents, the claims allowed under our current patents, or patents for technologies licensed to us will be sufficiently broad to protect our technology position against competitors. We also jointly develop intellectual property with third parties and seek to protect our rights to such intellectual property through licenses and other contractual arrangements. </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We also rely on a combination of copyright, trade secret, and other laws, and contractual restrictions on disclosure, copying and transferring title (including confidentiality agreements with vendors, strategic partners, co-developers, employees, consultants, and other third parties), to protect our proprietary, and other confidential rights. Our trade secrets may become known to or be independently developed by others, including as a result of misappropriation by unauthorized access to our technology systems, and our business and financial results could be materially and adversely impacted. We have trademarks, both registered and unregistered, that are maintained and enforced to provide 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 </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There is a substantial amount of litigation over patent and other intellectual property rights in the industries in which we compete. Our competitors, like companies in many high technology businesses, continually review other companies’ activities for possible conflicts with their own intellectual property rights. In addition, non-practicing entities may review our activities for conflicts with their patent rights. From time to time, we have received notices from parties asserting infringement, and we have been subject to lawsuits alleging infringement of patent or other intellectual property rights. In addition, from time to time we have entered, and in the future we may enter, into agreements that require us to indemnify our customers for intellectual property infringement, which agreements could subject us to liability. Legal disputes relating to intellectual property have occurred, are occurring, and may occur in the future. Any dispute regarding patents or other intellectual property, including with respect to breaches of licensing agreements or other contractual arrangements, could be costly and time consuming and could divert our management and key personnel from our business operations. We may not prevail in a dispute. We do not maintain insurance for intellectual property infringement, so costs of defense, whether or not we are successful in defending an infringement claim, will be borne by us and could be significant. If we are unsuccessful in defending or appealing an infringement claim or claims alleging other contractual breaches, we may be subject to significant damages, and our combined financial position, results of operations, or cash flows could be materially and adversely affected. We may also be subject to injunctions against development and sale of our products, the effect of which could be a material reduction of our revenues. Additionally, as we expand our manufacturing capabilities outside of the United States, more of our intellectual property may be held in jurisdictions that lack robust intellectual property protections, which may make it harder for us to adequately protect our intellectual property.</w:t>
      </w:r>
    </w:p>
    <w:p>
      <w:pPr>
        <w:keepNext/>
        <w:keepLines w:val="0"/>
        <w:pageBreakBefore w:val="0"/>
        <w:widowControl/>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Disruption of critical information systems or material breaches in the security of our systems may materially and adversely affect our business and customer relations.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Information technology (including technology from third-party providers) helps us operate efficiently, interface with and support our customers, maintain financial accuracy and efficiency, and produce our financial statements. In the ordinary course of our business, we collect, process, and store sensitive data, including intellectual property, proprietary business information, and information of customers, suppliers, business partners, and third parties accessing our website, patient data, and personally identifiable information of customers and employees, in our data centers and on our networks, as well as in third-party off-site data centers. Despite security measures, there is an increasing threat of information security breaches and attacks, including from computer viruses or other malicious codes, unauthorized access attempts, employee misuse, human error,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materially disrupt our operations. Such security breaches could expose us to a risk of loss of information and intellectual property, litigation, and possible liability to employees, customers, shareholders, and/or regulatory authorities. If our data management or other systems do not effectively collect, secure, store, process, or report relevant data for the operation of our business, whether due to equipment malfunction or constraints, service interruptions, software deficiencies, or human error, our ability to effectively plan, forecast, and execute our business plan and comply with applicable laws and regulations will be impaired, perhaps materially. Any such impairment could materially and adversely affect our financial condition, results of operations, cash flows, and the timeliness with which we report our operating results internally and externally.</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use certain cloud-based software. A security breach, whether of our products, of our customers’ network security and systems, or of third-party hosting services could disrupt access to our customers’ stored information and could lead to the loss of, damage to, or public disclosure of our customers’ stored information, including patient health information. Such an event could have serious negative consequences, including possible patient injury, regulatory action, fines, penalties and damages, reduced demand for our solutions, an unwillingness of our customers to use our solutions, harm to our reputation and brand, and time-consuming and expensive litigation, any of which could have a material and adverse effect on our financial results.</w:t>
      </w:r>
    </w:p>
    <w:p>
      <w:pPr>
        <w:keepNext/>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Risks Relating to Our Legal and Regulatory Environment</w:t>
      </w:r>
    </w:p>
    <w:p>
      <w:pPr>
        <w:keepNext w:val="0"/>
        <w:keepLines w:val="0"/>
        <w:pageBreakBefore w:val="0"/>
        <w:widowControl/>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A change in the percentage of our total earnings from international sales, changes in our international activities, or additional changes in tax laws could increase our effective tax rate.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Earnings from our international subsidiaries are generally taxed at rates that differ from United States rates. A change in the percentage of our total earnings from our international subsidiaries, a change in the mix of particular tax jurisdictions between our international subsidiaries, a change in currency exchange rates, or a shift in where we perform manufacturing, research and development, and other activities internally could cause our effective tax rate to increase. Furthermore, while United States tax reform imposed a current tax on cumulative undistributed earnings, these earnings could also become subject to incremental foreign withholding or United States state taxes should they actually be remitted to the United States, in which case our financial results could be materially and adversely affected.</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Statutory changes included in proposed United States legislation, if passed, including interpretive guidance, could materially impact our income tax expense, effective tax rate, or the value of deferred tax assets and liabilities. Changes in the valuation of our deferred tax assets or liabilities, changes in tax laws or rates, changes in the interpretation of tax laws in other jurisdictions, or other changes beyond our control could materially and adversely affect our financial position and results of operations.</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0"/>
        </w:rPr>
        <w:t xml:space="preserve">For example, a change in tax law, which became effective for the Company in 2023 and requires capitalization of research and experimental expenditures, significantly increased our cash tax expense in the </w:t>
      </w:r>
      <w:r>
        <w:rPr>
          <w:rFonts w:ascii="Times New Roman" w:eastAsia="Times New Roman" w:hAnsi="Times New Roman" w:cs="Times New Roman"/>
          <w:b w:val="0"/>
          <w:i w:val="0"/>
          <w:sz w:val="20"/>
        </w:rPr>
        <w:t>United States</w:t>
      </w:r>
      <w:r>
        <w:rPr>
          <w:rFonts w:ascii="Times New Roman" w:eastAsia="Times New Roman" w:hAnsi="Times New Roman" w:cs="Times New Roman"/>
          <w:b w:val="0"/>
          <w:i w:val="0"/>
          <w:sz w:val="20"/>
        </w:rPr>
        <w:t xml:space="preserve"> in fiscal year 2024. We expect this increase in cash tax expense to continue until normalizing in fiscal year 2027.</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have entities in certain jurisdictions with cumulative net operating losses for which no income tax benefit can be recorded due to full valuation allowance positions. There could be additional future losses in these and other jurisdictions that would negatively impact our effective tax rate.</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Compliance with foreign laws and regulations applicable to the marketing, manufacturing, and distribution of our products may be costly, and failure to comply may result in unfavorable legal proceedings, in significant penalties and other harm to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Outside the United States, some of our products are regulated as medical devices by foreign governmental agencies similar to the FDA. For us to market our products internationally, we must obtain clearances or approvals for products and product modifications, which can be time consuming, expensive, uncertain, and which can delay our ability to market products.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us from doing business in a country or subject us to a variety of enforcement actions and civil or criminal penalties, which would materially and adversely affect our business. In addition, compliance with changing regulatory schemes may add additional complexity, cost, and delays in marketing, or selling our products.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Within the European Union ("EU") and the European Economic Area ("EEA"), we must obtain, and in turn affix, a CE mark certification, that indicates that a product meets the essential requirements of the EU’s Medical Device Directive (“MDD”) and the EU Medical Device Regulations. By affixing the CE mark to our product, we are certifying that our products comply with the laws and regulations required by the EU/EEA countries, thereby allowing the free movement of our products within these countries and others that accept CE mark standards. If we cannot support our performance claims and demonstrate compliance with the applicable European laws and the MDD, we would lose our right to affix the CE mark to our products, which would prevent us from selling our products within the EU/EEA/Switzerland territory and in other countries that recognize the CE mark.</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are subject to international laws and regulations of general applicability relating to matters such as environmental protection, safe working conditions, and manufacturing practices, as well as others. These are often comparable to, or more stringent than, equivalent regulations in the United States. Sales overseas are also affected by regulation of matters such as product standards, packaging, labeling, environmental and product recycling requirements, import and export restrictions, tariffs, duties, and taxes.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addition, we are required to timely file various reports with international regulatory authorities similar to the reports we are required to timely file with United States regulatory authorities, including reports required by international adverse event reporting regulations. If these reports are not timely filed, regulators may impose sanctions, including temporarily suspending our market authorizations or CE mark, and sales of our products may suffer as a result.</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As we enter new businesses or pursue new business opportunities internationally, or as regulatory schemes change, we may become subject to additional laws, rules, and regulations, and compliance can be costly. The failure by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Compliance with United States laws and regulations applicable to the marketing, manufacturing, and distribution of our products may be costly, and failure or delays in obtaining regulatory clearances or approvals, or failure to comply with applicable laws and regulations could harm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If we or any of our suppliers, distributors, agents, or customers fail to comply with FDA, Federal Trade Commission, or other applicable United States regulatory requirements or are perceived to have failed to comply with regulations, we may face:</w:t>
      </w:r>
    </w:p>
    <w:p>
      <w:pPr>
        <w:keepNext w:val="0"/>
        <w:keepLines w:val="0"/>
        <w:pageBreakBefore w:val="0"/>
        <w:widowControl/>
        <w:numPr>
          <w:ilvl w:val="0"/>
          <w:numId w:val="51"/>
        </w:numPr>
        <w:spacing w:before="12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adverse publicity affecting both us and our customers;</w:t>
      </w:r>
    </w:p>
    <w:p>
      <w:pPr>
        <w:keepNext w:val="0"/>
        <w:keepLines w:val="0"/>
        <w:pageBreakBefore w:val="0"/>
        <w:widowControl/>
        <w:numPr>
          <w:ilvl w:val="0"/>
          <w:numId w:val="52"/>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increased pressures from competitors;</w:t>
      </w:r>
    </w:p>
    <w:p>
      <w:pPr>
        <w:keepNext w:val="0"/>
        <w:keepLines w:val="0"/>
        <w:pageBreakBefore w:val="0"/>
        <w:widowControl/>
        <w:numPr>
          <w:ilvl w:val="0"/>
          <w:numId w:val="53"/>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investigations by governmental authorities;</w:t>
      </w:r>
    </w:p>
    <w:p>
      <w:pPr>
        <w:keepNext w:val="0"/>
        <w:keepLines w:val="0"/>
        <w:pageBreakBefore w:val="0"/>
        <w:widowControl/>
        <w:numPr>
          <w:ilvl w:val="0"/>
          <w:numId w:val="54"/>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fines, injunctions, civil penalties, and criminal prosecution;</w:t>
      </w:r>
    </w:p>
    <w:p>
      <w:pPr>
        <w:keepNext w:val="0"/>
        <w:keepLines w:val="0"/>
        <w:pageBreakBefore w:val="0"/>
        <w:widowControl/>
        <w:numPr>
          <w:ilvl w:val="0"/>
          <w:numId w:val="55"/>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partial suspension or total shutdown of production facilities or the imposition of operating restrictions;</w:t>
      </w:r>
    </w:p>
    <w:p>
      <w:pPr>
        <w:keepNext w:val="0"/>
        <w:keepLines w:val="0"/>
        <w:pageBreakBefore w:val="0"/>
        <w:widowControl/>
        <w:numPr>
          <w:ilvl w:val="0"/>
          <w:numId w:val="5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increased difficulty in obtaining required clearances or approvals or losses of clearances or approvals already granted;</w:t>
      </w:r>
    </w:p>
    <w:p>
      <w:pPr>
        <w:keepNext w:val="0"/>
        <w:keepLines w:val="0"/>
        <w:pageBreakBefore w:val="0"/>
        <w:widowControl/>
        <w:numPr>
          <w:ilvl w:val="0"/>
          <w:numId w:val="5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seizures or recalls of our products or those of our customers;</w:t>
      </w:r>
    </w:p>
    <w:p>
      <w:pPr>
        <w:keepNext w:val="0"/>
        <w:keepLines w:val="0"/>
        <w:pageBreakBefore w:val="0"/>
        <w:widowControl/>
        <w:numPr>
          <w:ilvl w:val="0"/>
          <w:numId w:val="5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delays in purchasing decisions by customers or cancellation of existing orders;</w:t>
      </w:r>
    </w:p>
    <w:p>
      <w:pPr>
        <w:keepNext w:val="0"/>
        <w:keepLines w:val="0"/>
        <w:pageBreakBefore w:val="0"/>
        <w:widowControl/>
        <w:numPr>
          <w:ilvl w:val="0"/>
          <w:numId w:val="59"/>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inability to sell our products; and</w:t>
      </w:r>
    </w:p>
    <w:p>
      <w:pPr>
        <w:keepNext w:val="0"/>
        <w:keepLines w:val="0"/>
        <w:pageBreakBefore w:val="0"/>
        <w:widowControl/>
        <w:numPr>
          <w:ilvl w:val="0"/>
          <w:numId w:val="6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difficulty in obtaining product liability or operating insurance at a reasonable cost, or at all.</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Generally, our manufacturing operations for medical devices, and those of our third-party manufacturers, are required to comply with the QSR of the FDA, as well as other federal and state regulations for medical devices and radiation-emitting products. Failure to respond in a timely manner to a warning letter or any other notice of noncompliance with applicable regulations and/or procedures and to promptly come into compliance could result in the FDA bringing an enforcement action, which could include the total shutdown of our production facilities, denial of importation rights to the United States for products manufactured in overseas locations, adverse publicity, and criminal and civil fines. The expense and costs of any corrective actions that we may take, which may include product recalls, product correction, removal of products from customer sites, or changes to our product manufacturing and quality systems, could materially and adversely impact 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produce some products that are classified as "Class II" devices subject to 510(k) pre-market notification clearance. A new medical device or a new indication for use of, or other significant change in, any such products, or the development of a new Class II device would require us to obtain a new 5</w:t>
      </w:r>
      <w:r>
        <w:rPr>
          <w:rFonts w:ascii="Times New Roman" w:eastAsia="Times New Roman" w:hAnsi="Times New Roman" w:cs="Times New Roman"/>
          <w:b w:val="0"/>
          <w:i w:val="0"/>
          <w:sz w:val="20"/>
        </w:rPr>
        <w:t>1</w:t>
      </w:r>
      <w:r>
        <w:rPr>
          <w:rFonts w:ascii="Times New Roman" w:eastAsia="Times New Roman" w:hAnsi="Times New Roman" w:cs="Times New Roman"/>
          <w:b w:val="0"/>
          <w:i w:val="0"/>
          <w:sz w:val="20"/>
        </w:rPr>
        <w:t>0</w:t>
      </w:r>
      <w:r>
        <w:rPr>
          <w:rFonts w:ascii="Times New Roman" w:eastAsia="Times New Roman" w:hAnsi="Times New Roman" w:cs="Times New Roman"/>
          <w:b w:val="0"/>
          <w:i w:val="0"/>
          <w:sz w:val="20"/>
        </w:rPr>
        <w:t>(k) clearance before we could market or sell those products in the United States. We cannot ensure that the FDA will agree with our decisions not to seek additional approvals or clearances for particular modifications to our products or that we will be successful in obtaining new 510(k) clearances for new products or for modifications to existing products. Obtaining clearances or approvals is time consuming, expensive, and uncertain. Furthermore, even if we are granted regulatory clearances or approvals, they may include significant limitations on the indicated uses of the product, which may limit the potential customers for the product. If we are unable to obtain required FDA clearance or approval for a product or are unduly delayed in doing so, or the uses of that product were limited, our business could suffer.</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 to recur. If we initiate a correction or removal of a device to reduce a risk to health posed by the device, we would be required to submit a publicly available correction and removal report to the FDA and, in many cases, similar reports to other regulatory 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Government regulation may also cause significant delays or prevent the marketing and full commercialization of future products or services that we may develop and/or may impose costly requirements on our business. As we enter new businesses or pursue new business opportunities, we will become subject to additional laws, rules, and regulations, including FDA and foreign rules and regulations and compliance can be costly. Failure to comply with these laws, rules and regulations could delay the introduction of new products and could materially and adversely affect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are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We sell certain X-ray tube products as replacements which are subject to medical device certification and product registration laws and regulations, that vary by country and are subject to change, and we may be unable to receive registration approval or renewal of existing registrations.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We market and distribute certain X-ray tubes through distributors and third-party/multi-vendor service organizations that are used as equivalent replacements for specific OEM tubes. We are subject to medical device certification and product registration laws, that vary by country and are subject to periodic reviews and changes by regulatory authorities in those countries. Certain of these local laws and regulations have the effect of serving as a barrier to trade and can be difficult to navigate predictably. In addition, certain countries where we sell our products require products to undergo re-registration if the product is altered in any significant way. These registration processes can be costly and time consuming, and customers may decide to purchase products from our competitors that do not have to be involved in a re-registration process. In addition, our inability to receive or renew product registrations may prevent us from marketing and/or distributing those particular products for replacement applications in the specific country.</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Existing and future healthcare reforms and changes to reimbursement rates, may indirectly have a material adverse effect on our business and results of operations.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Sales of our products to OEMs in the medical sector indirectly depend on whether adequate reimbursement is available for our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our customers’ products, and therefore indirectly our products, may be limited, which could harm our business, results of operations, financial condition, and prospects.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Healthcare reform proposals and medical cost containment measures in the United States and in many foreign countries could limit the use of both ours and our customers’ products, reduce reimbursement available for such use, further tax the sale or use of our products, and further increase the administrative and financial burden of compliance. Any changes that lower reimbursements for us or our customers’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We are subject to federal, state, and foreign laws governing our business practices which, if violated, could result in substantial penalties. Additionally, challenges to or investigations into our practices could cause adverse publicity and be costly to respond to and thus could harm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Anti-corruption laws and regulations</w:t>
      </w:r>
      <w:r>
        <w:rPr>
          <w:rFonts w:ascii="Times New Roman" w:eastAsia="Times New Roman" w:hAnsi="Times New Roman" w:cs="Times New Roman"/>
          <w:b w:val="0"/>
          <w:i w:val="0"/>
          <w:sz w:val="20"/>
        </w:rPr>
        <w:t>. We are subject to the U.S. Foreign Corrupt Practices Act and anti-corruption laws, and similar laws in foreign countries, such as the U.K. Bribery Act. Any violation of these laws by us or our agents or distributors could create substantial liability for us, subject our officers and directors to personal liability, and cause a loss of reputation. We operate in many countries, including India and China, where the public sector is perceived as being corrupt. Our strategic business plans include expanding our business in regions and countries that are rated as higher risk for corruption activity by Transparency International e.V., an international non-profit that publishes an annual corruption perception index, which could subject us and our officers and directors to increased scrutiny and increased liability from our business operations. Becoming familiar with and implementing the infrastructure necessary to comply with laws, rules, and regulations applicable to new business activities and mitigating and protecting against corruption risks could be costly. Failure by us or our agents or distributors to comply with these laws, rules, and regulations could delay our expansion into high-growth areas and materially and adversely affect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Competition and trade compliance laws</w:t>
      </w:r>
      <w:r>
        <w:rPr>
          <w:rFonts w:ascii="Times New Roman" w:eastAsia="Times New Roman" w:hAnsi="Times New Roman" w:cs="Times New Roman"/>
          <w:b w:val="0"/>
          <w:i w:val="0"/>
          <w:sz w:val="20"/>
        </w:rPr>
        <w:t>. We are subject to various competition and trade compliance laws in the jurisdictions where we operate throughout the world. Regulatory authorities in those jurisdictions may have the power to subject us to sanctions, tariffs, and duties and may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 outcome under any such investigation or audit could subject us to fines and criminal or other penalties, which could materially and adversely affect our business and financial results. The current MOFCOM Investigations are an example of the type of investigations or audits we are currently</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could in the future</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face. Furthermore, competition laws may prohibit or increase the cost of future acquisitions that we may desire to undertake.</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Laws and ethical rules governing interactions with healthcare providers</w:t>
      </w:r>
      <w:r>
        <w:rPr>
          <w:rFonts w:ascii="Times New Roman" w:eastAsia="Times New Roman" w:hAnsi="Times New Roman" w:cs="Times New Roman"/>
          <w:b w:val="0"/>
          <w:i w:val="0"/>
          <w:sz w:val="20"/>
        </w:rPr>
        <w:t>. We may occasionally sell our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Federal and state “false claims” laws generally prohibit knowingly presenting, or causing to be presented, claims for 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us to implement the necessary and costly infrastructure to track and report certain payments to healthcare providers. Failure to comply with these tracking and reporting laws could subject us to significant civil monetary penalties.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sz w:val="20"/>
        </w:rPr>
        <w:t>Other laws.</w:t>
      </w:r>
      <w:r>
        <w:rPr>
          <w:rFonts w:ascii="Times New Roman" w:eastAsia="Times New Roman" w:hAnsi="Times New Roman" w:cs="Times New Roman"/>
          <w:b w:val="0"/>
          <w:i w:val="0"/>
          <w:sz w:val="20"/>
        </w:rPr>
        <w:t xml:space="preserve"> We are subject to other laws in foreign countries where we conduct business. For example, within the EU, the control of unlawful marketing activities is a matter of national law in each of the member states. The member states of the EU closely monitor perceived unlawful marketing activities. We could face civil, criminal, and administrative sanctions if any member state determines that we have breached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Certain of our products are subject to regulations relating to use of radioactive material, compliance with which may be costly, and a failure to comply with these regulations may materially and adversely affect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As a manufacturer and seller of medical devices and devices emitting radiation or utilizing radioactive by-product material, we and some of our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marketing, and disposal of our products. We are also subject to international laws and regulations that apply to manufacturers of radiation-emitting devices and products utilizing radioactive materials. These are often comparable to, if not more stringent than, the equivalent regulations in the United States.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industrial and medical devices utilizing radioactive material are subject to NRC clearance and approval requirements, 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a number of licenses and certifications for these devices and materials. Service of these products must also be performed in accordance with specific radioactive materials licenses. Obtaining licenses and certifications may be time consuming, expensive, and uncertain.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The handling and disposal of radioactive materials resulting from the manufacture, use, or disposal of our products may impose significant costs and requirements. Disposal sites for the lawful disposal of materials generated by the manufacture, use, or decommissioning of our products may no longer accept these substances in the future or may accept them on unfavorable terms.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Environmental laws impose compliance costs on our business and may also result in liability.</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Environmental laws regulate many aspects of our operations, including our handling, storage, transport, and disposal of hazardous substances, such as the chemicals and materials that we use in the course of our manufacturing operations. </w:t>
      </w:r>
      <w:r>
        <w:rPr>
          <w:rFonts w:ascii="Times New Roman" w:eastAsia="Times New Roman" w:hAnsi="Times New Roman" w:cs="Times New Roman"/>
          <w:b w:val="0"/>
          <w:i w:val="0"/>
          <w:sz w:val="20"/>
        </w:rPr>
        <w:t>For</w:t>
      </w:r>
      <w:r>
        <w:rPr>
          <w:rFonts w:ascii="Times New Roman" w:eastAsia="Times New Roman" w:hAnsi="Times New Roman" w:cs="Times New Roman"/>
          <w:b w:val="0"/>
          <w:i w:val="0"/>
          <w:sz w:val="24"/>
        </w:rPr>
        <w:t xml:space="preserve"> </w:t>
      </w:r>
      <w:r>
        <w:rPr>
          <w:rFonts w:ascii="Times New Roman" w:eastAsia="Times New Roman" w:hAnsi="Times New Roman" w:cs="Times New Roman"/>
          <w:b w:val="0"/>
          <w:i w:val="0"/>
          <w:sz w:val="20"/>
        </w:rPr>
        <w:t xml:space="preserve">example, pursuant to a remediation plan related to certain hazardous volatile organic compounds present at our Salt Lake City property, we and Varian Medical Systems, Inc. ("Varian") </w:t>
      </w:r>
      <w:r>
        <w:rPr>
          <w:rFonts w:ascii="Times New Roman" w:eastAsia="Times New Roman" w:hAnsi="Times New Roman" w:cs="Times New Roman"/>
          <w:b w:val="0"/>
          <w:i w:val="0"/>
          <w:sz w:val="20"/>
        </w:rPr>
        <w:t xml:space="preserve">entered into an environmental covenant with the Director of the Utah Division of Waste Management and Radiation Control on behalf of the Utah Department of Environmental Quality requiring certain remediation measures and imposing certain limitations relating to the property and the groundwater in the aquifer underlying the property, including use of the property for commercial and industrial uses only and not allowing groundwater to be used for culinary and other domestic purposes, among other limitations. </w:t>
      </w:r>
      <w:r>
        <w:rPr>
          <w:rFonts w:ascii="Times New Roman" w:eastAsia="Times New Roman" w:hAnsi="Times New Roman" w:cs="Times New Roman"/>
          <w:b w:val="0"/>
          <w:i w:val="0"/>
          <w:sz w:val="20"/>
        </w:rPr>
        <w:t>They can also impose cleanup liabilities, including with respect to discontinued operations. Like other businesses, we may mishandle or inadequately manage hazardous substances used in our manufacturing operations and can never completely eliminate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 regulations. Insurance has provided coverage for portions of cleanup costs resulting from historical occurrences, but we do not expect to maintain insurance coverage for costs or claims that might result from any future contamination.</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Pursuant to the Separation and Distribution Agreement we entered into with Varian when we spun off from Varian, we are obligated to indemnify Varian for 20% of the cleanup liabilities related to prior corporate restructuring activities undertaken while we were a division of Varian. This includes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or tax benefits received by Varian). We assess this indemnification obligation quarterly with Varian and make accruals accordingly. These accruals have historically been small, but can sometimes fluctuate significantly from period to period. For example, during the second quarter of fiscal year 2023, Varian informed us of an adjustment to their estimate of their liability, which resulted in an increase in our liability of approximately $2.9 million, net of expected insurance proceeds.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Future changes in environmental laws could also increase our costs of doing business, perhaps significantly. Several countries, including some in the EU, now require medical equipment manufacturers to bear certain disposal costs of products at the end of the product’s useful life, thereby increasing its costs. The EU has also adopted directives that may lead to restrictions on the use of certain hazardous substances or other regulated substances in some of our products sold there. These directives, along with another that requires substance information to be provided upon request, could increase our operating costs by increasing the cost of maintaining our access to certain customers. All of these costs, and any future violations or liabilities under environmental laws or regulations, could have a material adverse effect on our business.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Risks Relating to Our Indebtedness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The </w:t>
      </w:r>
      <w:r>
        <w:rPr>
          <w:rFonts w:ascii="Times New Roman" w:eastAsia="Times New Roman" w:hAnsi="Times New Roman" w:cs="Times New Roman"/>
          <w:b/>
          <w:i/>
          <w:sz w:val="20"/>
        </w:rPr>
        <w:t xml:space="preserve">Credit </w:t>
      </w:r>
      <w:r>
        <w:rPr>
          <w:rFonts w:ascii="Times New Roman" w:eastAsia="Times New Roman" w:hAnsi="Times New Roman" w:cs="Times New Roman"/>
          <w:b/>
          <w:i/>
          <w:sz w:val="20"/>
        </w:rPr>
        <w:t>Agreement</w:t>
      </w:r>
      <w:r>
        <w:rPr>
          <w:rFonts w:ascii="Times New Roman" w:eastAsia="Times New Roman" w:hAnsi="Times New Roman" w:cs="Times New Roman"/>
          <w:b/>
          <w:i/>
          <w:sz w:val="20"/>
        </w:rPr>
        <w:t xml:space="preserve">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our total combined indebtedness was approximately </w:t>
      </w:r>
      <w:r>
        <w:rPr>
          <w:rFonts w:ascii="Times New Roman" w:eastAsia="Times New Roman" w:hAnsi="Times New Roman" w:cs="Times New Roman"/>
          <w:b w:val="0"/>
          <w:i w:val="0"/>
          <w:color w:val="000000"/>
          <w:sz w:val="20"/>
          <w:u w:val="none"/>
        </w:rPr>
        <w:t>$370.2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of principal</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which </w:t>
      </w:r>
      <w:r>
        <w:rPr>
          <w:rFonts w:ascii="Times New Roman" w:eastAsia="Times New Roman" w:hAnsi="Times New Roman" w:cs="Times New Roman"/>
          <w:b w:val="0"/>
          <w:i w:val="0"/>
          <w:sz w:val="20"/>
        </w:rPr>
        <w:t>consisted</w:t>
      </w:r>
      <w:r>
        <w:rPr>
          <w:rFonts w:ascii="Times New Roman" w:eastAsia="Times New Roman" w:hAnsi="Times New Roman" w:cs="Times New Roman"/>
          <w:b w:val="0"/>
          <w:i w:val="0"/>
          <w:sz w:val="20"/>
        </w:rPr>
        <w:t xml:space="preserve"> almost entirely of borrowings under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our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color w:val="000000"/>
          <w:sz w:val="20"/>
          <w:u w:val="none"/>
        </w:rPr>
        <w:t>7.875%</w:t>
      </w:r>
      <w:r>
        <w:rPr>
          <w:rFonts w:ascii="Times New Roman" w:eastAsia="Times New Roman" w:hAnsi="Times New Roman" w:cs="Times New Roman"/>
          <w:b w:val="0"/>
          <w:i w:val="0"/>
          <w:sz w:val="20"/>
        </w:rPr>
        <w:t xml:space="preserve"> Senior Secured Notes due </w:t>
      </w:r>
      <w:r>
        <w:rPr>
          <w:rFonts w:ascii="Times New Roman" w:eastAsia="Times New Roman" w:hAnsi="Times New Roman" w:cs="Times New Roman"/>
          <w:b w:val="0"/>
          <w:i w:val="0"/>
          <w:color w:val="000000"/>
          <w:sz w:val="20"/>
          <w:u w:val="none"/>
        </w:rPr>
        <w:t>2027</w:t>
      </w:r>
      <w:r>
        <w:rPr>
          <w:rFonts w:ascii="Times New Roman" w:eastAsia="Times New Roman" w:hAnsi="Times New Roman" w:cs="Times New Roman"/>
          <w:b w:val="0"/>
          <w:i w:val="0"/>
          <w:sz w:val="20"/>
        </w:rPr>
        <w:t xml:space="preserve"> (the "Senior Secured Notes"). For more information regarding our borrowings, see Note </w:t>
      </w:r>
      <w:r>
        <w:rPr>
          <w:rFonts w:ascii="Times New Roman" w:eastAsia="Times New Roman" w:hAnsi="Times New Roman" w:cs="Times New Roman"/>
          <w:b w:val="0"/>
          <w:i w:val="0"/>
          <w:color w:val="000000"/>
          <w:sz w:val="20"/>
          <w:u w:val="none"/>
        </w:rPr>
        <w:t>9</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color w:val="000000"/>
          <w:sz w:val="20"/>
          <w:u w:val="none"/>
        </w:rPr>
        <w:t>Borrowings</w:t>
      </w:r>
      <w:r>
        <w:rPr>
          <w:rFonts w:ascii="Times New Roman" w:eastAsia="Times New Roman" w:hAnsi="Times New Roman" w:cs="Times New Roman"/>
          <w:b w:val="0"/>
          <w:i w:val="0"/>
          <w:sz w:val="20"/>
        </w:rPr>
        <w:t xml:space="preserve"> of the </w:t>
      </w:r>
      <w:r>
        <w:rPr>
          <w:rFonts w:ascii="Times New Roman" w:eastAsia="Times New Roman" w:hAnsi="Times New Roman" w:cs="Times New Roman"/>
          <w:b w:val="0"/>
          <w:i w:val="0"/>
          <w:color w:val="000000"/>
          <w:sz w:val="20"/>
          <w:u w:val="none"/>
        </w:rPr>
        <w:t>Notes to the Condensed Consolidated Financial Statements</w:t>
      </w:r>
      <w:r>
        <w:rPr>
          <w:rFonts w:ascii="Times New Roman" w:eastAsia="Times New Roman" w:hAnsi="Times New Roman" w:cs="Times New Roman"/>
          <w:b w:val="0"/>
          <w:i w:val="0"/>
          <w:sz w:val="20"/>
        </w:rPr>
        <w:t xml:space="preserve"> of this report.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i w:val="0"/>
          <w:color w:val="000000"/>
          <w:sz w:val="20"/>
          <w:u w:val="single"/>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Credit Agreement </w:t>
      </w:r>
      <w:r>
        <w:rPr>
          <w:rFonts w:ascii="Times New Roman" w:eastAsia="Times New Roman" w:hAnsi="Times New Roman" w:cs="Times New Roman"/>
          <w:b w:val="0"/>
          <w:i w:val="0"/>
          <w:sz w:val="20"/>
        </w:rPr>
        <w:t>providing</w:t>
      </w:r>
      <w:r>
        <w:rPr>
          <w:rFonts w:ascii="Times New Roman" w:eastAsia="Times New Roman" w:hAnsi="Times New Roman" w:cs="Times New Roman"/>
          <w:b w:val="0"/>
          <w:i w:val="0"/>
          <w:sz w:val="20"/>
        </w:rPr>
        <w:t xml:space="preserve"> for the Revolv</w:t>
      </w:r>
      <w:r>
        <w:rPr>
          <w:rFonts w:ascii="Times New Roman" w:eastAsia="Times New Roman" w:hAnsi="Times New Roman" w:cs="Times New Roman"/>
          <w:b w:val="0"/>
          <w:i w:val="0"/>
          <w:sz w:val="20"/>
        </w:rPr>
        <w:t xml:space="preserve">ing </w:t>
      </w:r>
      <w:r>
        <w:rPr>
          <w:rFonts w:ascii="Times New Roman" w:eastAsia="Times New Roman" w:hAnsi="Times New Roman" w:cs="Times New Roman"/>
          <w:b w:val="0"/>
          <w:i w:val="0"/>
          <w:sz w:val="20"/>
        </w:rPr>
        <w:t>Cre</w:t>
      </w:r>
      <w:r>
        <w:rPr>
          <w:rFonts w:ascii="Times New Roman" w:eastAsia="Times New Roman" w:hAnsi="Times New Roman" w:cs="Times New Roman"/>
          <w:b w:val="0"/>
          <w:i w:val="0"/>
          <w:sz w:val="20"/>
        </w:rPr>
        <w:t xml:space="preserve">dit </w:t>
      </w:r>
      <w:r>
        <w:rPr>
          <w:rFonts w:ascii="Times New Roman" w:eastAsia="Times New Roman" w:hAnsi="Times New Roman" w:cs="Times New Roman"/>
          <w:b w:val="0"/>
          <w:i w:val="0"/>
          <w:sz w:val="20"/>
        </w:rPr>
        <w:t>Facility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and the indenture governing our Senior Secured Notes impose significant operational and financial restrictions on us that include, but are not limited to our ability to:</w:t>
      </w:r>
    </w:p>
    <w:p>
      <w:pPr>
        <w:keepNext w:val="0"/>
        <w:keepLines w:val="0"/>
        <w:pageBreakBefore w:val="0"/>
        <w:widowControl/>
        <w:numPr>
          <w:ilvl w:val="0"/>
          <w:numId w:val="61"/>
        </w:numPr>
        <w:spacing w:before="12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incur, assume, or permit to exist additional indebtedness (including guarantees thereof);</w:t>
      </w:r>
    </w:p>
    <w:p>
      <w:pPr>
        <w:keepNext w:val="0"/>
        <w:keepLines w:val="0"/>
        <w:pageBreakBefore w:val="0"/>
        <w:widowControl/>
        <w:numPr>
          <w:ilvl w:val="0"/>
          <w:numId w:val="62"/>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pay dividends or certain other distributions on our capital stock or repurchase our capital stock or prepay subordinated indebtedness;</w:t>
      </w:r>
    </w:p>
    <w:p>
      <w:pPr>
        <w:keepNext w:val="0"/>
        <w:keepLines w:val="0"/>
        <w:pageBreakBefore w:val="0"/>
        <w:widowControl/>
        <w:numPr>
          <w:ilvl w:val="0"/>
          <w:numId w:val="63"/>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prepay, redeem, or repurchase certain debt;</w:t>
      </w:r>
    </w:p>
    <w:p>
      <w:pPr>
        <w:keepNext w:val="0"/>
        <w:keepLines w:val="0"/>
        <w:pageBreakBefore w:val="0"/>
        <w:widowControl/>
        <w:numPr>
          <w:ilvl w:val="0"/>
          <w:numId w:val="64"/>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issue certain preferred stock or similar equity securities;</w:t>
      </w:r>
    </w:p>
    <w:p>
      <w:pPr>
        <w:keepNext w:val="0"/>
        <w:keepLines w:val="0"/>
        <w:pageBreakBefore w:val="0"/>
        <w:widowControl/>
        <w:numPr>
          <w:ilvl w:val="0"/>
          <w:numId w:val="65"/>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incur liens on assets;</w:t>
      </w:r>
    </w:p>
    <w:p>
      <w:pPr>
        <w:keepNext w:val="0"/>
        <w:keepLines w:val="0"/>
        <w:pageBreakBefore w:val="0"/>
        <w:widowControl/>
        <w:numPr>
          <w:ilvl w:val="0"/>
          <w:numId w:val="66"/>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make certain loans, investments, or other restricted payments;</w:t>
      </w:r>
    </w:p>
    <w:p>
      <w:pPr>
        <w:keepNext w:val="0"/>
        <w:keepLines w:val="0"/>
        <w:pageBreakBefore w:val="0"/>
        <w:widowControl/>
        <w:numPr>
          <w:ilvl w:val="0"/>
          <w:numId w:val="67"/>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allow to exist certain restrictions on the ability of our restricted subsidiaries to pay dividends or make other payments to us;</w:t>
      </w:r>
    </w:p>
    <w:p>
      <w:pPr>
        <w:keepNext w:val="0"/>
        <w:keepLines w:val="0"/>
        <w:pageBreakBefore w:val="0"/>
        <w:widowControl/>
        <w:numPr>
          <w:ilvl w:val="0"/>
          <w:numId w:val="68"/>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engage in transactions with affiliates;</w:t>
      </w:r>
    </w:p>
    <w:p>
      <w:pPr>
        <w:keepNext w:val="0"/>
        <w:keepLines w:val="0"/>
        <w:pageBreakBefore w:val="0"/>
        <w:widowControl/>
        <w:numPr>
          <w:ilvl w:val="0"/>
          <w:numId w:val="69"/>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alter the business that we conduct; and</w:t>
      </w:r>
    </w:p>
    <w:p>
      <w:pPr>
        <w:keepNext w:val="0"/>
        <w:keepLines w:val="0"/>
        <w:pageBreakBefore w:val="0"/>
        <w:widowControl/>
        <w:numPr>
          <w:ilvl w:val="0"/>
          <w:numId w:val="70"/>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sell certain assets or merge or consolidate with or into other companies. </w:t>
      </w:r>
    </w:p>
    <w:p>
      <w:pPr>
        <w:keepNext/>
        <w:keepLines/>
        <w:pageBreakBefore w:val="0"/>
        <w:widowControl w:val="0"/>
        <w:numPr>
          <w:ilvl w:val="0"/>
          <w:numId w:val="0"/>
        </w:numPr>
        <w:spacing w:before="120" w:after="12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As a result of these restrictions, we may be:</w:t>
      </w:r>
    </w:p>
    <w:p>
      <w:pPr>
        <w:keepNext w:val="0"/>
        <w:keepLines w:val="0"/>
        <w:pageBreakBefore w:val="0"/>
        <w:widowControl/>
        <w:numPr>
          <w:ilvl w:val="0"/>
          <w:numId w:val="71"/>
        </w:numPr>
        <w:spacing w:before="12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limited in how we conduct our business;</w:t>
      </w:r>
    </w:p>
    <w:p>
      <w:pPr>
        <w:keepNext w:val="0"/>
        <w:keepLines w:val="0"/>
        <w:pageBreakBefore w:val="0"/>
        <w:widowControl/>
        <w:numPr>
          <w:ilvl w:val="0"/>
          <w:numId w:val="72"/>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unable to raise additional debt or equity financing</w:t>
      </w:r>
      <w:r>
        <w:rPr>
          <w:rFonts w:ascii="Times New Roman" w:eastAsia="Times New Roman" w:hAnsi="Times New Roman" w:cs="Times New Roman"/>
          <w:b w:val="0"/>
          <w:i w:val="0"/>
          <w:sz w:val="20"/>
        </w:rPr>
        <w:t xml:space="preserve"> on acceptabl</w:t>
      </w:r>
      <w:r>
        <w:rPr>
          <w:rFonts w:ascii="Times New Roman" w:eastAsia="Times New Roman" w:hAnsi="Times New Roman" w:cs="Times New Roman"/>
          <w:b w:val="0"/>
          <w:i w:val="0"/>
          <w:sz w:val="20"/>
        </w:rPr>
        <w:t>e terms or at all,</w:t>
      </w:r>
      <w:r>
        <w:rPr>
          <w:rFonts w:ascii="Times New Roman" w:eastAsia="Times New Roman" w:hAnsi="Times New Roman" w:cs="Times New Roman"/>
          <w:b w:val="0"/>
          <w:i w:val="0"/>
          <w:sz w:val="20"/>
        </w:rPr>
        <w:t xml:space="preserve"> to operate during general economic or business downturns;</w:t>
      </w:r>
    </w:p>
    <w:p>
      <w:pPr>
        <w:keepNext w:val="0"/>
        <w:keepLines w:val="0"/>
        <w:pageBreakBefore w:val="0"/>
        <w:widowControl/>
        <w:numPr>
          <w:ilvl w:val="0"/>
          <w:numId w:val="73"/>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limited in our ability to borrow additional funds as needed or increasing the cost of such borrowing; </w:t>
      </w:r>
    </w:p>
    <w:p>
      <w:pPr>
        <w:keepNext w:val="0"/>
        <w:keepLines w:val="0"/>
        <w:pageBreakBefore w:val="0"/>
        <w:widowControl/>
        <w:numPr>
          <w:ilvl w:val="0"/>
          <w:numId w:val="74"/>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challenged in satisfying our obligations, including our debt obligations;</w:t>
      </w:r>
    </w:p>
    <w:p>
      <w:pPr>
        <w:keepNext w:val="0"/>
        <w:keepLines w:val="0"/>
        <w:pageBreakBefore w:val="0"/>
        <w:widowControl/>
        <w:numPr>
          <w:ilvl w:val="0"/>
          <w:numId w:val="75"/>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vulnerable to adverse economic and general industry conditions, including interest rate fluctuations, because a portion of our borrowings are and will continue to be at variable rates of interest;</w:t>
      </w:r>
    </w:p>
    <w:p>
      <w:pPr>
        <w:keepNext w:val="0"/>
        <w:keepLines w:val="0"/>
        <w:pageBreakBefore w:val="0"/>
        <w:widowControl/>
        <w:numPr>
          <w:ilvl w:val="0"/>
          <w:numId w:val="76"/>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required to dedicate a substantial portion of our cash flow from operations to payments on our debt, which would reduce the availability of our cash flow from operations to fund working capital, capital expenditures, or other general corporate purposes;</w:t>
      </w:r>
    </w:p>
    <w:p>
      <w:pPr>
        <w:keepNext w:val="0"/>
        <w:keepLines w:val="0"/>
        <w:pageBreakBefore w:val="0"/>
        <w:widowControl/>
        <w:numPr>
          <w:ilvl w:val="0"/>
          <w:numId w:val="77"/>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disadvantaged compared to competitors that may have proportionately less debt; or</w:t>
      </w:r>
    </w:p>
    <w:p>
      <w:pPr>
        <w:keepNext w:val="0"/>
        <w:keepLines w:val="0"/>
        <w:pageBreakBefore w:val="0"/>
        <w:widowControl/>
        <w:numPr>
          <w:ilvl w:val="0"/>
          <w:numId w:val="78"/>
        </w:numPr>
        <w:spacing w:before="0" w:after="0" w:line="288" w:lineRule="auto"/>
        <w:ind w:left="54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unable to compete effectively or to take advantage of new business opportunities.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A breach of the covenants under the indenture governing our Senior Secured Notes or the </w:t>
      </w:r>
      <w:r>
        <w:rPr>
          <w:rFonts w:ascii="Times New Roman" w:eastAsia="Times New Roman" w:hAnsi="Times New Roman" w:cs="Times New Roman"/>
          <w:b w:val="0"/>
          <w:i w:val="0"/>
          <w:sz w:val="20"/>
        </w:rPr>
        <w:t xml:space="preserve">Credit </w:t>
      </w:r>
      <w:r>
        <w:rPr>
          <w:rFonts w:ascii="Times New Roman" w:eastAsia="Times New Roman" w:hAnsi="Times New Roman" w:cs="Times New Roman"/>
          <w:b w:val="0"/>
          <w:i w:val="0"/>
          <w:sz w:val="20"/>
        </w:rPr>
        <w:t>Agreement</w:t>
      </w:r>
      <w:r>
        <w:rPr>
          <w:rFonts w:ascii="Times New Roman" w:eastAsia="Times New Roman" w:hAnsi="Times New Roman" w:cs="Times New Roman"/>
          <w:b w:val="0"/>
          <w:i w:val="0"/>
          <w:sz w:val="20"/>
        </w:rPr>
        <w:t xml:space="preserve"> could result in an event of default under the applicable indebtedness. Such a default, if not cured or waived, may allow the creditors to accelerate the related debt, may result in the acceleration of any other debt that is subject to an applicable cross-acceleration or cross-default provision, and would permit the lenders under the Revolving Credit Facility to terminate all commitments to extend further credit under the credit facility. Furthermore, if we were unable to repay the amounts due and payable under the Revolving Credit Facility, the lenders could proceed against the collateral securing such indebtedness. In the event our lenders or holders of the notes accelerate the repayment of our borrowings, we and our subsidiaries may not have sufficient assets to repay that indebtedness.</w:t>
      </w:r>
    </w:p>
    <w:p>
      <w:pPr>
        <w:keepNext w:val="0"/>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If our cash requirements in the future are greater than expected or our cash flow from operations is less than expected, our cash flow from operations may not be sufficient to repay all of the outstanding debt as it becomes due, and we may not be able to borrow money, sell assets, or otherwise raise funds on acceptable terms, or at all, to refinance our debt.</w:t>
      </w:r>
      <w:r>
        <w:rPr>
          <w:rFonts w:ascii="Times New Roman" w:eastAsia="Times New Roman" w:hAnsi="Times New Roman" w:cs="Times New Roman"/>
          <w:b w:val="0"/>
          <w:i w:val="0"/>
          <w:sz w:val="20"/>
        </w:rPr>
        <w:t xml:space="preserve"> Any future refinancing of our indebtedness could be at higher interest rates and may require us to comply with more onerous covenants which could further restrict our business operations. Additionally, the indenture relating to our Senior Secured Notes limits the use of the proceeds from any disposition of our assets. As a result, the indenture may prevent us from using the proceeds from such dispositions to satisfy our debt service obligations.</w:t>
      </w:r>
    </w:p>
    <w:p>
      <w:pPr>
        <w:keepNext/>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Our ability to continue to have the necessary liquidity to operate our business may be adversely impacted by a number of factors, and a deterioration of our results of operations and cash flow resulting from decreases in customer spending, could, among other things, impact our ability to comply with the consolidated fixed charge coverage ratio and the consolidated total net leverage ratio contained in our Revolving Credit Facility.</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historical sources of liquidity to fund ongoing cash requirements include cash flows from operations, cash and cash equivalents, borrowings through</w:t>
      </w:r>
      <w:r>
        <w:rPr>
          <w:rFonts w:ascii="Times New Roman" w:eastAsia="Times New Roman" w:hAnsi="Times New Roman" w:cs="Times New Roman"/>
          <w:b w:val="0"/>
          <w:i w:val="0"/>
          <w:sz w:val="20"/>
        </w:rPr>
        <w:t xml:space="preserve"> credit facilit</w:t>
      </w:r>
      <w:r>
        <w:rPr>
          <w:rFonts w:ascii="Times New Roman" w:eastAsia="Times New Roman" w:hAnsi="Times New Roman" w:cs="Times New Roman"/>
          <w:b w:val="0"/>
          <w:i w:val="0"/>
          <w:sz w:val="20"/>
        </w:rPr>
        <w:t>ies</w:t>
      </w:r>
      <w:r>
        <w:rPr>
          <w:rFonts w:ascii="Times New Roman" w:eastAsia="Times New Roman" w:hAnsi="Times New Roman" w:cs="Times New Roman"/>
          <w:b w:val="0"/>
          <w:i w:val="0"/>
          <w:sz w:val="20"/>
        </w:rPr>
        <w:t>, and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Revolving Credit Facility; and interest rate fluctuations.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sz w:val="20"/>
        </w:rPr>
        <w:t xml:space="preserve">Credit Agreement providing for our </w:t>
      </w:r>
      <w:r>
        <w:rPr>
          <w:rFonts w:ascii="Times New Roman" w:eastAsia="Times New Roman" w:hAnsi="Times New Roman" w:cs="Times New Roman"/>
          <w:b w:val="0"/>
          <w:i w:val="0"/>
          <w:sz w:val="20"/>
        </w:rPr>
        <w:t xml:space="preserve">Revolving Credit Facility contains a minimum consolidated fixed charge coverage ratio of </w:t>
      </w:r>
      <w:r>
        <w:rPr>
          <w:rFonts w:ascii="Times New Roman" w:eastAsia="Times New Roman" w:hAnsi="Times New Roman" w:cs="Times New Roman"/>
          <w:b w:val="0"/>
          <w:i w:val="0"/>
          <w:color w:val="000000"/>
          <w:sz w:val="20"/>
          <w:u w:val="none"/>
        </w:rPr>
        <w:t>1.25</w:t>
      </w:r>
      <w:r>
        <w:rPr>
          <w:rFonts w:ascii="Times New Roman" w:eastAsia="Times New Roman" w:hAnsi="Times New Roman" w:cs="Times New Roman"/>
          <w:b w:val="0"/>
          <w:i w:val="0"/>
          <w:sz w:val="20"/>
        </w:rPr>
        <w:t xml:space="preserve"> to </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sz w:val="20"/>
        </w:rPr>
        <w:t xml:space="preserve"> and a maximum consolidated total net leverage ratio (the “CTNL Ratio”). For the period from</w:t>
      </w:r>
      <w:r>
        <w:rPr>
          <w:rFonts w:ascii="Times New Roman" w:eastAsia="Times New Roman" w:hAnsi="Times New Roman" w:cs="Times New Roman"/>
          <w:b w:val="0"/>
          <w:i w:val="0"/>
          <w:sz w:val="20"/>
        </w:rPr>
        <w:t xml:space="preserve"> the fiscal quarter ending </w:t>
      </w:r>
      <w:r>
        <w:rPr>
          <w:rFonts w:ascii="Times New Roman" w:eastAsia="Times New Roman" w:hAnsi="Times New Roman" w:cs="Times New Roman"/>
          <w:b w:val="0"/>
          <w:i w:val="0"/>
          <w:color w:val="000000"/>
          <w:sz w:val="20"/>
          <w:u w:val="none"/>
        </w:rPr>
        <w:t>September 26, 2025</w:t>
      </w:r>
      <w:r>
        <w:rPr>
          <w:rFonts w:ascii="Times New Roman" w:eastAsia="Times New Roman" w:hAnsi="Times New Roman" w:cs="Times New Roman"/>
          <w:b w:val="0"/>
          <w:i w:val="0"/>
          <w:sz w:val="20"/>
        </w:rPr>
        <w:t xml:space="preserve"> to </w:t>
      </w:r>
      <w:r>
        <w:rPr>
          <w:rFonts w:ascii="Times New Roman" w:eastAsia="Times New Roman" w:hAnsi="Times New Roman" w:cs="Times New Roman"/>
          <w:b w:val="0"/>
          <w:i w:val="0"/>
          <w:color w:val="000000"/>
          <w:sz w:val="20"/>
          <w:u w:val="none"/>
        </w:rPr>
        <w:t>June 26, 2026</w:t>
      </w:r>
      <w:r>
        <w:rPr>
          <w:rFonts w:ascii="Times New Roman" w:eastAsia="Times New Roman" w:hAnsi="Times New Roman" w:cs="Times New Roman"/>
          <w:b w:val="0"/>
          <w:i w:val="0"/>
          <w:sz w:val="20"/>
        </w:rPr>
        <w:t xml:space="preserve">, the CTNL Ratio may not exceed </w:t>
      </w:r>
      <w:r>
        <w:rPr>
          <w:rFonts w:ascii="Times New Roman" w:eastAsia="Times New Roman" w:hAnsi="Times New Roman" w:cs="Times New Roman"/>
          <w:b w:val="0"/>
          <w:i w:val="0"/>
          <w:color w:val="000000"/>
          <w:sz w:val="20"/>
          <w:u w:val="none"/>
        </w:rPr>
        <w:t>3.75</w:t>
      </w:r>
      <w:r>
        <w:rPr>
          <w:rFonts w:ascii="Times New Roman" w:eastAsia="Times New Roman" w:hAnsi="Times New Roman" w:cs="Times New Roman"/>
          <w:b w:val="0"/>
          <w:i w:val="0"/>
          <w:sz w:val="20"/>
        </w:rPr>
        <w:t>:</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sz w:val="20"/>
        </w:rPr>
        <w:t xml:space="preserve">, and for the period from the fiscal quarter ending </w:t>
      </w:r>
      <w:r>
        <w:rPr>
          <w:rFonts w:ascii="Times New Roman" w:eastAsia="Times New Roman" w:hAnsi="Times New Roman" w:cs="Times New Roman"/>
          <w:b w:val="0"/>
          <w:i w:val="0"/>
          <w:color w:val="000000"/>
          <w:sz w:val="20"/>
          <w:u w:val="none"/>
        </w:rPr>
        <w:t>September 25, 2026</w:t>
      </w:r>
      <w:r>
        <w:rPr>
          <w:rFonts w:ascii="Times New Roman" w:eastAsia="Times New Roman" w:hAnsi="Times New Roman" w:cs="Times New Roman"/>
          <w:b w:val="0"/>
          <w:i w:val="0"/>
          <w:sz w:val="20"/>
        </w:rPr>
        <w:t xml:space="preserve"> and thereafter, the CTNL Ratio may not exceed </w:t>
      </w:r>
      <w:r>
        <w:rPr>
          <w:rFonts w:ascii="Times New Roman" w:eastAsia="Times New Roman" w:hAnsi="Times New Roman" w:cs="Times New Roman"/>
          <w:b w:val="0"/>
          <w:i w:val="0"/>
          <w:color w:val="000000"/>
          <w:sz w:val="20"/>
          <w:u w:val="none"/>
        </w:rPr>
        <w:t>3.50</w:t>
      </w:r>
      <w:r>
        <w:rPr>
          <w:rFonts w:ascii="Times New Roman" w:eastAsia="Times New Roman" w:hAnsi="Times New Roman" w:cs="Times New Roman"/>
          <w:b w:val="0"/>
          <w:i w:val="0"/>
          <w:sz w:val="20"/>
        </w:rPr>
        <w:t>:</w:t>
      </w:r>
      <w:r>
        <w:rPr>
          <w:rFonts w:ascii="Times New Roman" w:eastAsia="Times New Roman" w:hAnsi="Times New Roman" w:cs="Times New Roman"/>
          <w:b w:val="0"/>
          <w:i w:val="0"/>
          <w:color w:val="000000"/>
          <w:sz w:val="20"/>
          <w:u w:val="none"/>
        </w:rPr>
        <w:t>1.00</w:t>
      </w:r>
      <w:r>
        <w:rPr>
          <w:rFonts w:ascii="Times New Roman" w:eastAsia="Times New Roman" w:hAnsi="Times New Roman" w:cs="Times New Roman"/>
          <w:b w:val="0"/>
          <w:i w:val="0"/>
          <w:sz w:val="20"/>
        </w:rPr>
        <w:t>. Each ratio is tested on the last day of each fiscal quarter. Adverse developments in the economy in the past have led and in the future could lead to reduced spending by our customers and end-users which could adversely impact our net sales and cash flow, which could affect our ability to comply with one or both of these ratios.</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val="0"/>
          <w:sz w:val="20"/>
        </w:rPr>
        <w:t>General Risks</w:t>
      </w:r>
    </w:p>
    <w:p>
      <w:pPr>
        <w:keepNext w:val="0"/>
        <w:keepLines w:val="0"/>
        <w:pageBreakBefore w:val="0"/>
        <w:widowControl/>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Failure to maintain effective internal controls and procedures</w:t>
      </w:r>
      <w:r>
        <w:rPr>
          <w:rFonts w:ascii="Times New Roman" w:eastAsia="Times New Roman" w:hAnsi="Times New Roman" w:cs="Times New Roman"/>
          <w:b/>
          <w:i/>
          <w:sz w:val="20"/>
        </w:rPr>
        <w:t xml:space="preserve"> and changes in accounting standards an</w:t>
      </w:r>
      <w:r>
        <w:rPr>
          <w:rFonts w:ascii="Times New Roman" w:eastAsia="Times New Roman" w:hAnsi="Times New Roman" w:cs="Times New Roman"/>
          <w:b/>
          <w:i/>
          <w:sz w:val="20"/>
        </w:rPr>
        <w:t>d</w:t>
      </w:r>
      <w:r>
        <w:rPr>
          <w:rFonts w:ascii="Times New Roman" w:eastAsia="Times New Roman" w:hAnsi="Times New Roman" w:cs="Times New Roman"/>
          <w:b/>
          <w:i/>
          <w:sz w:val="20"/>
        </w:rPr>
        <w:t xml:space="preserve"> subjective assumptions, estimates and judgements by ma</w:t>
      </w:r>
      <w:r>
        <w:rPr>
          <w:rFonts w:ascii="Times New Roman" w:eastAsia="Times New Roman" w:hAnsi="Times New Roman" w:cs="Times New Roman"/>
          <w:b/>
          <w:i/>
          <w:sz w:val="20"/>
        </w:rPr>
        <w:t>nagement related to complex accounting matters</w:t>
      </w:r>
      <w:r>
        <w:rPr>
          <w:rFonts w:ascii="Times New Roman" w:eastAsia="Times New Roman" w:hAnsi="Times New Roman" w:cs="Times New Roman"/>
          <w:b/>
          <w:i/>
          <w:sz w:val="20"/>
        </w:rPr>
        <w:t xml:space="preserve"> could negatively im</w:t>
      </w:r>
      <w:r>
        <w:rPr>
          <w:rFonts w:ascii="Times New Roman" w:eastAsia="Times New Roman" w:hAnsi="Times New Roman" w:cs="Times New Roman"/>
          <w:b/>
          <w:i/>
          <w:color w:val="000000"/>
          <w:sz w:val="20"/>
          <w:u w:val="none"/>
        </w:rPr>
        <w:t>pact us.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we had previously believed that internal controls were effective. If our internal controls and procedures are not effective, our financial statements may not accurately reflect the results of our business and operations. In addition, there could also be a negative reaction in the financial markets due to a loss of investor confidence in us and the reliability of our financial statements, which could affect our stock price.</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GAAP and related accounting pronouncement</w:t>
      </w:r>
      <w:r>
        <w:rPr>
          <w:rFonts w:ascii="Times New Roman" w:eastAsia="Times New Roman" w:hAnsi="Times New Roman" w:cs="Times New Roman"/>
          <w:b w:val="0"/>
          <w:i w:val="0"/>
          <w:sz w:val="20"/>
        </w:rPr>
        <w:t>s, implementation guidelines and interpretation</w:t>
      </w:r>
      <w:r>
        <w:rPr>
          <w:rFonts w:ascii="Times New Roman" w:eastAsia="Times New Roman" w:hAnsi="Times New Roman" w:cs="Times New Roman"/>
          <w:b w:val="0"/>
          <w:i w:val="0"/>
          <w:sz w:val="20"/>
        </w:rPr>
        <w:t>s with regard</w:t>
      </w:r>
      <w:r>
        <w:rPr>
          <w:rFonts w:ascii="Times New Roman" w:eastAsia="Times New Roman" w:hAnsi="Times New Roman" w:cs="Times New Roman"/>
          <w:b w:val="0"/>
          <w:i w:val="0"/>
          <w:sz w:val="20"/>
        </w:rPr>
        <w:t xml:space="preserve"> to a wide range of matters that are relevant to our business</w:t>
      </w:r>
      <w:r>
        <w:rPr>
          <w:rFonts w:ascii="Times New Roman" w:eastAsia="Times New Roman" w:hAnsi="Times New Roman" w:cs="Times New Roman"/>
          <w:b w:val="0"/>
          <w:i w:val="0"/>
          <w:sz w:val="20"/>
        </w:rPr>
        <w:t>, such as revenue recognition, impairment of in</w:t>
      </w:r>
      <w:r>
        <w:rPr>
          <w:rFonts w:ascii="Times New Roman" w:eastAsia="Times New Roman" w:hAnsi="Times New Roman" w:cs="Times New Roman"/>
          <w:b w:val="0"/>
          <w:i w:val="0"/>
          <w:sz w:val="20"/>
        </w:rPr>
        <w:t>tangible assets, fair value determination</w:t>
      </w:r>
      <w:r>
        <w:rPr>
          <w:rFonts w:ascii="Times New Roman" w:eastAsia="Times New Roman" w:hAnsi="Times New Roman" w:cs="Times New Roman"/>
          <w:b w:val="0"/>
          <w:i w:val="0"/>
          <w:sz w:val="20"/>
        </w:rPr>
        <w:t>s, lease obligations, vendor allowances</w:t>
      </w:r>
      <w:r>
        <w:rPr>
          <w:rFonts w:ascii="Times New Roman" w:eastAsia="Times New Roman" w:hAnsi="Times New Roman" w:cs="Times New Roman"/>
          <w:b w:val="0"/>
          <w:i w:val="0"/>
          <w:sz w:val="20"/>
        </w:rPr>
        <w:t>, tax matter</w:t>
      </w:r>
      <w:r>
        <w:rPr>
          <w:rFonts w:ascii="Times New Roman" w:eastAsia="Times New Roman" w:hAnsi="Times New Roman" w:cs="Times New Roman"/>
          <w:b w:val="0"/>
          <w:i w:val="0"/>
          <w:sz w:val="20"/>
        </w:rPr>
        <w:t>s and litigatio</w:t>
      </w:r>
      <w:r>
        <w:rPr>
          <w:rFonts w:ascii="Times New Roman" w:eastAsia="Times New Roman" w:hAnsi="Times New Roman" w:cs="Times New Roman"/>
          <w:b w:val="0"/>
          <w:i w:val="0"/>
          <w:sz w:val="20"/>
        </w:rPr>
        <w:t>n</w:t>
      </w:r>
      <w:r>
        <w:rPr>
          <w:rFonts w:ascii="Times New Roman" w:eastAsia="Times New Roman" w:hAnsi="Times New Roman" w:cs="Times New Roman"/>
          <w:b w:val="0"/>
          <w:i w:val="0"/>
          <w:sz w:val="20"/>
        </w:rPr>
        <w:t>, are complex and involve many subjective assumptions</w:t>
      </w:r>
      <w:r>
        <w:rPr>
          <w:rFonts w:ascii="Times New Roman" w:eastAsia="Times New Roman" w:hAnsi="Times New Roman" w:cs="Times New Roman"/>
          <w:b w:val="0"/>
          <w:i w:val="0"/>
          <w:sz w:val="20"/>
        </w:rPr>
        <w:t>, estim</w:t>
      </w:r>
      <w:r>
        <w:rPr>
          <w:rFonts w:ascii="Times New Roman" w:eastAsia="Times New Roman" w:hAnsi="Times New Roman" w:cs="Times New Roman"/>
          <w:b w:val="0"/>
          <w:i w:val="0"/>
          <w:sz w:val="20"/>
        </w:rPr>
        <w:t>ates and judgements</w:t>
      </w:r>
      <w:r>
        <w:rPr>
          <w:rFonts w:ascii="Times New Roman" w:eastAsia="Times New Roman" w:hAnsi="Times New Roman" w:cs="Times New Roman"/>
          <w:b w:val="0"/>
          <w:i w:val="0"/>
          <w:sz w:val="20"/>
        </w:rPr>
        <w:t xml:space="preserve">. Changes </w:t>
      </w:r>
      <w:r>
        <w:rPr>
          <w:rFonts w:ascii="Times New Roman" w:eastAsia="Times New Roman" w:hAnsi="Times New Roman" w:cs="Times New Roman"/>
          <w:b w:val="0"/>
          <w:i w:val="0"/>
          <w:sz w:val="20"/>
        </w:rPr>
        <w:t>i</w:t>
      </w:r>
      <w:r>
        <w:rPr>
          <w:rFonts w:ascii="Times New Roman" w:eastAsia="Times New Roman" w:hAnsi="Times New Roman" w:cs="Times New Roman"/>
          <w:b w:val="0"/>
          <w:i w:val="0"/>
          <w:sz w:val="20"/>
        </w:rPr>
        <w:t>n account</w:t>
      </w:r>
      <w:r>
        <w:rPr>
          <w:rFonts w:ascii="Times New Roman" w:eastAsia="Times New Roman" w:hAnsi="Times New Roman" w:cs="Times New Roman"/>
          <w:b w:val="0"/>
          <w:i w:val="0"/>
          <w:sz w:val="20"/>
        </w:rPr>
        <w:t xml:space="preserve">ing standards or their interpretation or changes in underlying assumptions, </w:t>
      </w:r>
      <w:r>
        <w:rPr>
          <w:rFonts w:ascii="Times New Roman" w:eastAsia="Times New Roman" w:hAnsi="Times New Roman" w:cs="Times New Roman"/>
          <w:b w:val="0"/>
          <w:i w:val="0"/>
          <w:sz w:val="20"/>
        </w:rPr>
        <w:t xml:space="preserve">estimates or judgements could change our reported or expected financial performance or financial condition. As described in Note </w:t>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sz w:val="20"/>
        </w:rPr>
        <w:t xml:space="preserve"> to our </w:t>
      </w:r>
      <w:r>
        <w:rPr>
          <w:rFonts w:ascii="Times New Roman" w:eastAsia="Times New Roman" w:hAnsi="Times New Roman" w:cs="Times New Roman"/>
          <w:b w:val="0"/>
          <w:i w:val="0"/>
          <w:color w:val="000000"/>
          <w:sz w:val="20"/>
          <w:u w:val="none"/>
        </w:rPr>
        <w:t>Condensed Co</w:t>
      </w:r>
      <w:r>
        <w:rPr>
          <w:rFonts w:ascii="Times New Roman" w:eastAsia="Times New Roman" w:hAnsi="Times New Roman" w:cs="Times New Roman"/>
          <w:b w:val="0"/>
          <w:i w:val="0"/>
          <w:color w:val="000000"/>
          <w:sz w:val="20"/>
          <w:u w:val="none"/>
        </w:rPr>
        <w:t>nsolidated Financial Statements</w:t>
      </w:r>
      <w:r>
        <w:rPr>
          <w:rFonts w:ascii="Times New Roman" w:eastAsia="Times New Roman" w:hAnsi="Times New Roman" w:cs="Times New Roman"/>
          <w:b w:val="0"/>
          <w:i w:val="0"/>
          <w:sz w:val="20"/>
        </w:rPr>
        <w:t xml:space="preserve"> under </w:t>
      </w:r>
      <w:r>
        <w:rPr>
          <w:rFonts w:ascii="Times New Roman" w:eastAsia="Times New Roman" w:hAnsi="Times New Roman" w:cs="Times New Roman"/>
          <w:b w:val="0"/>
          <w:i w:val="0"/>
          <w:sz w:val="20"/>
        </w:rPr>
        <w:t>"</w:t>
      </w:r>
      <w:r>
        <w:rPr>
          <w:rFonts w:ascii="Times New Roman" w:eastAsia="Times New Roman" w:hAnsi="Times New Roman" w:cs="Times New Roman"/>
          <w:b w:val="0"/>
          <w:i/>
          <w:sz w:val="20"/>
        </w:rPr>
        <w:t>R</w:t>
      </w:r>
      <w:r>
        <w:rPr>
          <w:rFonts w:ascii="Times New Roman" w:eastAsia="Times New Roman" w:hAnsi="Times New Roman" w:cs="Times New Roman"/>
          <w:b w:val="0"/>
          <w:i/>
          <w:sz w:val="20"/>
        </w:rPr>
        <w:t>evision</w:t>
      </w:r>
      <w:r>
        <w:rPr>
          <w:rFonts w:ascii="Times New Roman" w:eastAsia="Times New Roman" w:hAnsi="Times New Roman" w:cs="Times New Roman"/>
          <w:b w:val="0"/>
          <w:i/>
          <w:sz w:val="20"/>
        </w:rPr>
        <w:t>s</w:t>
      </w:r>
      <w:r>
        <w:rPr>
          <w:rFonts w:ascii="Times New Roman" w:eastAsia="Times New Roman" w:hAnsi="Times New Roman" w:cs="Times New Roman"/>
          <w:b w:val="0"/>
          <w:i/>
          <w:sz w:val="20"/>
        </w:rPr>
        <w:t xml:space="preserve"> to </w:t>
      </w:r>
      <w:r>
        <w:rPr>
          <w:rFonts w:ascii="Times New Roman" w:eastAsia="Times New Roman" w:hAnsi="Times New Roman" w:cs="Times New Roman"/>
          <w:b w:val="0"/>
          <w:i/>
          <w:sz w:val="20"/>
        </w:rPr>
        <w:t>P</w:t>
      </w:r>
      <w:r>
        <w:rPr>
          <w:rFonts w:ascii="Times New Roman" w:eastAsia="Times New Roman" w:hAnsi="Times New Roman" w:cs="Times New Roman"/>
          <w:b w:val="0"/>
          <w:i/>
          <w:sz w:val="20"/>
        </w:rPr>
        <w:t>rior Period Financial Statements</w:t>
      </w:r>
      <w:r>
        <w:rPr>
          <w:rFonts w:ascii="Times New Roman" w:eastAsia="Times New Roman" w:hAnsi="Times New Roman" w:cs="Times New Roman"/>
          <w:b w:val="0"/>
          <w:i/>
          <w:sz w:val="20"/>
        </w:rPr>
        <w:t>"</w:t>
      </w:r>
      <w:r>
        <w:rPr>
          <w:rFonts w:ascii="Times New Roman" w:eastAsia="Times New Roman" w:hAnsi="Times New Roman" w:cs="Times New Roman"/>
          <w:b w:val="0"/>
          <w:i w:val="0"/>
          <w:sz w:val="20"/>
        </w:rPr>
        <w:t xml:space="preserve"> during </w:t>
      </w:r>
      <w:r>
        <w:rPr>
          <w:rFonts w:ascii="Times New Roman" w:eastAsia="Times New Roman" w:hAnsi="Times New Roman" w:cs="Times New Roman"/>
          <w:b w:val="0"/>
          <w:i w:val="0"/>
          <w:sz w:val="20"/>
        </w:rPr>
        <w:t xml:space="preserve">the quarter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we identifie</w:t>
      </w:r>
      <w:r>
        <w:rPr>
          <w:rFonts w:ascii="Times New Roman" w:eastAsia="Times New Roman" w:hAnsi="Times New Roman" w:cs="Times New Roman"/>
          <w:b w:val="0"/>
          <w:i w:val="0"/>
          <w:sz w:val="20"/>
        </w:rPr>
        <w:t>d</w:t>
      </w:r>
      <w:r>
        <w:rPr>
          <w:rFonts w:ascii="Times New Roman" w:eastAsia="Times New Roman" w:hAnsi="Times New Roman" w:cs="Times New Roman"/>
          <w:b w:val="0"/>
          <w:i w:val="0"/>
          <w:sz w:val="20"/>
        </w:rPr>
        <w:t xml:space="preserve"> an error related to deferred ta</w:t>
      </w:r>
      <w:r>
        <w:rPr>
          <w:rFonts w:ascii="Times New Roman" w:eastAsia="Times New Roman" w:hAnsi="Times New Roman" w:cs="Times New Roman"/>
          <w:b w:val="0"/>
          <w:i w:val="0"/>
          <w:sz w:val="20"/>
        </w:rPr>
        <w:t>x</w:t>
      </w:r>
      <w:r>
        <w:rPr>
          <w:rFonts w:ascii="Times New Roman" w:eastAsia="Times New Roman" w:hAnsi="Times New Roman" w:cs="Times New Roman"/>
          <w:b w:val="0"/>
          <w:i w:val="0"/>
          <w:sz w:val="20"/>
        </w:rPr>
        <w:t xml:space="preserve"> assets and liabilities and income tax expense in prior periods. The effect of the error was not material, individually or in aggregate</w:t>
      </w:r>
      <w:r>
        <w:rPr>
          <w:rFonts w:ascii="Times New Roman" w:eastAsia="Times New Roman" w:hAnsi="Times New Roman" w:cs="Times New Roman"/>
          <w:b w:val="0"/>
          <w:i w:val="0"/>
          <w:sz w:val="20"/>
        </w:rPr>
        <w:t xml:space="preserve"> i</w:t>
      </w:r>
      <w:r>
        <w:rPr>
          <w:rFonts w:ascii="Times New Roman" w:eastAsia="Times New Roman" w:hAnsi="Times New Roman" w:cs="Times New Roman"/>
          <w:b w:val="0"/>
          <w:i w:val="0"/>
          <w:sz w:val="20"/>
        </w:rPr>
        <w:t>n prior periods</w:t>
      </w:r>
      <w:r>
        <w:rPr>
          <w:rFonts w:ascii="Times New Roman" w:eastAsia="Times New Roman" w:hAnsi="Times New Roman" w:cs="Times New Roman"/>
          <w:b w:val="0"/>
          <w:i w:val="0"/>
          <w:sz w:val="20"/>
        </w:rPr>
        <w:t xml:space="preserve">, but correcting the effect of the error as an </w:t>
      </w:r>
      <w:r>
        <w:rPr>
          <w:rFonts w:ascii="Times New Roman" w:eastAsia="Times New Roman" w:hAnsi="Times New Roman" w:cs="Times New Roman"/>
          <w:b w:val="0"/>
          <w:i w:val="0"/>
          <w:sz w:val="20"/>
        </w:rPr>
        <w:t>out</w:t>
      </w:r>
      <w:r>
        <w:rPr>
          <w:rFonts w:ascii="Times New Roman" w:eastAsia="Times New Roman" w:hAnsi="Times New Roman" w:cs="Times New Roman"/>
          <w:b w:val="0"/>
          <w:i w:val="0"/>
          <w:sz w:val="20"/>
        </w:rPr>
        <w:t xml:space="preserve">-of -period adjustment </w:t>
      </w:r>
      <w:r>
        <w:rPr>
          <w:rFonts w:ascii="Times New Roman" w:eastAsia="Times New Roman" w:hAnsi="Times New Roman" w:cs="Times New Roman"/>
          <w:b w:val="0"/>
          <w:i w:val="0"/>
          <w:sz w:val="20"/>
        </w:rPr>
        <w:t>for the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quarter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would </w:t>
      </w:r>
      <w:r>
        <w:rPr>
          <w:rFonts w:ascii="Times New Roman" w:eastAsia="Times New Roman" w:hAnsi="Times New Roman" w:cs="Times New Roman"/>
          <w:b w:val="0"/>
          <w:i w:val="0"/>
          <w:sz w:val="20"/>
        </w:rPr>
        <w:t>have been material</w:t>
      </w:r>
      <w:r>
        <w:rPr>
          <w:rFonts w:ascii="Times New Roman" w:eastAsia="Times New Roman" w:hAnsi="Times New Roman" w:cs="Times New Roman"/>
          <w:b w:val="0"/>
          <w:i w:val="0"/>
          <w:sz w:val="20"/>
        </w:rPr>
        <w:t>.</w:t>
      </w:r>
    </w:p>
    <w:p>
      <w:pPr>
        <w:keepNext w:val="0"/>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Our financial condition and results of operations </w:t>
      </w:r>
      <w:r>
        <w:rPr>
          <w:rFonts w:ascii="Times New Roman" w:eastAsia="Times New Roman" w:hAnsi="Times New Roman" w:cs="Times New Roman"/>
          <w:b/>
          <w:i/>
          <w:sz w:val="20"/>
        </w:rPr>
        <w:t>could suffer if there i</w:t>
      </w:r>
      <w:r>
        <w:rPr>
          <w:rFonts w:ascii="Times New Roman" w:eastAsia="Times New Roman" w:hAnsi="Times New Roman" w:cs="Times New Roman"/>
          <w:b/>
          <w:i/>
          <w:sz w:val="20"/>
        </w:rPr>
        <w:t>s</w:t>
      </w:r>
      <w:r>
        <w:rPr>
          <w:rFonts w:ascii="Times New Roman" w:eastAsia="Times New Roman" w:hAnsi="Times New Roman" w:cs="Times New Roman"/>
          <w:b/>
          <w:i/>
          <w:sz w:val="20"/>
        </w:rPr>
        <w:t xml:space="preserve"> an impa</w:t>
      </w:r>
      <w:r>
        <w:rPr>
          <w:rFonts w:ascii="Times New Roman" w:eastAsia="Times New Roman" w:hAnsi="Times New Roman" w:cs="Times New Roman"/>
          <w:b/>
          <w:i/>
          <w:sz w:val="20"/>
        </w:rPr>
        <w:t>irment of goodwill</w:t>
      </w:r>
      <w:r>
        <w:rPr>
          <w:rFonts w:ascii="Times New Roman" w:eastAsia="Times New Roman" w:hAnsi="Times New Roman" w:cs="Times New Roman"/>
          <w:b/>
          <w:i/>
          <w:sz w:val="20"/>
        </w:rPr>
        <w:t>.</w:t>
      </w:r>
    </w:p>
    <w:p>
      <w:pPr>
        <w:keepNext w:val="0"/>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sz w:val="20"/>
        </w:rPr>
        <w:t xml:space="preserve">, our goodwill was </w:t>
      </w:r>
      <w:r>
        <w:rPr>
          <w:rFonts w:ascii="Times New Roman" w:eastAsia="Times New Roman" w:hAnsi="Times New Roman" w:cs="Times New Roman"/>
          <w:b w:val="0"/>
          <w:i w:val="0"/>
          <w:color w:val="000000"/>
          <w:sz w:val="20"/>
          <w:u w:val="none"/>
        </w:rPr>
        <w:t>$198.5</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We are required to test intangible assets with indefinite lives, including goodwill, annually or, in certain instances, more frequently, and may be required to </w:t>
      </w:r>
      <w:r>
        <w:rPr>
          <w:rFonts w:ascii="Times New Roman" w:eastAsia="Times New Roman" w:hAnsi="Times New Roman" w:cs="Times New Roman"/>
          <w:b w:val="0"/>
          <w:i w:val="0"/>
          <w:sz w:val="20"/>
        </w:rPr>
        <w:t xml:space="preserve">record impairment charges, which would reduce any earnings or increase any loss for the period in which the impairment was determined to have </w:t>
      </w:r>
      <w:r>
        <w:rPr>
          <w:rFonts w:ascii="Times New Roman" w:eastAsia="Times New Roman" w:hAnsi="Times New Roman" w:cs="Times New Roman"/>
          <w:b w:val="0"/>
          <w:i w:val="0"/>
          <w:sz w:val="20"/>
        </w:rPr>
        <w:t>occurred</w:t>
      </w:r>
      <w:r>
        <w:rPr>
          <w:rFonts w:ascii="Times New Roman" w:eastAsia="Times New Roman" w:hAnsi="Times New Roman" w:cs="Times New Roman"/>
          <w:b w:val="0"/>
          <w:i w:val="0"/>
          <w:sz w:val="20"/>
        </w:rPr>
        <w:t xml:space="preserve">. For </w:t>
      </w:r>
      <w:r>
        <w:rPr>
          <w:rFonts w:ascii="Times New Roman" w:eastAsia="Times New Roman" w:hAnsi="Times New Roman" w:cs="Times New Roman"/>
          <w:b w:val="0"/>
          <w:i w:val="0"/>
          <w:sz w:val="20"/>
        </w:rPr>
        <w:t>example, during the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w:t>
      </w:r>
      <w:r>
        <w:rPr>
          <w:rFonts w:ascii="Times New Roman" w:eastAsia="Times New Roman" w:hAnsi="Times New Roman" w:cs="Times New Roman"/>
          <w:b w:val="0"/>
          <w:i w:val="0"/>
          <w:sz w:val="20"/>
        </w:rPr>
        <w:t>ree month</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ended July 4, 2025, changes in facts and circumstances related to sustained decre</w:t>
      </w:r>
      <w:r>
        <w:rPr>
          <w:rFonts w:ascii="Times New Roman" w:eastAsia="Times New Roman" w:hAnsi="Times New Roman" w:cs="Times New Roman"/>
          <w:b w:val="0"/>
          <w:i w:val="0"/>
          <w:sz w:val="20"/>
        </w:rPr>
        <w:t>ase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in our stock price, a dec</w:t>
      </w:r>
      <w:r>
        <w:rPr>
          <w:rFonts w:ascii="Times New Roman" w:eastAsia="Times New Roman" w:hAnsi="Times New Roman" w:cs="Times New Roman"/>
          <w:b w:val="0"/>
          <w:i w:val="0"/>
          <w:sz w:val="20"/>
        </w:rPr>
        <w:t>rease in our market capitali</w:t>
      </w:r>
      <w:r>
        <w:rPr>
          <w:rFonts w:ascii="Times New Roman" w:eastAsia="Times New Roman" w:hAnsi="Times New Roman" w:cs="Times New Roman"/>
          <w:b w:val="0"/>
          <w:i w:val="0"/>
          <w:sz w:val="20"/>
        </w:rPr>
        <w:t xml:space="preserve">zation, </w:t>
      </w:r>
      <w:r>
        <w:rPr>
          <w:rFonts w:ascii="Times New Roman" w:eastAsia="Times New Roman" w:hAnsi="Times New Roman" w:cs="Times New Roman"/>
          <w:b w:val="0"/>
          <w:i w:val="0"/>
          <w:sz w:val="20"/>
        </w:rPr>
        <w:t>and</w:t>
      </w:r>
      <w:r>
        <w:rPr>
          <w:rFonts w:ascii="Times New Roman" w:eastAsia="Times New Roman" w:hAnsi="Times New Roman" w:cs="Times New Roman"/>
          <w:b w:val="0"/>
          <w:i w:val="0"/>
          <w:sz w:val="20"/>
        </w:rPr>
        <w:t xml:space="preserve"> downward r</w:t>
      </w:r>
      <w:r>
        <w:rPr>
          <w:rFonts w:ascii="Times New Roman" w:eastAsia="Times New Roman" w:hAnsi="Times New Roman" w:cs="Times New Roman"/>
          <w:b w:val="0"/>
          <w:i w:val="0"/>
          <w:sz w:val="20"/>
        </w:rPr>
        <w:t>e</w:t>
      </w:r>
      <w:r>
        <w:rPr>
          <w:rFonts w:ascii="Times New Roman" w:eastAsia="Times New Roman" w:hAnsi="Times New Roman" w:cs="Times New Roman"/>
          <w:b w:val="0"/>
          <w:i w:val="0"/>
          <w:sz w:val="20"/>
        </w:rPr>
        <w:t>visions in our longer-term forecast received during the quarter, which include the impact of tariff</w:t>
      </w:r>
      <w:r>
        <w:rPr>
          <w:rFonts w:ascii="Times New Roman" w:eastAsia="Times New Roman" w:hAnsi="Times New Roman" w:cs="Times New Roman"/>
          <w:b w:val="0"/>
          <w:i w:val="0"/>
          <w:sz w:val="20"/>
        </w:rPr>
        <w:t xml:space="preserve">s and </w:t>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sz w:val="20"/>
        </w:rPr>
        <w:t xml:space="preserve">MOFCOM </w:t>
      </w:r>
      <w:r>
        <w:rPr>
          <w:rFonts w:ascii="Times New Roman" w:eastAsia="Times New Roman" w:hAnsi="Times New Roman" w:cs="Times New Roman"/>
          <w:b w:val="0"/>
          <w:i w:val="0"/>
          <w:sz w:val="20"/>
        </w:rPr>
        <w:t>I</w:t>
      </w:r>
      <w:r>
        <w:rPr>
          <w:rFonts w:ascii="Times New Roman" w:eastAsia="Times New Roman" w:hAnsi="Times New Roman" w:cs="Times New Roman"/>
          <w:b w:val="0"/>
          <w:i w:val="0"/>
          <w:sz w:val="20"/>
        </w:rPr>
        <w:t>nvestigation</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announcements, r</w:t>
      </w:r>
      <w:r>
        <w:rPr>
          <w:rFonts w:ascii="Times New Roman" w:eastAsia="Times New Roman" w:hAnsi="Times New Roman" w:cs="Times New Roman"/>
          <w:b w:val="0"/>
          <w:i w:val="0"/>
          <w:sz w:val="20"/>
        </w:rPr>
        <w:t xml:space="preserve">esulted in our determination that the carrying amount of our </w:t>
      </w:r>
      <w:r>
        <w:rPr>
          <w:rFonts w:ascii="Times New Roman" w:eastAsia="Times New Roman" w:hAnsi="Times New Roman" w:cs="Times New Roman"/>
          <w:b w:val="0"/>
          <w:i w:val="0"/>
          <w:sz w:val="20"/>
        </w:rPr>
        <w:t xml:space="preserve">Medical reporting unit exceeded its fair value. Accordingly, we recorded a </w:t>
      </w:r>
      <w:r>
        <w:rPr>
          <w:rFonts w:ascii="Times New Roman" w:eastAsia="Times New Roman" w:hAnsi="Times New Roman" w:cs="Times New Roman"/>
          <w:b w:val="0"/>
          <w:i w:val="0"/>
          <w:color w:val="000000"/>
          <w:sz w:val="20"/>
          <w:u w:val="none"/>
        </w:rPr>
        <w:t>$93.9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goodwill </w:t>
      </w:r>
      <w:r>
        <w:rPr>
          <w:rFonts w:ascii="Times New Roman" w:eastAsia="Times New Roman" w:hAnsi="Times New Roman" w:cs="Times New Roman"/>
          <w:b w:val="0"/>
          <w:i w:val="0"/>
          <w:sz w:val="20"/>
        </w:rPr>
        <w:t>im</w:t>
      </w:r>
      <w:r>
        <w:rPr>
          <w:rFonts w:ascii="Times New Roman" w:eastAsia="Times New Roman" w:hAnsi="Times New Roman" w:cs="Times New Roman"/>
          <w:b w:val="0"/>
          <w:i w:val="0"/>
          <w:sz w:val="20"/>
        </w:rPr>
        <w:t xml:space="preserve">pairment charge to our Medical reporting unit. Our goodwill </w:t>
      </w:r>
      <w:r>
        <w:rPr>
          <w:rFonts w:ascii="Times New Roman" w:eastAsia="Times New Roman" w:hAnsi="Times New Roman" w:cs="Times New Roman"/>
          <w:b w:val="0"/>
          <w:i w:val="0"/>
          <w:sz w:val="20"/>
        </w:rPr>
        <w:t>imp</w:t>
      </w:r>
      <w:r>
        <w:rPr>
          <w:rFonts w:ascii="Times New Roman" w:eastAsia="Times New Roman" w:hAnsi="Times New Roman" w:cs="Times New Roman"/>
          <w:b w:val="0"/>
          <w:i w:val="0"/>
          <w:sz w:val="20"/>
        </w:rPr>
        <w:t>airment analysis is sensitive to c</w:t>
      </w:r>
      <w:r>
        <w:rPr>
          <w:rFonts w:ascii="Times New Roman" w:eastAsia="Times New Roman" w:hAnsi="Times New Roman" w:cs="Times New Roman"/>
          <w:b w:val="0"/>
          <w:i w:val="0"/>
          <w:sz w:val="20"/>
        </w:rPr>
        <w:t>hanges in key assumptions used in our analysis. If the assumptions used in our analysis are not realized</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it is possible</w:t>
      </w:r>
      <w:r>
        <w:rPr>
          <w:rFonts w:ascii="Times New Roman" w:eastAsia="Times New Roman" w:hAnsi="Times New Roman" w:cs="Times New Roman"/>
          <w:b w:val="0"/>
          <w:i w:val="0"/>
          <w:sz w:val="20"/>
        </w:rPr>
        <w:t xml:space="preserve"> that a further impairment charge may </w:t>
      </w:r>
      <w:r>
        <w:rPr>
          <w:rFonts w:ascii="Times New Roman" w:eastAsia="Times New Roman" w:hAnsi="Times New Roman" w:cs="Times New Roman"/>
          <w:b w:val="0"/>
          <w:i w:val="0"/>
          <w:sz w:val="20"/>
        </w:rPr>
        <w:t>need to be recorded in the fu</w:t>
      </w:r>
      <w:r>
        <w:rPr>
          <w:rFonts w:ascii="Times New Roman" w:eastAsia="Times New Roman" w:hAnsi="Times New Roman" w:cs="Times New Roman"/>
          <w:b w:val="0"/>
          <w:i w:val="0"/>
          <w:sz w:val="20"/>
        </w:rPr>
        <w:t xml:space="preserve">ture. We cannot accurately predict the </w:t>
      </w:r>
      <w:r>
        <w:rPr>
          <w:rFonts w:ascii="Times New Roman" w:eastAsia="Times New Roman" w:hAnsi="Times New Roman" w:cs="Times New Roman"/>
          <w:b w:val="0"/>
          <w:i w:val="0"/>
          <w:sz w:val="20"/>
        </w:rPr>
        <w:t xml:space="preserve">amount and timing of any impairment of goodwill or other intangible assets. However, any such impairment </w:t>
      </w:r>
      <w:r>
        <w:rPr>
          <w:rFonts w:ascii="Times New Roman" w:eastAsia="Times New Roman" w:hAnsi="Times New Roman" w:cs="Times New Roman"/>
          <w:b w:val="0"/>
          <w:i w:val="0"/>
          <w:sz w:val="20"/>
        </w:rPr>
        <w:t>c</w:t>
      </w:r>
      <w:r>
        <w:rPr>
          <w:rFonts w:ascii="Times New Roman" w:eastAsia="Times New Roman" w:hAnsi="Times New Roman" w:cs="Times New Roman"/>
          <w:b w:val="0"/>
          <w:i w:val="0"/>
          <w:sz w:val="20"/>
        </w:rPr>
        <w:t>ould have an adverse effect on our results of operations.</w:t>
      </w:r>
    </w:p>
    <w:p>
      <w:pPr>
        <w:keepNext w:val="0"/>
        <w:keepLines/>
        <w:pageBreakBefore w:val="0"/>
        <w:widowControl w:val="0"/>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0"/>
        </w:rPr>
        <w:t>Our business is subject to evolving Environmental, Social, and Governance (“ESG”) requirements and stakeholder expectations that could expose us to numerous risks.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Regulators, customers, investors, and other stakeholders are increasingly focusing on ESG issues and related disclosures. Changing ESG requirements and stakeholder expectations have resulted in, and are likely to continue to result in, increased general and administrative expenses and increased management time and attention spent complying with or meeting such regulations and expectations. We may also communicate certain ESG initiatives and goals in our SEC filings or in other public disclosures. If our ESG-related data, processes, and reporting are incomplete or inaccurate, or if we fail to achieve progress with respect to our ESG goals on a timely basis, or at all, our reputation, business, financial performance, and growth could be adversely affected.</w:t>
      </w:r>
      <w:r>
        <w:rPr>
          <w:rFonts w:ascii="Times New Roman" w:eastAsia="Times New Roman" w:hAnsi="Times New Roman" w:cs="Times New Roman"/>
          <w:b w:val="0"/>
          <w:i w:val="0"/>
          <w:sz w:val="20"/>
        </w:rPr>
        <w:t xml:space="preserve"> We could a</w:t>
      </w:r>
      <w:r>
        <w:rPr>
          <w:rFonts w:ascii="Times New Roman" w:eastAsia="Times New Roman" w:hAnsi="Times New Roman" w:cs="Times New Roman"/>
          <w:b w:val="0"/>
          <w:i w:val="0"/>
          <w:sz w:val="20"/>
        </w:rPr>
        <w:t xml:space="preserve">lso face scrutiny from certain </w:t>
      </w:r>
      <w:r>
        <w:rPr>
          <w:rFonts w:ascii="Times New Roman" w:eastAsia="Times New Roman" w:hAnsi="Times New Roman" w:cs="Times New Roman"/>
          <w:b w:val="0"/>
          <w:i w:val="0"/>
          <w:sz w:val="20"/>
        </w:rPr>
        <w:t>stakeholde</w:t>
      </w:r>
      <w:r>
        <w:rPr>
          <w:rFonts w:ascii="Times New Roman" w:eastAsia="Times New Roman" w:hAnsi="Times New Roman" w:cs="Times New Roman"/>
          <w:b w:val="0"/>
          <w:i w:val="0"/>
          <w:sz w:val="20"/>
        </w:rPr>
        <w:t>r</w:t>
      </w:r>
      <w:r>
        <w:rPr>
          <w:rFonts w:ascii="Times New Roman" w:eastAsia="Times New Roman" w:hAnsi="Times New Roman" w:cs="Times New Roman"/>
          <w:b w:val="0"/>
          <w:i w:val="0"/>
          <w:sz w:val="20"/>
        </w:rPr>
        <w:t xml:space="preserve">s and government regulatory agencies for the </w:t>
      </w:r>
      <w:r>
        <w:rPr>
          <w:rFonts w:ascii="Times New Roman" w:eastAsia="Times New Roman" w:hAnsi="Times New Roman" w:cs="Times New Roman"/>
          <w:b w:val="0"/>
          <w:i w:val="0"/>
          <w:sz w:val="20"/>
        </w:rPr>
        <w:t>scope or nature of such initiatives or goals, or for any re</w:t>
      </w:r>
      <w:r>
        <w:rPr>
          <w:rFonts w:ascii="Times New Roman" w:eastAsia="Times New Roman" w:hAnsi="Times New Roman" w:cs="Times New Roman"/>
          <w:b w:val="0"/>
          <w:i w:val="0"/>
          <w:sz w:val="20"/>
        </w:rPr>
        <w:t>visions to these goals.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In addition, our customers have adopted, and may continue to adopt, procurement policies that require us to comply with social and environmental provisions. An increasing number of investors have adopted, and may continue to adopt, ESG policies for their portfolio companies, and various voluntary sustainability initiatives and organizations have promulgated different social and environmental and sustainability guidelines. These practices, policies, provisions, and initiatives are under active development, subject to change, can be unpredictable and conflicting, and may prove difficult and expensive for us to comply with and could negatively affect our reputation, business, or financial condition.</w:t>
      </w:r>
    </w:p>
    <w:p>
      <w:pPr>
        <w:keepNext w:val="0"/>
        <w:keepLines w:val="0"/>
        <w:pageBreakBefore w:val="0"/>
        <w:widowControl/>
        <w:numPr>
          <w:ilvl w:val="0"/>
          <w:numId w:val="0"/>
        </w:numPr>
        <w:spacing w:before="18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i/>
          <w:sz w:val="20"/>
        </w:rPr>
        <w:t>If we are unable to retain, attract, expand, integrate, and train our management team and other key personnel, we may not be able to maintain or expand our business.</w:t>
      </w:r>
    </w:p>
    <w:p>
      <w:pPr>
        <w:keepNext w:val="0"/>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4"/>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Our future success depends on our ability to retain, attract, expand, integrate, and train our management team and other key personnel, such as qualified engineering, service, sales, marketing, manufacturing, and other staff. We compete for key personnel with other medical equipment and software manufacturers and technology companies, as well as universities and research institutions. We have observed a competitive labor market over the past several years, particularly in Utah, where unemployment rates are relatively low. As a result, compensation-related costs have increased and could continue to increase. Additionally, our United States-based employees, including our senior management team, work for us on an at-will basis, and there is no assurance that any such employees will remain with us. Replacing key employees may take an extended period of time, and to the extent we hire employees from competitors, we also may be subject to allegations that they have been improperly solicited or divulged proprietary or other confidential information. Freezing new positions or terminating existing ones could hinder our ability to execute our strategic plan and achieve growth targets, resulting in long-term sacrifices for short-term gains. If we are unable to retain or hire and train qualified personnel, we may not be able to maintain or expand our business. Similarly, if we fail to adequately invest in leadership training and career development resources this could limit employee growth, lead to shortages of skilled personnel, hinder effective management and decision making, and hamper overall organizational success.</w:t>
      </w:r>
    </w:p>
    <w:p>
      <w:pPr>
        <w:keepNext w:val="0"/>
        <w:keepLines/>
        <w:pageBreakBefore w:val="0"/>
        <w:widowControl w:val="0"/>
        <w:numPr>
          <w:ilvl w:val="0"/>
          <w:numId w:val="0"/>
        </w:numPr>
        <w:spacing w:before="120" w:after="0" w:line="288" w:lineRule="auto"/>
        <w:ind w:left="0" w:right="0" w:firstLine="0"/>
        <w:jc w:val="left"/>
        <w:outlineLvl w:val="9"/>
        <w:sectPr>
          <w:headerReference w:type="default" r:id="rId39"/>
          <w:footerReference w:type="default" r:id="rId40"/>
          <w:type w:val="continuous"/>
          <w:pgSz w:w="12240" w:h="15840"/>
          <w:pgMar w:top="1080" w:right="720" w:bottom="1080" w:left="720" w:header="270" w:footer="270"/>
          <w:cols w:space="708"/>
        </w:sectPr>
      </w:pPr>
    </w:p>
    <w:p>
      <w:pPr>
        <w:keepNext/>
        <w:keepLines w:val="0"/>
        <w:pageBreakBefore w:val="0"/>
        <w:widowControl/>
        <w:numPr>
          <w:ilvl w:val="0"/>
          <w:numId w:val="0"/>
        </w:numPr>
        <w:spacing w:before="360" w:after="0" w:line="240" w:lineRule="exact"/>
        <w:ind w:left="0" w:right="0" w:firstLine="0"/>
        <w:jc w:val="left"/>
        <w:outlineLvl w:val="1"/>
        <w:rPr>
          <w:rFonts w:ascii="Times New Roman" w:eastAsia="Times New Roman" w:hAnsi="Times New Roman" w:cs="Times New Roman"/>
          <w:b/>
          <w:i w:val="0"/>
          <w:sz w:val="20"/>
        </w:rPr>
      </w:pPr>
      <w:bookmarkStart w:id="43" w:name="Section44"/>
      <w:bookmarkEnd w:id="43"/>
      <w:r>
        <w:rPr>
          <w:rFonts w:ascii="Times New Roman" w:eastAsia="Times New Roman" w:hAnsi="Times New Roman" w:cs="Times New Roman"/>
          <w:b/>
          <w:i w:val="0"/>
          <w:sz w:val="20"/>
        </w:rPr>
        <w:t>Item 2. Unregistered Sales of Equity Securities and Use of Proceeds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None.</w:t>
      </w:r>
    </w:p>
    <w:p>
      <w:pPr>
        <w:keepNext/>
        <w:keepLines/>
        <w:pageBreakBefore w:val="0"/>
        <w:widowControl w:val="0"/>
        <w:numPr>
          <w:ilvl w:val="0"/>
          <w:numId w:val="0"/>
        </w:numPr>
        <w:spacing w:before="120" w:after="0" w:line="288" w:lineRule="auto"/>
        <w:ind w:left="0" w:right="0" w:firstLine="0"/>
        <w:jc w:val="left"/>
        <w:outlineLvl w:val="9"/>
        <w:sectPr>
          <w:headerReference w:type="default" r:id="rId41"/>
          <w:footerReference w:type="default" r:id="rId42"/>
          <w:type w:val="continuous"/>
          <w:pgSz w:w="12240" w:h="15840"/>
          <w:pgMar w:top="1080" w:right="720" w:bottom="1080" w:left="720" w:header="270" w:footer="270"/>
          <w:cols w:space="708"/>
        </w:sectPr>
      </w:pPr>
    </w:p>
    <w:p>
      <w:pPr>
        <w:keepNext/>
        <w:keepLines w:val="0"/>
        <w:pageBreakBefore w:val="0"/>
        <w:widowControl/>
        <w:numPr>
          <w:ilvl w:val="0"/>
          <w:numId w:val="0"/>
        </w:numPr>
        <w:spacing w:before="360" w:after="0" w:line="240" w:lineRule="exact"/>
        <w:ind w:left="0" w:right="0" w:firstLine="0"/>
        <w:jc w:val="left"/>
        <w:outlineLvl w:val="1"/>
        <w:rPr>
          <w:rFonts w:ascii="Times New Roman" w:eastAsia="Times New Roman" w:hAnsi="Times New Roman" w:cs="Times New Roman"/>
          <w:b/>
          <w:i w:val="0"/>
          <w:sz w:val="20"/>
        </w:rPr>
      </w:pPr>
      <w:bookmarkStart w:id="44" w:name="Section45"/>
      <w:bookmarkEnd w:id="44"/>
      <w:r>
        <w:rPr>
          <w:rFonts w:ascii="Times New Roman" w:eastAsia="Times New Roman" w:hAnsi="Times New Roman" w:cs="Times New Roman"/>
          <w:b/>
          <w:i w:val="0"/>
          <w:sz w:val="20"/>
        </w:rPr>
        <w:t>Item 3. Defaults Upon Senior Securities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None.</w:t>
      </w:r>
    </w:p>
    <w:p>
      <w:pPr>
        <w:keepNext/>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keepLines w:val="0"/>
        <w:pageBreakBefore w:val="0"/>
        <w:widowControl/>
        <w:numPr>
          <w:ilvl w:val="0"/>
          <w:numId w:val="0"/>
        </w:numPr>
        <w:spacing w:before="360" w:after="0" w:line="240" w:lineRule="exact"/>
        <w:ind w:left="0" w:right="0" w:firstLine="0"/>
        <w:jc w:val="left"/>
        <w:outlineLvl w:val="1"/>
        <w:rPr>
          <w:rFonts w:ascii="Times New Roman" w:eastAsia="Times New Roman" w:hAnsi="Times New Roman" w:cs="Times New Roman"/>
          <w:b/>
          <w:i w:val="0"/>
          <w:sz w:val="20"/>
        </w:rPr>
      </w:pPr>
      <w:bookmarkStart w:id="45" w:name="Section46"/>
      <w:bookmarkEnd w:id="45"/>
      <w:r>
        <w:rPr>
          <w:rFonts w:ascii="Times New Roman" w:eastAsia="Times New Roman" w:hAnsi="Times New Roman" w:cs="Times New Roman"/>
          <w:b/>
          <w:i w:val="0"/>
          <w:sz w:val="20"/>
        </w:rPr>
        <w:t>Item 4. Mine Safety Disclosures</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sz w:val="20"/>
        </w:rPr>
        <w:t>Not applicable.</w:t>
      </w:r>
    </w:p>
    <w:p>
      <w:pPr>
        <w:keepNext/>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keepLines/>
        <w:pageBreakBefore w:val="0"/>
        <w:widowControl w:val="0"/>
        <w:numPr>
          <w:ilvl w:val="0"/>
          <w:numId w:val="0"/>
        </w:numPr>
        <w:spacing w:before="360" w:after="0" w:line="240" w:lineRule="exact"/>
        <w:ind w:left="0" w:right="0" w:firstLine="0"/>
        <w:jc w:val="left"/>
        <w:outlineLvl w:val="1"/>
        <w:rPr>
          <w:rFonts w:ascii="Times New Roman" w:eastAsia="Times New Roman" w:hAnsi="Times New Roman" w:cs="Times New Roman"/>
          <w:b/>
          <w:i w:val="0"/>
          <w:sz w:val="20"/>
        </w:rPr>
      </w:pPr>
      <w:bookmarkStart w:id="46" w:name="Section47"/>
      <w:bookmarkEnd w:id="46"/>
      <w:r>
        <w:rPr>
          <w:rFonts w:ascii="Times New Roman" w:eastAsia="Times New Roman" w:hAnsi="Times New Roman" w:cs="Times New Roman"/>
          <w:b/>
          <w:i w:val="0"/>
          <w:sz w:val="20"/>
        </w:rPr>
        <w:t>Item 5. Other Information</w:t>
      </w:r>
    </w:p>
    <w:p>
      <w:pPr>
        <w:keepNext/>
        <w:keepLines/>
        <w:pageBreakBefore w:val="0"/>
        <w:widowControl w:val="0"/>
        <w:numPr>
          <w:ilvl w:val="0"/>
          <w:numId w:val="0"/>
        </w:numPr>
        <w:spacing w:before="24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Insider </w:t>
      </w:r>
      <w:r>
        <w:rPr>
          <w:rFonts w:ascii="Times New Roman" w:eastAsia="Times New Roman" w:hAnsi="Times New Roman" w:cs="Times New Roman"/>
          <w:b/>
          <w:i/>
          <w:color w:val="000000"/>
          <w:sz w:val="20"/>
          <w:u w:val="none"/>
        </w:rPr>
        <w:t>Trading Arrangements</w:t>
      </w:r>
    </w:p>
    <w:p>
      <w:pPr>
        <w:keepNext/>
        <w:keepLines/>
        <w:pageBreakBefore w:val="0"/>
        <w:widowControl w:val="0"/>
        <w:numPr>
          <w:ilvl w:val="0"/>
          <w:numId w:val="0"/>
        </w:numPr>
        <w:spacing w:before="120" w:after="0" w:line="240" w:lineRule="exact"/>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shd w:val="clear" w:color="auto" w:fill="FFFFFF"/>
        </w:rPr>
        <w:t xml:space="preserve">During the fiscal quarter ended </w:t>
      </w:r>
      <w:r>
        <w:rPr>
          <w:rFonts w:ascii="Times New Roman" w:eastAsia="Times New Roman" w:hAnsi="Times New Roman" w:cs="Times New Roman"/>
          <w:b w:val="0"/>
          <w:i w:val="0"/>
          <w:color w:val="000000"/>
          <w:sz w:val="20"/>
          <w:u w:val="none"/>
        </w:rPr>
        <w:t>July 4, 2025</w:t>
      </w:r>
      <w:r>
        <w:rPr>
          <w:rFonts w:ascii="Times New Roman" w:eastAsia="Times New Roman" w:hAnsi="Times New Roman" w:cs="Times New Roman"/>
          <w:b w:val="0"/>
          <w:i w:val="0"/>
          <w:color w:val="000000"/>
          <w:sz w:val="20"/>
          <w:u w:val="none"/>
          <w:shd w:val="clear" w:color="auto" w:fill="FFFFFF"/>
        </w:rPr>
        <w:t>, none of our directors or officers informed us of the adoption, modification, or termination of a “Rule 10b5-1 trading arrangement” or “non-Rule 10b5-1 trading arrangement,” as those terms are defined in Regulation S-K, Item 408</w:t>
      </w:r>
      <w:r>
        <w:rPr>
          <w:rFonts w:ascii="Times New Roman" w:eastAsia="Times New Roman" w:hAnsi="Times New Roman" w:cs="Times New Roman"/>
          <w:b w:val="0"/>
          <w:i w:val="0"/>
          <w:color w:val="000000"/>
          <w:sz w:val="20"/>
          <w:u w:val="none"/>
          <w:shd w:val="clear" w:color="auto" w:fill="FFFFFF"/>
        </w:rPr>
        <w:t xml:space="preserve"> except as follows</w:t>
      </w:r>
      <w:r>
        <w:rPr>
          <w:rFonts w:ascii="Times New Roman" w:eastAsia="Times New Roman" w:hAnsi="Times New Roman" w:cs="Times New Roman"/>
          <w:b w:val="0"/>
          <w:i w:val="0"/>
          <w:color w:val="000000"/>
          <w:sz w:val="20"/>
          <w:u w:val="none"/>
          <w:shd w:val="clear" w:color="auto" w:fill="FFFFFF"/>
        </w:rPr>
        <w:t>.</w:t>
      </w:r>
    </w:p>
    <w:p>
      <w:pPr>
        <w:keepNext/>
        <w:keepLines/>
        <w:pageBreakBefore w:val="0"/>
        <w:widowControl w:val="0"/>
        <w:numPr>
          <w:ilvl w:val="0"/>
          <w:numId w:val="0"/>
        </w:numPr>
        <w:spacing w:before="120" w:after="0" w:line="288" w:lineRule="auto"/>
        <w:ind w:left="0" w:right="0" w:firstLine="0"/>
        <w:jc w:val="left"/>
        <w:outlineLvl w:val="9"/>
        <w:rPr>
          <w:rFonts w:ascii="Times New Roman" w:eastAsia="Times New Roman" w:hAnsi="Times New Roman" w:cs="Times New Roman"/>
          <w:b w:val="0"/>
          <w:i w:val="0"/>
          <w:color w:val="000000"/>
          <w:sz w:val="20"/>
          <w:u w:val="none"/>
          <w:shd w:val="clear" w:color="auto" w:fill="FFFFFF"/>
        </w:rPr>
      </w:pPr>
      <w:r>
        <w:rPr>
          <w:rFonts w:ascii="Times New Roman" w:eastAsia="Times New Roman" w:hAnsi="Times New Roman" w:cs="Times New Roman"/>
          <w:b w:val="0"/>
          <w:i w:val="0"/>
          <w:sz w:val="20"/>
        </w:rPr>
        <w:tab/>
      </w:r>
      <w:r>
        <w:rPr>
          <w:rFonts w:ascii="Times New Roman" w:eastAsia="Times New Roman" w:hAnsi="Times New Roman" w:cs="Times New Roman"/>
          <w:b w:val="0"/>
          <w:i w:val="0"/>
          <w:color w:val="000000"/>
          <w:sz w:val="20"/>
          <w:u w:val="none"/>
          <w:shd w:val="clear" w:color="auto" w:fill="FFFFFF"/>
        </w:rPr>
        <w:t>O</w:t>
      </w:r>
      <w:r>
        <w:rPr>
          <w:rFonts w:ascii="Times New Roman" w:eastAsia="Times New Roman" w:hAnsi="Times New Roman" w:cs="Times New Roman"/>
          <w:b w:val="0"/>
          <w:i w:val="0"/>
          <w:color w:val="000000"/>
          <w:sz w:val="20"/>
          <w:u w:val="none"/>
          <w:shd w:val="clear" w:color="auto" w:fill="FFFFFF"/>
        </w:rPr>
        <w:t xml:space="preserve">n </w:t>
      </w:r>
      <w:r>
        <w:rPr>
          <w:rFonts w:ascii="Times New Roman" w:eastAsia="Times New Roman" w:hAnsi="Times New Roman" w:cs="Times New Roman"/>
          <w:b w:val="0"/>
          <w:i w:val="0"/>
          <w:color w:val="000000"/>
          <w:sz w:val="20"/>
          <w:u w:val="none"/>
          <w:shd w:val="clear" w:color="auto" w:fill="FFFFFF"/>
        </w:rPr>
        <w:t>June 17, 2025</w:t>
      </w:r>
      <w:r>
        <w:rPr>
          <w:rFonts w:ascii="Times New Roman" w:eastAsia="Times New Roman" w:hAnsi="Times New Roman" w:cs="Times New Roman"/>
          <w:b w:val="0"/>
          <w:i w:val="0"/>
          <w:color w:val="000000"/>
          <w:sz w:val="20"/>
          <w:u w:val="none"/>
          <w:shd w:val="clear" w:color="auto" w:fill="FFFFFF"/>
        </w:rPr>
        <w:t>,</w:t>
      </w:r>
      <w:r>
        <w:rPr>
          <w:rFonts w:ascii="Times New Roman" w:eastAsia="Times New Roman" w:hAnsi="Times New Roman" w:cs="Times New Roman"/>
          <w:b w:val="0"/>
          <w:i w:val="0"/>
          <w:color w:val="000000"/>
          <w:sz w:val="20"/>
          <w:u w:val="none"/>
          <w:shd w:val="clear" w:color="auto" w:fill="FFFFFF"/>
        </w:rPr>
        <w:t xml:space="preserve"> </w:t>
      </w:r>
      <w:r>
        <w:rPr>
          <w:rFonts w:ascii="Times New Roman" w:eastAsia="Times New Roman" w:hAnsi="Times New Roman" w:cs="Times New Roman"/>
          <w:b w:val="0"/>
          <w:i w:val="0"/>
          <w:color w:val="000000"/>
          <w:sz w:val="20"/>
          <w:u w:val="none"/>
          <w:shd w:val="clear" w:color="auto" w:fill="FFFFFF"/>
        </w:rPr>
        <w:t>Karen Aranki</w:t>
      </w:r>
      <w:r>
        <w:rPr>
          <w:rFonts w:ascii="Times New Roman" w:eastAsia="Times New Roman" w:hAnsi="Times New Roman" w:cs="Times New Roman"/>
          <w:b w:val="0"/>
          <w:i w:val="0"/>
          <w:color w:val="000000"/>
          <w:sz w:val="20"/>
          <w:u w:val="none"/>
          <w:shd w:val="clear" w:color="auto" w:fill="FFFFFF"/>
        </w:rPr>
        <w:t xml:space="preserve">, our </w:t>
      </w:r>
      <w:r>
        <w:rPr>
          <w:rFonts w:ascii="Times New Roman" w:eastAsia="Times New Roman" w:hAnsi="Times New Roman" w:cs="Times New Roman"/>
          <w:b w:val="0"/>
          <w:i w:val="0"/>
          <w:color w:val="000000"/>
          <w:sz w:val="20"/>
          <w:u w:val="none"/>
          <w:shd w:val="clear" w:color="auto" w:fill="FFFFFF"/>
        </w:rPr>
        <w:t>Chief Human Resources Officer</w:t>
      </w:r>
      <w:r>
        <w:rPr>
          <w:rFonts w:ascii="Times New Roman" w:eastAsia="Times New Roman" w:hAnsi="Times New Roman" w:cs="Times New Roman"/>
          <w:b w:val="0"/>
          <w:i w:val="0"/>
          <w:color w:val="000000"/>
          <w:sz w:val="20"/>
          <w:u w:val="none"/>
          <w:shd w:val="clear" w:color="auto" w:fill="FFFFFF"/>
        </w:rPr>
        <w:t xml:space="preserve">, </w:t>
      </w:r>
      <w:r>
        <w:rPr>
          <w:rFonts w:ascii="Times New Roman" w:eastAsia="Times New Roman" w:hAnsi="Times New Roman" w:cs="Times New Roman"/>
          <w:b w:val="0"/>
          <w:i w:val="0"/>
          <w:color w:val="000000"/>
          <w:sz w:val="20"/>
          <w:u w:val="none"/>
          <w:shd w:val="clear" w:color="auto" w:fill="FFFFFF"/>
        </w:rPr>
        <w:t>adopted</w:t>
      </w:r>
      <w:r>
        <w:rPr>
          <w:rFonts w:ascii="Times New Roman" w:eastAsia="Times New Roman" w:hAnsi="Times New Roman" w:cs="Times New Roman"/>
          <w:b w:val="0"/>
          <w:i w:val="0"/>
          <w:color w:val="000000"/>
          <w:sz w:val="20"/>
          <w:u w:val="none"/>
          <w:shd w:val="clear" w:color="auto" w:fill="FFFFFF"/>
        </w:rPr>
        <w:t xml:space="preserve"> a Rule 10b5-1 trading arrangement (</w:t>
      </w:r>
      <w:r>
        <w:rPr>
          <w:rFonts w:ascii="Times New Roman" w:eastAsia="Times New Roman" w:hAnsi="Times New Roman" w:cs="Times New Roman"/>
          <w:b w:val="0"/>
          <w:i w:val="0"/>
          <w:color w:val="000000"/>
          <w:sz w:val="20"/>
          <w:u w:val="none"/>
          <w:shd w:val="clear" w:color="auto" w:fill="FFFFFF"/>
        </w:rPr>
        <w:t>the "Plan") pro</w:t>
      </w:r>
      <w:r>
        <w:rPr>
          <w:rFonts w:ascii="Times New Roman" w:eastAsia="Times New Roman" w:hAnsi="Times New Roman" w:cs="Times New Roman"/>
          <w:b w:val="0"/>
          <w:i w:val="0"/>
          <w:color w:val="000000"/>
          <w:sz w:val="20"/>
          <w:u w:val="none"/>
          <w:shd w:val="clear" w:color="auto" w:fill="FFFFFF"/>
        </w:rPr>
        <w:t>vidin</w:t>
      </w:r>
      <w:r>
        <w:rPr>
          <w:rFonts w:ascii="Times New Roman" w:eastAsia="Times New Roman" w:hAnsi="Times New Roman" w:cs="Times New Roman"/>
          <w:b w:val="0"/>
          <w:i w:val="0"/>
          <w:color w:val="000000"/>
          <w:sz w:val="20"/>
          <w:u w:val="none"/>
          <w:shd w:val="clear" w:color="auto" w:fill="FFFFFF"/>
        </w:rPr>
        <w:t>g for</w:t>
      </w:r>
      <w:r>
        <w:rPr>
          <w:rFonts w:ascii="Times New Roman" w:eastAsia="Times New Roman" w:hAnsi="Times New Roman" w:cs="Times New Roman"/>
          <w:b w:val="0"/>
          <w:i w:val="0"/>
          <w:color w:val="000000"/>
          <w:sz w:val="20"/>
          <w:u w:val="none"/>
          <w:shd w:val="clear" w:color="auto" w:fill="FFFFFF"/>
        </w:rPr>
        <w:t>:</w:t>
      </w:r>
      <w:r>
        <w:rPr>
          <w:rFonts w:ascii="Times New Roman" w:eastAsia="Times New Roman" w:hAnsi="Times New Roman" w:cs="Times New Roman"/>
          <w:b w:val="0"/>
          <w:i w:val="0"/>
          <w:color w:val="000000"/>
          <w:sz w:val="20"/>
          <w:u w:val="none"/>
          <w:shd w:val="clear" w:color="auto" w:fill="FFFFFF"/>
        </w:rPr>
        <w:t xml:space="preserve"> </w:t>
      </w:r>
      <w:r>
        <w:rPr>
          <w:rFonts w:ascii="Times New Roman" w:eastAsia="Times New Roman" w:hAnsi="Times New Roman" w:cs="Times New Roman"/>
          <w:b w:val="0"/>
          <w:i w:val="0"/>
          <w:color w:val="000000"/>
          <w:sz w:val="20"/>
          <w:u w:val="none"/>
          <w:shd w:val="clear" w:color="auto" w:fill="FFFFFF"/>
        </w:rPr>
        <w:t xml:space="preserve">(i) the sale of </w:t>
      </w:r>
      <w:r>
        <w:rPr>
          <w:rFonts w:ascii="Times New Roman" w:eastAsia="Times New Roman" w:hAnsi="Times New Roman" w:cs="Times New Roman"/>
          <w:b w:val="0"/>
          <w:i w:val="0"/>
          <w:color w:val="000000"/>
          <w:sz w:val="20"/>
          <w:u w:val="none"/>
          <w:shd w:val="clear" w:color="auto" w:fill="FFFFFF"/>
        </w:rPr>
        <w:t>3,174</w:t>
      </w:r>
      <w:r>
        <w:rPr>
          <w:rFonts w:ascii="Times New Roman" w:eastAsia="Times New Roman" w:hAnsi="Times New Roman" w:cs="Times New Roman"/>
          <w:b w:val="0"/>
          <w:i w:val="0"/>
          <w:color w:val="000000"/>
          <w:sz w:val="20"/>
          <w:u w:val="none"/>
          <w:shd w:val="clear" w:color="auto" w:fill="FFFFFF"/>
        </w:rPr>
        <w:t xml:space="preserve"> shares of our common stock that have vested to Ms. Aranki pursuant to previously awarded restricted stock unit awards; and (ii) the sale of </w:t>
      </w:r>
      <w:r>
        <w:rPr>
          <w:rFonts w:ascii="Times New Roman" w:eastAsia="Times New Roman" w:hAnsi="Times New Roman" w:cs="Times New Roman"/>
          <w:b w:val="0"/>
          <w:i w:val="0"/>
          <w:color w:val="000000"/>
          <w:sz w:val="20"/>
          <w:u w:val="none"/>
          <w:shd w:val="clear" w:color="auto" w:fill="FFFFFF"/>
        </w:rPr>
        <w:t>6,665</w:t>
      </w:r>
      <w:r>
        <w:rPr>
          <w:rFonts w:ascii="Times New Roman" w:eastAsia="Times New Roman" w:hAnsi="Times New Roman" w:cs="Times New Roman"/>
          <w:b w:val="0"/>
          <w:i w:val="0"/>
          <w:color w:val="000000"/>
          <w:sz w:val="20"/>
          <w:u w:val="none"/>
          <w:shd w:val="clear" w:color="auto" w:fill="FFFFFF"/>
        </w:rPr>
        <w:t xml:space="preserve"> shares of common stock</w:t>
      </w:r>
      <w:r>
        <w:rPr>
          <w:rFonts w:ascii="Times New Roman" w:eastAsia="Times New Roman" w:hAnsi="Times New Roman" w:cs="Times New Roman"/>
          <w:b w:val="0"/>
          <w:i w:val="0"/>
          <w:color w:val="000000"/>
          <w:sz w:val="20"/>
          <w:u w:val="none"/>
          <w:shd w:val="clear" w:color="auto" w:fill="FFFFFF"/>
        </w:rPr>
        <w:t xml:space="preserve"> (which include</w:t>
      </w:r>
      <w:r>
        <w:rPr>
          <w:rFonts w:ascii="Times New Roman" w:eastAsia="Times New Roman" w:hAnsi="Times New Roman" w:cs="Times New Roman"/>
          <w:b w:val="0"/>
          <w:i w:val="0"/>
          <w:color w:val="000000"/>
          <w:sz w:val="20"/>
          <w:u w:val="none"/>
          <w:shd w:val="clear" w:color="auto" w:fill="FFFFFF"/>
        </w:rPr>
        <w:t>s</w:t>
      </w:r>
      <w:r>
        <w:rPr>
          <w:rFonts w:ascii="Times New Roman" w:eastAsia="Times New Roman" w:hAnsi="Times New Roman" w:cs="Times New Roman"/>
          <w:b w:val="0"/>
          <w:i w:val="0"/>
          <w:color w:val="000000"/>
          <w:sz w:val="20"/>
          <w:u w:val="none"/>
          <w:shd w:val="clear" w:color="auto" w:fill="FFFFFF"/>
        </w:rPr>
        <w:t xml:space="preserve"> shares to be withheld by the Company in payment of applicable taxes)</w:t>
      </w:r>
      <w:r>
        <w:rPr>
          <w:rFonts w:ascii="Times New Roman" w:eastAsia="Times New Roman" w:hAnsi="Times New Roman" w:cs="Times New Roman"/>
          <w:b w:val="0"/>
          <w:i w:val="0"/>
          <w:color w:val="000000"/>
          <w:sz w:val="20"/>
          <w:u w:val="none"/>
          <w:shd w:val="clear" w:color="auto" w:fill="FFFFFF"/>
        </w:rPr>
        <w:t xml:space="preserve"> to be received upon vesting of restricted stock units schedule</w:t>
      </w:r>
      <w:r>
        <w:rPr>
          <w:rFonts w:ascii="Times New Roman" w:eastAsia="Times New Roman" w:hAnsi="Times New Roman" w:cs="Times New Roman"/>
          <w:b w:val="0"/>
          <w:i w:val="0"/>
          <w:color w:val="000000"/>
          <w:sz w:val="20"/>
          <w:u w:val="none"/>
          <w:shd w:val="clear" w:color="auto" w:fill="FFFFFF"/>
        </w:rPr>
        <w:t>d</w:t>
      </w:r>
      <w:r>
        <w:rPr>
          <w:rFonts w:ascii="Times New Roman" w:eastAsia="Times New Roman" w:hAnsi="Times New Roman" w:cs="Times New Roman"/>
          <w:b w:val="0"/>
          <w:i w:val="0"/>
          <w:color w:val="000000"/>
          <w:sz w:val="20"/>
          <w:u w:val="none"/>
          <w:shd w:val="clear" w:color="auto" w:fill="FFFFFF"/>
        </w:rPr>
        <w:t xml:space="preserve"> to vest in Decem</w:t>
      </w:r>
      <w:r>
        <w:rPr>
          <w:rFonts w:ascii="Times New Roman" w:eastAsia="Times New Roman" w:hAnsi="Times New Roman" w:cs="Times New Roman"/>
          <w:b w:val="0"/>
          <w:i w:val="0"/>
          <w:color w:val="000000"/>
          <w:sz w:val="20"/>
          <w:u w:val="none"/>
          <w:shd w:val="clear" w:color="auto" w:fill="FFFFFF"/>
        </w:rPr>
        <w:t>ber 2025. The Plan is intended to satisfy the affirmative defense of Rule 10b5-1(c). Except as described</w:t>
      </w:r>
      <w:r>
        <w:rPr>
          <w:rFonts w:ascii="Times New Roman" w:eastAsia="Times New Roman" w:hAnsi="Times New Roman" w:cs="Times New Roman"/>
          <w:b w:val="0"/>
          <w:i w:val="0"/>
          <w:color w:val="000000"/>
          <w:sz w:val="20"/>
          <w:u w:val="none"/>
          <w:shd w:val="clear" w:color="auto" w:fill="FFFFFF"/>
        </w:rPr>
        <w:t xml:space="preserve"> below</w:t>
      </w:r>
      <w:r>
        <w:rPr>
          <w:rFonts w:ascii="Times New Roman" w:eastAsia="Times New Roman" w:hAnsi="Times New Roman" w:cs="Times New Roman"/>
          <w:b w:val="0"/>
          <w:i w:val="0"/>
          <w:color w:val="000000"/>
          <w:sz w:val="20"/>
          <w:u w:val="none"/>
          <w:shd w:val="clear" w:color="auto" w:fill="FFFFFF"/>
        </w:rPr>
        <w:t xml:space="preserve">, the </w:t>
      </w:r>
      <w:r>
        <w:rPr>
          <w:rFonts w:ascii="Times New Roman" w:eastAsia="Times New Roman" w:hAnsi="Times New Roman" w:cs="Times New Roman"/>
          <w:b w:val="0"/>
          <w:i w:val="0"/>
          <w:color w:val="000000"/>
          <w:sz w:val="20"/>
          <w:u w:val="none"/>
          <w:shd w:val="clear" w:color="auto" w:fill="FFFFFF"/>
        </w:rPr>
        <w:t>first</w:t>
      </w:r>
      <w:r>
        <w:rPr>
          <w:rFonts w:ascii="Times New Roman" w:eastAsia="Times New Roman" w:hAnsi="Times New Roman" w:cs="Times New Roman"/>
          <w:b w:val="0"/>
          <w:i w:val="0"/>
          <w:color w:val="000000"/>
          <w:sz w:val="20"/>
          <w:u w:val="none"/>
          <w:shd w:val="clear" w:color="auto" w:fill="FFFFFF"/>
        </w:rPr>
        <w:t xml:space="preserve"> date shares are permitted to be sold under the </w:t>
      </w:r>
      <w:r>
        <w:rPr>
          <w:rFonts w:ascii="Times New Roman" w:eastAsia="Times New Roman" w:hAnsi="Times New Roman" w:cs="Times New Roman"/>
          <w:b w:val="0"/>
          <w:i w:val="0"/>
          <w:color w:val="000000"/>
          <w:sz w:val="20"/>
          <w:u w:val="none"/>
          <w:shd w:val="clear" w:color="auto" w:fill="FFFFFF"/>
        </w:rPr>
        <w:t>P</w:t>
      </w:r>
      <w:r>
        <w:rPr>
          <w:rFonts w:ascii="Times New Roman" w:eastAsia="Times New Roman" w:hAnsi="Times New Roman" w:cs="Times New Roman"/>
          <w:b w:val="0"/>
          <w:i w:val="0"/>
          <w:color w:val="000000"/>
          <w:sz w:val="20"/>
          <w:u w:val="none"/>
          <w:shd w:val="clear" w:color="auto" w:fill="FFFFFF"/>
        </w:rPr>
        <w:t>lan</w:t>
      </w:r>
      <w:r>
        <w:rPr>
          <w:rFonts w:ascii="Times New Roman" w:eastAsia="Times New Roman" w:hAnsi="Times New Roman" w:cs="Times New Roman"/>
          <w:b w:val="0"/>
          <w:i w:val="0"/>
          <w:color w:val="000000"/>
          <w:sz w:val="20"/>
          <w:u w:val="none"/>
          <w:shd w:val="clear" w:color="auto" w:fill="FFFFFF"/>
        </w:rPr>
        <w:t xml:space="preserve"> </w:t>
      </w:r>
      <w:r>
        <w:rPr>
          <w:rFonts w:ascii="Times New Roman" w:eastAsia="Times New Roman" w:hAnsi="Times New Roman" w:cs="Times New Roman"/>
          <w:b w:val="0"/>
          <w:i w:val="0"/>
          <w:color w:val="000000"/>
          <w:sz w:val="20"/>
          <w:u w:val="none"/>
          <w:shd w:val="clear" w:color="auto" w:fill="FFFFFF"/>
        </w:rPr>
        <w:t>i</w:t>
      </w:r>
      <w:r>
        <w:rPr>
          <w:rFonts w:ascii="Times New Roman" w:eastAsia="Times New Roman" w:hAnsi="Times New Roman" w:cs="Times New Roman"/>
          <w:b w:val="0"/>
          <w:i w:val="0"/>
          <w:color w:val="000000"/>
          <w:sz w:val="20"/>
          <w:u w:val="none"/>
          <w:shd w:val="clear" w:color="auto" w:fill="FFFFFF"/>
        </w:rPr>
        <w:t>s</w:t>
      </w:r>
      <w:r>
        <w:rPr>
          <w:rFonts w:ascii="Times New Roman" w:eastAsia="Times New Roman" w:hAnsi="Times New Roman" w:cs="Times New Roman"/>
          <w:b w:val="0"/>
          <w:i w:val="0"/>
          <w:color w:val="000000"/>
          <w:sz w:val="20"/>
          <w:u w:val="none"/>
          <w:shd w:val="clear" w:color="auto" w:fill="FFFFFF"/>
        </w:rPr>
        <w:t xml:space="preserve"> September 19, 2025, and subsequent sales may occur until exp</w:t>
      </w:r>
      <w:r>
        <w:rPr>
          <w:rFonts w:ascii="Times New Roman" w:eastAsia="Times New Roman" w:hAnsi="Times New Roman" w:cs="Times New Roman"/>
          <w:b w:val="0"/>
          <w:i w:val="0"/>
          <w:color w:val="000000"/>
          <w:sz w:val="20"/>
          <w:u w:val="none"/>
          <w:shd w:val="clear" w:color="auto" w:fill="FFFFFF"/>
        </w:rPr>
        <w:t>ir</w:t>
      </w:r>
      <w:r>
        <w:rPr>
          <w:rFonts w:ascii="Times New Roman" w:eastAsia="Times New Roman" w:hAnsi="Times New Roman" w:cs="Times New Roman"/>
          <w:b w:val="0"/>
          <w:i w:val="0"/>
          <w:color w:val="000000"/>
          <w:sz w:val="20"/>
          <w:u w:val="none"/>
          <w:shd w:val="clear" w:color="auto" w:fill="FFFFFF"/>
        </w:rPr>
        <w:t>ation date, whi</w:t>
      </w:r>
      <w:r>
        <w:rPr>
          <w:rFonts w:ascii="Times New Roman" w:eastAsia="Times New Roman" w:hAnsi="Times New Roman" w:cs="Times New Roman"/>
          <w:b w:val="0"/>
          <w:i w:val="0"/>
          <w:color w:val="000000"/>
          <w:sz w:val="20"/>
          <w:u w:val="none"/>
          <w:shd w:val="clear" w:color="auto" w:fill="FFFFFF"/>
        </w:rPr>
        <w:t xml:space="preserve">ch is </w:t>
      </w:r>
      <w:r>
        <w:rPr>
          <w:rFonts w:ascii="Times New Roman" w:eastAsia="Times New Roman" w:hAnsi="Times New Roman" w:cs="Times New Roman"/>
          <w:b w:val="0"/>
          <w:i w:val="0"/>
          <w:color w:val="000000"/>
          <w:sz w:val="20"/>
          <w:u w:val="none"/>
          <w:shd w:val="clear" w:color="auto" w:fill="FFFFFF"/>
        </w:rPr>
        <w:t>December 31, 2025</w:t>
      </w:r>
      <w:r>
        <w:rPr>
          <w:rFonts w:ascii="Times New Roman" w:eastAsia="Times New Roman" w:hAnsi="Times New Roman" w:cs="Times New Roman"/>
          <w:b w:val="0"/>
          <w:i w:val="0"/>
          <w:color w:val="000000"/>
          <w:sz w:val="20"/>
          <w:u w:val="none"/>
          <w:shd w:val="clear" w:color="auto" w:fill="FFFFFF"/>
        </w:rPr>
        <w:t xml:space="preserve">, or earlier if all transactions under the </w:t>
      </w:r>
      <w:r>
        <w:rPr>
          <w:rFonts w:ascii="Times New Roman" w:eastAsia="Times New Roman" w:hAnsi="Times New Roman" w:cs="Times New Roman"/>
          <w:b w:val="0"/>
          <w:i w:val="0"/>
          <w:color w:val="000000"/>
          <w:sz w:val="20"/>
          <w:u w:val="none"/>
          <w:shd w:val="clear" w:color="auto" w:fill="FFFFFF"/>
        </w:rPr>
        <w:t xml:space="preserve">Plan are completed or otherwise earlier terminated. If Ms. Aranki were to amend, modify or terminate the </w:t>
      </w:r>
      <w:r>
        <w:rPr>
          <w:rFonts w:ascii="Times New Roman" w:eastAsia="Times New Roman" w:hAnsi="Times New Roman" w:cs="Times New Roman"/>
          <w:b w:val="0"/>
          <w:i w:val="0"/>
          <w:color w:val="000000"/>
          <w:sz w:val="20"/>
          <w:u w:val="none"/>
          <w:shd w:val="clear" w:color="auto" w:fill="FFFFFF"/>
        </w:rPr>
        <w:t>Plan</w:t>
      </w:r>
      <w:r>
        <w:rPr>
          <w:rFonts w:ascii="Times New Roman" w:eastAsia="Times New Roman" w:hAnsi="Times New Roman" w:cs="Times New Roman"/>
          <w:b w:val="0"/>
          <w:i w:val="0"/>
          <w:color w:val="000000"/>
          <w:sz w:val="20"/>
          <w:u w:val="none"/>
          <w:shd w:val="clear" w:color="auto" w:fill="FFFFFF"/>
        </w:rPr>
        <w:t>, rather than allow it to expire by its terms on December 31, 2025, trading under the Plan would not commence until a new cooling</w:t>
      </w:r>
      <w:r>
        <w:rPr>
          <w:rFonts w:ascii="Times New Roman" w:eastAsia="Times New Roman" w:hAnsi="Times New Roman" w:cs="Times New Roman"/>
          <w:b w:val="0"/>
          <w:i w:val="0"/>
          <w:color w:val="000000"/>
          <w:sz w:val="20"/>
          <w:u w:val="none"/>
          <w:shd w:val="clear" w:color="auto" w:fill="FFFFFF"/>
        </w:rPr>
        <w:t>-off period</w:t>
      </w:r>
      <w:r>
        <w:rPr>
          <w:rFonts w:ascii="Times New Roman" w:eastAsia="Times New Roman" w:hAnsi="Times New Roman" w:cs="Times New Roman"/>
          <w:b w:val="0"/>
          <w:i w:val="0"/>
          <w:color w:val="000000"/>
          <w:sz w:val="20"/>
          <w:u w:val="none"/>
          <w:shd w:val="clear" w:color="auto" w:fill="FFFFFF"/>
        </w:rPr>
        <w:t xml:space="preserve">, as required by </w:t>
      </w:r>
      <w:r>
        <w:rPr>
          <w:rFonts w:ascii="Times New Roman" w:eastAsia="Times New Roman" w:hAnsi="Times New Roman" w:cs="Times New Roman"/>
          <w:b w:val="0"/>
          <w:i w:val="0"/>
          <w:color w:val="000000"/>
          <w:sz w:val="20"/>
          <w:u w:val="none"/>
          <w:shd w:val="clear" w:color="auto" w:fill="FFFFFF"/>
        </w:rPr>
        <w:t xml:space="preserve">Rule </w:t>
      </w:r>
      <w:r>
        <w:rPr>
          <w:rFonts w:ascii="Times New Roman" w:eastAsia="Times New Roman" w:hAnsi="Times New Roman" w:cs="Times New Roman"/>
          <w:b w:val="0"/>
          <w:i w:val="0"/>
          <w:color w:val="000000"/>
          <w:sz w:val="20"/>
          <w:u w:val="none"/>
          <w:shd w:val="clear" w:color="auto" w:fill="FFFFFF"/>
        </w:rPr>
        <w:t>10</w:t>
      </w:r>
      <w:r>
        <w:rPr>
          <w:rFonts w:ascii="Times New Roman" w:eastAsia="Times New Roman" w:hAnsi="Times New Roman" w:cs="Times New Roman"/>
          <w:b w:val="0"/>
          <w:i w:val="0"/>
          <w:color w:val="000000"/>
          <w:sz w:val="20"/>
          <w:u w:val="none"/>
          <w:shd w:val="clear" w:color="auto" w:fill="FFFFFF"/>
        </w:rPr>
        <w:t>b</w:t>
      </w:r>
      <w:r>
        <w:rPr>
          <w:rFonts w:ascii="Times New Roman" w:eastAsia="Times New Roman" w:hAnsi="Times New Roman" w:cs="Times New Roman"/>
          <w:b w:val="0"/>
          <w:i w:val="0"/>
          <w:color w:val="000000"/>
          <w:sz w:val="20"/>
          <w:u w:val="none"/>
          <w:shd w:val="clear" w:color="auto" w:fill="FFFFFF"/>
        </w:rPr>
        <w:t>5-1, was satisfied.</w:t>
      </w:r>
    </w:p>
    <w:p>
      <w:pPr>
        <w:keepNext/>
        <w:keepLines/>
        <w:pageBreakBefore w:val="0"/>
        <w:widowControl w:val="0"/>
        <w:numPr>
          <w:ilvl w:val="0"/>
          <w:numId w:val="0"/>
        </w:numPr>
        <w:spacing w:before="120" w:after="0" w:line="288" w:lineRule="auto"/>
        <w:ind w:left="0" w:right="0" w:firstLine="0"/>
        <w:jc w:val="left"/>
        <w:outlineLvl w:val="9"/>
        <w:sectPr>
          <w:type w:val="continuous"/>
          <w:pgSz w:w="12240" w:h="15840"/>
          <w:pgMar w:top="1080" w:right="720" w:bottom="1080" w:left="720" w:header="270" w:footer="270"/>
          <w:cols w:space="708"/>
        </w:sectPr>
      </w:pPr>
    </w:p>
    <w:p>
      <w:pPr>
        <w:keepNext w:val="0"/>
        <w:keepLines w:val="0"/>
        <w:pageBreakBefore w:val="0"/>
        <w:widowControl/>
        <w:numPr>
          <w:ilvl w:val="0"/>
          <w:numId w:val="0"/>
        </w:numPr>
        <w:spacing w:before="0" w:after="0" w:line="240" w:lineRule="exact"/>
        <w:ind w:left="0" w:right="0" w:firstLine="0"/>
        <w:jc w:val="left"/>
        <w:outlineLvl w:val="1"/>
        <w:rPr>
          <w:rFonts w:ascii="Times New Roman" w:eastAsia="Times New Roman" w:hAnsi="Times New Roman" w:cs="Times New Roman"/>
          <w:b/>
          <w:i w:val="0"/>
          <w:sz w:val="20"/>
        </w:rPr>
      </w:pPr>
      <w:bookmarkStart w:id="47" w:name="Section48"/>
      <w:bookmarkEnd w:id="47"/>
      <w:r>
        <w:rPr>
          <w:rFonts w:ascii="Times New Roman" w:eastAsia="Times New Roman" w:hAnsi="Times New Roman" w:cs="Times New Roman"/>
          <w:b/>
          <w:i w:val="0"/>
          <w:color w:val="000000"/>
          <w:sz w:val="20"/>
          <w:u w:val="none"/>
        </w:rPr>
        <w:t>Item 6. Exhibits</w:t>
      </w:r>
    </w:p>
    <w:p>
      <w:pPr>
        <w:keepNext w:val="0"/>
        <w:keepLines w:val="0"/>
        <w:pageBreakBefore w:val="0"/>
        <w:widowControl/>
        <w:numPr>
          <w:ilvl w:val="0"/>
          <w:numId w:val="0"/>
        </w:numPr>
        <w:spacing w:before="120" w:after="0" w:line="240" w:lineRule="exact"/>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(a) </w:t>
      </w:r>
      <w:r>
        <w:rPr>
          <w:rFonts w:ascii="Times New Roman" w:eastAsia="Times New Roman" w:hAnsi="Times New Roman" w:cs="Times New Roman"/>
          <w:b w:val="0"/>
          <w:i w:val="0"/>
          <w:sz w:val="20"/>
        </w:rPr>
        <w:t>Exhibits required to be filed by Item 601 of Regulation S-K:</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00"/>
        <w:gridCol w:w="75"/>
        <w:gridCol w:w="9225"/>
      </w:tblGrid>
      <w:tr>
        <w:tblPrEx>
          <w:tblW w:w="10800" w:type="dxa"/>
          <w:tblInd w:w="0" w:type="dxa"/>
          <w:tblLayout w:type="fixed"/>
        </w:tblPrEx>
        <w:trPr>
          <w:cantSplit/>
          <w:trHeight w:hRule="exact" w:val="465"/>
        </w:trPr>
        <w:tc>
          <w:tcPr>
            <w:tcW w:w="1500" w:type="dxa"/>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left"/>
            </w:pPr>
            <w:r>
              <w:rPr>
                <w:rFonts w:ascii="Times New Roman" w:eastAsia="Times New Roman" w:hAnsi="Times New Roman" w:cs="Times New Roman"/>
                <w:b w:val="0"/>
                <w:i w:val="0"/>
                <w:color w:val="000000"/>
                <w:sz w:val="20"/>
                <w:u w:val="none"/>
              </w:rPr>
              <w:t>Exhibit</w:t>
            </w:r>
          </w:p>
          <w:p>
            <w:pPr>
              <w:spacing w:after="30" w:line="240" w:lineRule="auto"/>
              <w:jc w:val="left"/>
            </w:pPr>
            <w:r>
              <w:rPr>
                <w:rFonts w:ascii="Times New Roman" w:eastAsia="Times New Roman" w:hAnsi="Times New Roman" w:cs="Times New Roman"/>
                <w:b w:val="0"/>
                <w:i w:val="0"/>
                <w:color w:val="000000"/>
                <w:sz w:val="20"/>
                <w:u w:val="none"/>
              </w:rPr>
              <w:t>No.</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Description</w:t>
            </w:r>
          </w:p>
        </w:tc>
      </w:tr>
      <w:tr>
        <w:tblPrEx>
          <w:tblW w:w="10800" w:type="dxa"/>
          <w:tblInd w:w="0" w:type="dxa"/>
          <w:tblLayout w:type="fixed"/>
        </w:tblPrEx>
        <w:trPr>
          <w:cantSplit/>
          <w:trHeight w:hRule="exact" w:val="705"/>
        </w:trPr>
        <w:tc>
          <w:tcPr>
            <w:tcW w:w="1500"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20"/>
                <w:u w:val="none"/>
              </w:rPr>
              <w:t>3.1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single" w:sz="8" w:space="0" w:color="000000"/>
              <w:left w:val="nil"/>
              <w:bottom w:val="nil"/>
              <w:right w:val="nil"/>
            </w:tcBorders>
            <w:tcMar>
              <w:top w:w="0" w:type="dxa"/>
              <w:left w:w="53" w:type="dxa"/>
              <w:bottom w:w="0" w:type="dxa"/>
              <w:right w:w="53" w:type="dxa"/>
            </w:tcMar>
            <w:vAlign w:val="top"/>
          </w:tcPr>
          <w:p>
            <w:pPr>
              <w:keepNext/>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3" w:history="1">
              <w:r>
                <w:rPr>
                  <w:rFonts w:ascii="Times New Roman" w:eastAsia="Times New Roman" w:hAnsi="Times New Roman" w:cs="Times New Roman"/>
                  <w:b w:val="0"/>
                  <w:i w:val="0"/>
                  <w:color w:val="0000FF"/>
                  <w:sz w:val="20"/>
                  <w:u w:val="single"/>
                  <w:shd w:val="clear" w:color="auto" w:fill="auto"/>
                </w:rPr>
                <w:t>Amended and Restated Certificate of Incorporation, dated January 27, 2017 (as corrected December 11, 2017) (incorporated by reference to Exhibit 3.1 to the Company’s Annual Report on Form 10-K filed November 27, 2018).</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49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3.2</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4" w:history="1">
              <w:r>
                <w:rPr>
                  <w:rFonts w:ascii="Times New Roman" w:eastAsia="Times New Roman" w:hAnsi="Times New Roman" w:cs="Times New Roman"/>
                  <w:b w:val="0"/>
                  <w:i w:val="0"/>
                  <w:color w:val="0000FF"/>
                  <w:sz w:val="20"/>
                  <w:u w:val="single"/>
                  <w:shd w:val="clear" w:color="auto" w:fill="auto"/>
                </w:rPr>
                <w:t>Amended and Restated Bylaws of the Company, as amended February 11, 2021 (incorporated by reference to Exhibit 3.1 to the Company’s Current Report on Form 8-K filed February 16, 2021).</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70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3.3</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5" w:history="1">
              <w:r>
                <w:rPr>
                  <w:rFonts w:ascii="Times New Roman" w:eastAsia="Times New Roman" w:hAnsi="Times New Roman" w:cs="Times New Roman"/>
                  <w:b w:val="0"/>
                  <w:i w:val="0"/>
                  <w:color w:val="0000FF"/>
                  <w:sz w:val="20"/>
                  <w:u w:val="single"/>
                  <w:shd w:val="clear" w:color="auto" w:fill="auto"/>
                </w:rPr>
                <w:t>Certificate of Amendment to the Amended and Restated Certificate of Incorporation of Varex Imaging Corporation, effective as of February 13, 2025 (incorporated by reference to Exhibit 3.1 to the Company’s Current Report on Form 8-K filed February 14, 2025.</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31.1*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6" w:history="1">
              <w:r>
                <w:rPr>
                  <w:rFonts w:ascii="Times New Roman" w:eastAsia="Times New Roman" w:hAnsi="Times New Roman" w:cs="Times New Roman"/>
                  <w:b w:val="0"/>
                  <w:i w:val="0"/>
                  <w:color w:val="0000FF"/>
                  <w:sz w:val="20"/>
                  <w:u w:val="single"/>
                  <w:shd w:val="clear" w:color="auto" w:fill="auto"/>
                </w:rPr>
                <w:t>Chief Executive Officer Certification Pursuant to Rule 13a-14(a) of the Securities Exchange Act</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31.2*</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7" w:history="1">
              <w:r>
                <w:rPr>
                  <w:rFonts w:ascii="Times New Roman" w:eastAsia="Times New Roman" w:hAnsi="Times New Roman" w:cs="Times New Roman"/>
                  <w:b w:val="0"/>
                  <w:i w:val="0"/>
                  <w:color w:val="0000FF"/>
                  <w:sz w:val="20"/>
                  <w:u w:val="single"/>
                  <w:shd w:val="clear" w:color="auto" w:fill="auto"/>
                </w:rPr>
                <w:t>Chief Financial Officer Certification Pursuant to Rule 13a-14(a) of the Securities Exchange Act</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52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32.1**</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8" w:history="1">
              <w:r>
                <w:rPr>
                  <w:rFonts w:ascii="Times New Roman" w:eastAsia="Times New Roman" w:hAnsi="Times New Roman" w:cs="Times New Roman"/>
                  <w:b w:val="0"/>
                  <w:i w:val="0"/>
                  <w:color w:val="0000FF"/>
                  <w:sz w:val="20"/>
                  <w:u w:val="single"/>
                  <w:shd w:val="clear" w:color="auto" w:fill="auto"/>
                </w:rPr>
                <w:t>Certification pursuant to 18 U.S.C. Section 1350 as adopted pursuant to Section 906 of the Sarbanes-Oxley Act of 2002</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52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32.2**</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shd w:val="clear" w:color="auto" w:fill="auto"/>
              </w:rPr>
            </w:pPr>
            <w:hyperlink r:id="rId49" w:history="1">
              <w:r>
                <w:rPr>
                  <w:rFonts w:ascii="Times New Roman" w:eastAsia="Times New Roman" w:hAnsi="Times New Roman" w:cs="Times New Roman"/>
                  <w:b w:val="0"/>
                  <w:i w:val="0"/>
                  <w:color w:val="0000FF"/>
                  <w:sz w:val="20"/>
                  <w:u w:val="single"/>
                  <w:shd w:val="clear" w:color="auto" w:fill="auto"/>
                </w:rPr>
                <w:t>Certification pursuant to 18 U.S.C. Section 1350 as adopted pursuant to Section 906 of the Sarbanes-Oxley Act of 2002</w:t>
              </w:r>
            </w:hyperlink>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49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101.INS*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Instance Document - the instance document does not appear in the Interactive Data File because its XBRL tags are embedded within the Inline XBRL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101.SCH*</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Taxonomy Extension Schema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101.CAL*</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Taxonomy Extension Calculation Linkbase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101.DEF*</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Taxonomy Extension Definition Linkbase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101.LAB*</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Taxonomy Extension Label Linkbase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101.PRE*</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Inline XBRL Taxonomy Extension Presentation Linkbase Document</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104*</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Cover Page Interactive Data File - (formatted as Inline XBRL and contained in Exhibit 101)</w:t>
            </w:r>
          </w:p>
        </w:tc>
      </w:tr>
      <w:tr>
        <w:tblPrEx>
          <w:tblW w:w="10800" w:type="dxa"/>
          <w:tblInd w:w="0" w:type="dxa"/>
          <w:tblLayout w:type="fixed"/>
        </w:tblPrEx>
        <w:trPr>
          <w:cantSplit/>
          <w:trHeight w:hRule="exact" w:val="75"/>
        </w:trPr>
        <w:tc>
          <w:tcPr>
            <w:tcW w:w="15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92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Filed herewith.</w:t>
            </w:r>
          </w:p>
        </w:tc>
      </w:tr>
      <w:tr>
        <w:tblPrEx>
          <w:tblW w:w="10800" w:type="dxa"/>
          <w:tblInd w:w="0" w:type="dxa"/>
          <w:tblLayout w:type="fixed"/>
        </w:tblPrEx>
        <w:trPr>
          <w:cantSplit/>
          <w:trHeight w:hRule="exact" w:val="285"/>
        </w:trPr>
        <w:tc>
          <w:tcPr>
            <w:tcW w:w="1500"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20"/>
                <w:u w:val="none"/>
              </w:rPr>
              <w:t>**</w:t>
            </w:r>
          </w:p>
        </w:tc>
        <w:tc>
          <w:tcPr>
            <w:tcW w:w="7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9225"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20"/>
                <w:u w:val="none"/>
              </w:rPr>
              <w:t>Furnished herewith.</w:t>
            </w:r>
          </w:p>
        </w:tc>
      </w:tr>
    </w:tbl>
    <w:p>
      <w:pPr>
        <w:keepNext w:val="0"/>
        <w:keepLines w:val="0"/>
        <w:pageBreakBefore w:val="0"/>
        <w:widowControl/>
        <w:numPr>
          <w:ilvl w:val="0"/>
          <w:numId w:val="0"/>
        </w:numPr>
        <w:spacing w:before="0" w:after="0" w:line="288" w:lineRule="auto"/>
        <w:ind w:left="0" w:right="0" w:firstLine="0"/>
        <w:jc w:val="left"/>
        <w:outlineLvl w:val="9"/>
        <w:rPr>
          <w:sz w:val="2"/>
        </w:rPr>
      </w:pPr>
    </w:p>
    <w:p>
      <w:pPr>
        <w:keepNext w:val="0"/>
        <w:keepLines w:val="0"/>
        <w:pageBreakBefore w:val="0"/>
        <w:widowControl/>
        <w:numPr>
          <w:ilvl w:val="0"/>
          <w:numId w:val="0"/>
        </w:numPr>
        <w:spacing w:before="0" w:after="0" w:line="288" w:lineRule="auto"/>
        <w:ind w:left="0" w:right="0" w:firstLine="0"/>
        <w:jc w:val="left"/>
        <w:outlineLvl w:val="9"/>
        <w:rPr>
          <w:sz w:val="2"/>
        </w:rPr>
        <w:sectPr>
          <w:footerReference w:type="default" r:id="rId50"/>
          <w:pgSz w:w="12240" w:h="15840"/>
          <w:pgMar w:top="1080" w:right="720" w:bottom="1080" w:left="720" w:header="270" w:footer="270"/>
          <w:cols w:space="708"/>
        </w:sectPr>
      </w:pPr>
    </w:p>
    <w:p>
      <w:pPr>
        <w:keepNext w:val="0"/>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0"/>
        </w:rPr>
      </w:pPr>
      <w:bookmarkStart w:id="48" w:name="Section49"/>
      <w:bookmarkEnd w:id="48"/>
      <w:r>
        <w:rPr>
          <w:rFonts w:ascii="Times New Roman" w:eastAsia="Times New Roman" w:hAnsi="Times New Roman" w:cs="Times New Roman"/>
          <w:b/>
          <w:i w:val="0"/>
          <w:sz w:val="20"/>
        </w:rPr>
        <w:t>SIGNATURES</w:t>
      </w:r>
    </w:p>
    <w:p>
      <w:pPr>
        <w:keepNext w:val="0"/>
        <w:keepLines w:val="0"/>
        <w:pageBreakBefore w:val="0"/>
        <w:widowControl/>
        <w:numPr>
          <w:ilvl w:val="0"/>
          <w:numId w:val="0"/>
        </w:numPr>
        <w:spacing w:before="120" w:after="18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Pursuant to the requirements of the Securities Exchange Act of 1934, the Registrant has duly caused this report to be signed on its behalf by the undersigned thereunto duly authorized.</w:t>
      </w:r>
    </w:p>
    <w:tbl>
      <w:tblPr>
        <w:tblW w:w="108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65"/>
        <w:gridCol w:w="2040"/>
        <w:gridCol w:w="1395"/>
        <w:gridCol w:w="6600"/>
      </w:tblGrid>
      <w:tr>
        <w:tblPrEx>
          <w:tblW w:w="10800" w:type="dxa"/>
          <w:tblInd w:w="0" w:type="dxa"/>
          <w:tblLayout w:type="fixed"/>
        </w:tblPrEx>
        <w:trPr>
          <w:cantSplit/>
          <w:trHeight w:hRule="exact" w:val="255"/>
        </w:trPr>
        <w:tc>
          <w:tcPr>
            <w:tcW w:w="7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45"/>
              <w:jc w:val="left"/>
            </w:pPr>
            <w:r>
              <w:rPr>
                <w:rFonts w:ascii="Times New Roman" w:eastAsia="Times New Roman" w:hAnsi="Times New Roman" w:cs="Times New Roman"/>
                <w:b/>
                <w:i w:val="0"/>
                <w:color w:val="000000"/>
                <w:sz w:val="20"/>
                <w:u w:val="none"/>
              </w:rPr>
              <w:t>VAREX IMAGING CORPORATION</w:t>
            </w: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45"/>
              <w:jc w:val="left"/>
            </w:pPr>
            <w:r>
              <w:rPr>
                <w:rFonts w:ascii="Times New Roman" w:eastAsia="Times New Roman" w:hAnsi="Times New Roman" w:cs="Times New Roman"/>
                <w:b w:val="0"/>
                <w:i w:val="0"/>
                <w:color w:val="000000"/>
                <w:sz w:val="20"/>
                <w:u w:val="none"/>
              </w:rPr>
              <w:t>Date:</w:t>
            </w:r>
          </w:p>
        </w:tc>
        <w:tc>
          <w:tcPr>
            <w:tcW w:w="204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ind w:left="45"/>
              <w:jc w:val="left"/>
            </w:pPr>
            <w:r>
              <w:rPr>
                <w:rFonts w:ascii="Times New Roman" w:eastAsia="Times New Roman" w:hAnsi="Times New Roman" w:cs="Times New Roman"/>
                <w:b w:val="0"/>
                <w:i w:val="0"/>
                <w:color w:val="000000"/>
                <w:sz w:val="20"/>
                <w:u w:val="none"/>
              </w:rPr>
              <w:t>August 7, 2025</w:t>
            </w:r>
          </w:p>
        </w:tc>
        <w:tc>
          <w:tcPr>
            <w:tcW w:w="1395" w:type="dxa"/>
            <w:tcBorders>
              <w:top w:val="nil"/>
              <w:left w:val="nil"/>
              <w:bottom w:val="nil"/>
              <w:right w:val="nil"/>
            </w:tcBorders>
            <w:tcMar>
              <w:top w:w="0" w:type="dxa"/>
              <w:left w:w="0" w:type="dxa"/>
              <w:bottom w:w="0" w:type="dxa"/>
              <w:right w:w="53" w:type="dxa"/>
            </w:tcMar>
            <w:vAlign w:val="top"/>
          </w:tcPr>
          <w:p>
            <w:pPr>
              <w:keepNext/>
              <w:pageBreakBefore w:val="0"/>
              <w:spacing w:before="75" w:after="30" w:line="240" w:lineRule="auto"/>
              <w:ind w:right="45"/>
              <w:jc w:val="right"/>
            </w:pPr>
            <w:r>
              <w:rPr>
                <w:rFonts w:ascii="Times New Roman" w:eastAsia="Times New Roman" w:hAnsi="Times New Roman" w:cs="Times New Roman"/>
                <w:b w:val="0"/>
                <w:i w:val="0"/>
                <w:color w:val="000000"/>
                <w:sz w:val="20"/>
                <w:u w:val="none"/>
              </w:rPr>
              <w:t>By:</w:t>
            </w:r>
          </w:p>
        </w:tc>
        <w:tc>
          <w:tcPr>
            <w:tcW w:w="66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/s/ SHUBHAM MAHESHWARI</w:t>
            </w: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0"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i w:val="0"/>
                <w:color w:val="000000"/>
                <w:sz w:val="20"/>
                <w:u w:val="none"/>
              </w:rPr>
              <w:t>Shubham Maheshwari</w:t>
            </w: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6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i w:val="0"/>
                <w:color w:val="000000"/>
                <w:sz w:val="20"/>
                <w:u w:val="none"/>
              </w:rPr>
              <w:t>Chief Financial Officer</w:t>
            </w:r>
          </w:p>
        </w:tc>
      </w:tr>
      <w:tr>
        <w:tblPrEx>
          <w:tblW w:w="10800" w:type="dxa"/>
          <w:tblInd w:w="0" w:type="dxa"/>
          <w:tblLayout w:type="fixed"/>
        </w:tblPrEx>
        <w:trPr>
          <w:cantSplit/>
          <w:trHeight w:hRule="exact" w:val="285"/>
        </w:trPr>
        <w:tc>
          <w:tcPr>
            <w:tcW w:w="76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204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9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6600" w:type="dxa"/>
            <w:tcBorders>
              <w:top w:val="nil"/>
              <w:left w:val="nil"/>
              <w:bottom w:val="nil"/>
              <w:right w:val="nil"/>
            </w:tcBorders>
            <w:tcMar>
              <w:top w:w="0" w:type="dxa"/>
              <w:left w:w="53" w:type="dxa"/>
              <w:bottom w:w="0" w:type="dxa"/>
              <w:right w:w="53" w:type="dxa"/>
            </w:tcMar>
            <w:vAlign w:val="top"/>
          </w:tcPr>
          <w:p>
            <w:pPr>
              <w:pageBreakBefore w:val="0"/>
              <w:spacing w:before="75" w:after="30" w:line="200" w:lineRule="exact"/>
              <w:ind w:left="45"/>
              <w:jc w:val="left"/>
            </w:pPr>
            <w:r>
              <w:rPr>
                <w:rFonts w:ascii="Times New Roman" w:eastAsia="Times New Roman" w:hAnsi="Times New Roman" w:cs="Times New Roman"/>
                <w:b/>
                <w:i/>
                <w:color w:val="000000"/>
                <w:sz w:val="20"/>
                <w:u w:val="none"/>
              </w:rPr>
              <w:t xml:space="preserve">(Duly Authorized Officer and Principal Financial Officer) </w:t>
            </w:r>
          </w:p>
        </w:tc>
      </w:tr>
    </w:tb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
        </w:rPr>
      </w:pPr>
    </w:p>
    <w:sectPr>
      <w:headerReference w:type="default" r:id="rId51"/>
      <w:pgSz w:w="12240" w:h="15840"/>
      <w:pgMar w:top="1080" w:right="720" w:bottom="1080" w:left="720" w:header="270" w:footer="27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63</w:t>
    </w:r>
    <w:r>
      <w:rPr>
        <w:rFonts w:ascii="Times New Roman" w:eastAsia="Times New Roman" w:hAnsi="Times New Roman" w:cs="Times New Roman"/>
        <w:b w:val="0"/>
        <w:i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2</w:t>
    </w:r>
    <w:r>
      <w:rPr>
        <w:rFonts w:ascii="Times New Roman" w:eastAsia="Times New Roman" w:hAnsi="Times New Roman" w:cs="Times New Roman"/>
        <w:b w:val="0"/>
        <w:i w:val="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8</w:t>
    </w:r>
    <w:r>
      <w:rPr>
        <w:rFonts w:ascii="Times New Roman" w:eastAsia="Times New Roman" w:hAnsi="Times New Roman" w:cs="Times New Roman"/>
        <w:b w:val="0"/>
        <w:i w:val="0"/>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46</w:t>
    </w:r>
    <w:r>
      <w:rPr>
        <w:rFonts w:ascii="Times New Roman" w:eastAsia="Times New Roman" w:hAnsi="Times New Roman" w:cs="Times New Roman"/>
        <w:b w:val="0"/>
        <w:i w:val="0"/>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61</w:t>
    </w:r>
    <w:r>
      <w:rPr>
        <w:rFonts w:ascii="Times New Roman" w:eastAsia="Times New Roman" w:hAnsi="Times New Roman" w:cs="Times New Roman"/>
        <w:b w:val="0"/>
        <w:i w:val="0"/>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p>
    <w:pPr>
      <w:keepNext w:val="0"/>
      <w:keepLines w:val="0"/>
      <w:pageBreakBefore w:val="0"/>
      <w:widowControl/>
      <w:numPr>
        <w:ilvl w:val="0"/>
        <w:numId w:val="0"/>
      </w:numPr>
      <w:tabs>
        <w:tab w:val="center" w:pos="4680"/>
        <w:tab w:val="right" w:pos="9360"/>
      </w:tabs>
      <w:spacing w:before="0" w:after="0" w:line="312" w:lineRule="auto"/>
      <w:ind w:left="0" w:right="0" w:firstLine="0"/>
      <w:jc w:val="center"/>
      <w:outlineLvl w:val="9"/>
      <w:rPr>
        <w:rFonts w:ascii="Times New Roman" w:eastAsia="Times New Roman" w:hAnsi="Times New Roman" w:cs="Times New Roman"/>
        <w:b/>
        <w:i w:val="0"/>
        <w:sz w:val="20"/>
        <w:shd w:val="clear" w:color="auto" w:fil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p>
    <w:pPr>
      <w:keepNext w:val="0"/>
      <w:keepLines w:val="0"/>
      <w:pageBreakBefore w:val="0"/>
      <w:widowControl/>
      <w:numPr>
        <w:ilvl w:val="0"/>
        <w:numId w:val="0"/>
      </w:numPr>
      <w:tabs>
        <w:tab w:val="center" w:pos="4680"/>
        <w:tab w:val="right" w:pos="9360"/>
      </w:tabs>
      <w:spacing w:before="0" w:after="0" w:line="312" w:lineRule="auto"/>
      <w:ind w:left="0" w:right="0" w:firstLine="0"/>
      <w:jc w:val="center"/>
      <w:outlineLvl w:val="9"/>
      <w:rPr>
        <w:rFonts w:ascii="Times New Roman" w:eastAsia="Times New Roman" w:hAnsi="Times New Roman" w:cs="Times New Roman"/>
        <w:b/>
        <w:i w:val="0"/>
        <w:sz w:val="20"/>
        <w:shd w:val="clear" w:color="auto" w:fil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p>
    <w:pPr>
      <w:keepNext w:val="0"/>
      <w:keepLines w:val="0"/>
      <w:pageBreakBefore w:val="0"/>
      <w:widowControl/>
      <w:numPr>
        <w:ilvl w:val="0"/>
        <w:numId w:val="0"/>
      </w:numPr>
      <w:tabs>
        <w:tab w:val="center" w:pos="4680"/>
        <w:tab w:val="right" w:pos="9360"/>
      </w:tabs>
      <w:spacing w:before="0" w:after="0" w:line="312" w:lineRule="auto"/>
      <w:ind w:left="0" w:right="0" w:firstLine="0"/>
      <w:jc w:val="center"/>
      <w:outlineLvl w:val="9"/>
      <w:rPr>
        <w:rFonts w:ascii="Times New Roman" w:eastAsia="Times New Roman" w:hAnsi="Times New Roman" w:cs="Times New Roman"/>
        <w:b/>
        <w:i w:val="0"/>
        <w:sz w:val="20"/>
        <w:shd w:val="clear" w:color="auto" w:fil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270" w:right="27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Table of Contents</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tabs>
        <w:tab w:val="center" w:pos="4680"/>
        <w:tab w:val="right" w:pos="9360"/>
      </w:tabs>
      <w:spacing w:before="0" w:after="0" w:line="312" w:lineRule="auto"/>
      <w:ind w:left="0" w:right="0" w:firstLine="0"/>
      <w:jc w:val="left"/>
      <w:outlineLvl w:val="9"/>
      <w:rPr>
        <w:rFonts w:ascii="Times New Roman" w:eastAsia="Times New Roman" w:hAnsi="Times New Roman" w:cs="Times New Roman"/>
        <w:b w:val="0"/>
        <w:i w:val="0"/>
        <w:sz w:val="20"/>
        <w:shd w:val="clear" w:color="auto" w:fill="auto"/>
      </w:rPr>
    </w:pPr>
    <w:hyperlink w:anchor="Section2" w:history="1">
      <w:r>
        <w:rPr>
          <w:rFonts w:ascii="Times New Roman" w:eastAsia="Times New Roman" w:hAnsi="Times New Roman" w:cs="Times New Roman"/>
          <w:b w:val="0"/>
          <w:i w:val="0"/>
          <w:color w:val="0000FF"/>
          <w:sz w:val="20"/>
          <w:u w:val="single"/>
          <w:shd w:val="clear" w:color="auto" w:fill="auto"/>
        </w:rPr>
        <w:t xml:space="preserve">Table of </w:t>
      </w:r>
    </w:hyperlink>
    <w:hyperlink w:anchor="Section2" w:history="1">
      <w:r>
        <w:rPr>
          <w:rFonts w:ascii="Times New Roman" w:eastAsia="Times New Roman" w:hAnsi="Times New Roman" w:cs="Times New Roman"/>
          <w:b w:val="0"/>
          <w:i w:val="0"/>
          <w:color w:val="0000FF"/>
          <w:sz w:val="20"/>
          <w:u w:val="single"/>
          <w:shd w:val="clear" w:color="auto" w:fill="auto"/>
        </w:rPr>
        <w:t>Contents</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nsid w:val="0000000E"/>
    <w:multiLevelType w:val="hybridMultilevel"/>
    <w:tmpl w:val="0000000E"/>
    <w:lvl w:ilvl="0">
      <w:start w:val="1"/>
      <w:numFmt w:val="bullet"/>
      <w:lvlText w:val="•"/>
      <w:lvlJc w:val="left"/>
      <w:pPr>
        <w:tabs>
          <w:tab w:val="num" w:pos="1260"/>
        </w:tabs>
        <w:ind w:left="720" w:hanging="360"/>
      </w:pPr>
      <w:rPr>
        <w:rFonts w:ascii="Times New Roman" w:eastAsia="Times New Roman" w:hAnsi="Times New Roman" w:cs="Times New Roman"/>
        <w:b w:val="0"/>
        <w:i w:val="0"/>
        <w:strike w:val="0"/>
        <w:color w:val="00000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1260"/>
        </w:tabs>
        <w:ind w:left="720" w:hanging="360"/>
      </w:pPr>
      <w:rPr>
        <w:rFonts w:ascii="Times New Roman" w:eastAsia="Times New Roman" w:hAnsi="Times New Roman" w:cs="Times New Roman"/>
        <w:b w:val="0"/>
        <w:i w:val="0"/>
        <w:strike w:val="0"/>
        <w:color w:val="00000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1260"/>
        </w:tabs>
        <w:ind w:left="720" w:hanging="360"/>
      </w:pPr>
      <w:rPr>
        <w:rFonts w:ascii="Times New Roman" w:eastAsia="Times New Roman" w:hAnsi="Times New Roman" w:cs="Times New Roman"/>
        <w:b w:val="0"/>
        <w:i w:val="0"/>
        <w:strike w:val="0"/>
        <w:color w:val="00000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1260"/>
        </w:tabs>
        <w:ind w:left="720" w:hanging="360"/>
      </w:pPr>
      <w:rPr>
        <w:rFonts w:ascii="Times New Roman" w:eastAsia="Times New Roman" w:hAnsi="Times New Roman" w:cs="Times New Roman"/>
        <w:b w:val="0"/>
        <w:i w:val="0"/>
        <w:strike w:val="0"/>
        <w:color w:val="00000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1260"/>
        </w:tabs>
        <w:ind w:left="720" w:hanging="360"/>
      </w:pPr>
      <w:rPr>
        <w:rFonts w:ascii="Times New Roman" w:eastAsia="Times New Roman" w:hAnsi="Times New Roman" w:cs="Times New Roman"/>
        <w:b w:val="0"/>
        <w:i w:val="0"/>
        <w:strike w:val="0"/>
        <w:color w:val="00000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header" Target="header8.xml" /><Relationship Id="rId18" Type="http://schemas.openxmlformats.org/officeDocument/2006/relationships/footer" Target="footer6.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header" Target="header18.xml" /><Relationship Id="rId29" Type="http://schemas.openxmlformats.org/officeDocument/2006/relationships/header" Target="header19.xml" /><Relationship Id="rId3" Type="http://schemas.openxmlformats.org/officeDocument/2006/relationships/fontTable" Target="fontTable.xml" /><Relationship Id="rId30" Type="http://schemas.openxmlformats.org/officeDocument/2006/relationships/header" Target="header20.xml" /><Relationship Id="rId31" Type="http://schemas.openxmlformats.org/officeDocument/2006/relationships/header" Target="header21.xml" /><Relationship Id="rId32" Type="http://schemas.openxmlformats.org/officeDocument/2006/relationships/header" Target="header22.xml" /><Relationship Id="rId33" Type="http://schemas.openxmlformats.org/officeDocument/2006/relationships/header" Target="header23.xml" /><Relationship Id="rId34" Type="http://schemas.openxmlformats.org/officeDocument/2006/relationships/header" Target="header24.xml" /><Relationship Id="rId35" Type="http://schemas.openxmlformats.org/officeDocument/2006/relationships/header" Target="header25.xml" /><Relationship Id="rId36" Type="http://schemas.openxmlformats.org/officeDocument/2006/relationships/header" Target="header26.xml" /><Relationship Id="rId37" Type="http://schemas.openxmlformats.org/officeDocument/2006/relationships/header" Target="header27.xml" /><Relationship Id="rId38" Type="http://schemas.openxmlformats.org/officeDocument/2006/relationships/footer" Target="footer7.xml" /><Relationship Id="rId39" Type="http://schemas.openxmlformats.org/officeDocument/2006/relationships/header" Target="header28.xml" /><Relationship Id="rId4" Type="http://schemas.openxmlformats.org/officeDocument/2006/relationships/image" Target="media/image1.jpeg" /><Relationship Id="rId40" Type="http://schemas.openxmlformats.org/officeDocument/2006/relationships/footer" Target="footer8.xml" /><Relationship Id="rId41" Type="http://schemas.openxmlformats.org/officeDocument/2006/relationships/header" Target="header29.xml" /><Relationship Id="rId42" Type="http://schemas.openxmlformats.org/officeDocument/2006/relationships/footer" Target="footer9.xml" /><Relationship Id="rId43" Type="http://schemas.openxmlformats.org/officeDocument/2006/relationships/hyperlink" Target="https://www.sec.gov/Archives/edgar/data/1681622/000168162217000023/exhibit31-10xk.htm" TargetMode="External" /><Relationship Id="rId44" Type="http://schemas.openxmlformats.org/officeDocument/2006/relationships/hyperlink" Target="https://www.sec.gov/Archives/edgar/data/0001681622/000168162221000031/exhibit31-amendedandrestat.htm" TargetMode="External" /><Relationship Id="rId45" Type="http://schemas.openxmlformats.org/officeDocument/2006/relationships/hyperlink" Target="https://www.sec.gov/Archives/edgar/data/1681622/000168162225000018/exhibit3.htm" TargetMode="External" /><Relationship Id="rId46" Type="http://schemas.openxmlformats.org/officeDocument/2006/relationships/hyperlink" Target="wurl://docs.v1/doc:bf587c43571248cebbd7ca93ddfb6102" TargetMode="External" /><Relationship Id="rId47" Type="http://schemas.openxmlformats.org/officeDocument/2006/relationships/hyperlink" Target="wurl://docs.v1/doc:265a5df7cbff4ffbab72a91ff06e505f" TargetMode="External" /><Relationship Id="rId48" Type="http://schemas.openxmlformats.org/officeDocument/2006/relationships/hyperlink" Target="wurl://docs.v1/doc:6534bd3542764805bcec45522f9a5db8" TargetMode="External" /><Relationship Id="rId49" Type="http://schemas.openxmlformats.org/officeDocument/2006/relationships/hyperlink" Target="wurl://docs.v1/doc:12c83fc122474ced97f952970e3f49f1" TargetMode="External" /><Relationship Id="rId5" Type="http://schemas.openxmlformats.org/officeDocument/2006/relationships/header" Target="header1.xml" /><Relationship Id="rId50" Type="http://schemas.openxmlformats.org/officeDocument/2006/relationships/footer" Target="footer10.xml" /><Relationship Id="rId51" Type="http://schemas.openxmlformats.org/officeDocument/2006/relationships/header" Target="header30.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64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Varex 10-Q 2025 Q3</dc:title>
  <cp:revision>1</cp:revision>
</cp:coreProperties>
</file>