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7446" w14:textId="77777777" w:rsidR="008741A5" w:rsidRDefault="00000000">
      <w:pPr>
        <w:spacing w:after="1221" w:line="253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>SD 1 vareximagingsd2022conflict.htm SD</w:t>
      </w:r>
    </w:p>
    <w:p w14:paraId="45826B16" w14:textId="77777777" w:rsidR="008741A5" w:rsidRDefault="00000000">
      <w:pPr>
        <w:spacing w:after="337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3752F3AC" w14:textId="77777777" w:rsidR="008741A5" w:rsidRDefault="00000000">
      <w:pPr>
        <w:pStyle w:val="Heading1"/>
      </w:pPr>
      <w:r>
        <w:rPr>
          <w:b w:val="0"/>
          <w:sz w:val="20"/>
        </w:rPr>
        <w:t xml:space="preserve"> </w:t>
      </w:r>
      <w:r>
        <w:t>UNITED STATES</w:t>
      </w:r>
    </w:p>
    <w:p w14:paraId="045AEEAC" w14:textId="77777777" w:rsidR="008741A5" w:rsidRDefault="00000000">
      <w:pPr>
        <w:spacing w:after="0"/>
        <w:ind w:left="1564"/>
      </w:pPr>
      <w:r>
        <w:rPr>
          <w:rFonts w:ascii="Times New Roman" w:eastAsia="Times New Roman" w:hAnsi="Times New Roman" w:cs="Times New Roman"/>
          <w:b/>
          <w:sz w:val="36"/>
        </w:rPr>
        <w:t>SECURITIES AND EXCHANGE COMMISSION</w:t>
      </w:r>
    </w:p>
    <w:p w14:paraId="2F82E027" w14:textId="77777777" w:rsidR="008741A5" w:rsidRDefault="00000000">
      <w:pPr>
        <w:spacing w:after="675" w:line="265" w:lineRule="auto"/>
        <w:ind w:left="5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Washington, D.C. 20549</w:t>
      </w:r>
    </w:p>
    <w:p w14:paraId="4ADDFD54" w14:textId="77777777" w:rsidR="008741A5" w:rsidRDefault="00000000">
      <w:pPr>
        <w:pStyle w:val="Heading1"/>
      </w:pPr>
      <w:r>
        <w:t>FORM SD</w:t>
      </w:r>
    </w:p>
    <w:p w14:paraId="414C4C18" w14:textId="77777777" w:rsidR="008741A5" w:rsidRDefault="00000000">
      <w:pPr>
        <w:spacing w:after="185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2710009F" w14:textId="77777777" w:rsidR="008741A5" w:rsidRDefault="00000000">
      <w:pPr>
        <w:spacing w:after="0"/>
        <w:ind w:left="4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BF4ADAD" w14:textId="77777777" w:rsidR="008741A5" w:rsidRDefault="00000000">
      <w:pPr>
        <w:spacing w:after="0" w:line="265" w:lineRule="auto"/>
        <w:ind w:left="5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SPECIALIZED DISCLOSURE REPORT</w:t>
      </w:r>
    </w:p>
    <w:p w14:paraId="64B79E7C" w14:textId="77777777" w:rsidR="008741A5" w:rsidRDefault="00000000">
      <w:pPr>
        <w:spacing w:after="300" w:line="218" w:lineRule="auto"/>
        <w:ind w:right="5362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47F6AD" w14:textId="77777777" w:rsidR="008741A5" w:rsidRDefault="00000000">
      <w:pPr>
        <w:spacing w:after="0"/>
        <w:ind w:left="43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VAREX IMAGING CORPORATION</w:t>
      </w:r>
    </w:p>
    <w:p w14:paraId="2ACF3FD0" w14:textId="77777777" w:rsidR="008741A5" w:rsidRDefault="00000000">
      <w:pPr>
        <w:spacing w:after="90" w:line="265" w:lineRule="auto"/>
        <w:ind w:left="5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(Exact name of the registrant as specified in its charter)</w:t>
      </w:r>
    </w:p>
    <w:p w14:paraId="6BCFD6DE" w14:textId="77777777" w:rsidR="008741A5" w:rsidRDefault="00000000">
      <w:pPr>
        <w:spacing w:after="102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06" w:type="dxa"/>
        <w:tblInd w:w="5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2916"/>
        <w:gridCol w:w="2260"/>
      </w:tblGrid>
      <w:tr w:rsidR="008741A5" w14:paraId="24ED9F72" w14:textId="77777777">
        <w:trPr>
          <w:trHeight w:val="241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1F72E75B" w14:textId="77777777" w:rsidR="008741A5" w:rsidRDefault="00000000">
            <w:pPr>
              <w:spacing w:after="0"/>
              <w:ind w:righ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Delaware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6224655" w14:textId="77777777" w:rsidR="008741A5" w:rsidRDefault="00000000">
            <w:pPr>
              <w:spacing w:after="0"/>
              <w:ind w:left="999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3BF0EE2A" w14:textId="77777777" w:rsidR="008741A5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001-37860</w:t>
            </w:r>
          </w:p>
        </w:tc>
      </w:tr>
      <w:tr w:rsidR="008741A5" w14:paraId="27C7C8A9" w14:textId="77777777">
        <w:trPr>
          <w:trHeight w:val="54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4B0A9841" w14:textId="77777777" w:rsidR="008741A5" w:rsidRDefault="00000000">
            <w:pPr>
              <w:spacing w:after="0"/>
              <w:ind w:left="1192" w:right="107" w:hanging="1085"/>
            </w:pPr>
            <w:r>
              <w:rPr>
                <w:rFonts w:ascii="Times New Roman" w:eastAsia="Times New Roman" w:hAnsi="Times New Roman" w:cs="Times New Roman"/>
                <w:sz w:val="20"/>
              </w:rPr>
              <w:t>(State or other jurisdiction of incorporation or organization)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FC629" w14:textId="77777777" w:rsidR="008741A5" w:rsidRDefault="00000000">
            <w:pPr>
              <w:spacing w:after="0"/>
              <w:ind w:left="999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0E1F6D9" w14:textId="77777777" w:rsidR="008741A5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(Commission File Number)</w:t>
            </w:r>
          </w:p>
        </w:tc>
      </w:tr>
      <w:tr w:rsidR="008741A5" w14:paraId="2AA1765D" w14:textId="77777777">
        <w:trPr>
          <w:trHeight w:val="309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3669CF8A" w14:textId="77777777" w:rsidR="008741A5" w:rsidRDefault="00000000">
            <w:pPr>
              <w:spacing w:after="0"/>
              <w:ind w:right="16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44BBA4D" w14:textId="77777777" w:rsidR="008741A5" w:rsidRDefault="008741A5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3836D54B" w14:textId="77777777" w:rsidR="008741A5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8741A5" w14:paraId="6AC4D92B" w14:textId="77777777">
        <w:trPr>
          <w:trHeight w:val="313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0F4698A4" w14:textId="77777777" w:rsidR="008741A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1678 S. Pioneer Road, Salt Lake City, Utah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225A90AA" w14:textId="77777777" w:rsidR="008741A5" w:rsidRDefault="008741A5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076C8F5F" w14:textId="77777777" w:rsidR="008741A5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84104</w:t>
            </w:r>
          </w:p>
        </w:tc>
      </w:tr>
      <w:tr w:rsidR="008741A5" w14:paraId="227D9ECE" w14:textId="77777777">
        <w:trPr>
          <w:trHeight w:val="248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1CCC4687" w14:textId="77777777" w:rsidR="008741A5" w:rsidRDefault="00000000">
            <w:pPr>
              <w:spacing w:after="0"/>
              <w:ind w:left="245"/>
            </w:pPr>
            <w:r>
              <w:rPr>
                <w:rFonts w:ascii="Times New Roman" w:eastAsia="Times New Roman" w:hAnsi="Times New Roman" w:cs="Times New Roman"/>
                <w:sz w:val="20"/>
              </w:rPr>
              <w:t>(Address of principal executive offices)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63BA5EEA" w14:textId="77777777" w:rsidR="008741A5" w:rsidRDefault="008741A5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7FD827D9" w14:textId="77777777" w:rsidR="008741A5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(Zip code)</w:t>
            </w:r>
          </w:p>
        </w:tc>
      </w:tr>
    </w:tbl>
    <w:p w14:paraId="4841F8C3" w14:textId="77777777" w:rsidR="008741A5" w:rsidRDefault="00000000">
      <w:pPr>
        <w:spacing w:after="50"/>
        <w:ind w:left="43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25F125F6" w14:textId="77777777" w:rsidR="008741A5" w:rsidRDefault="00000000">
      <w:pPr>
        <w:spacing w:after="60" w:line="265" w:lineRule="auto"/>
        <w:ind w:left="5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Kimberley E. Honeysett</w:t>
      </w:r>
    </w:p>
    <w:p w14:paraId="2F4A0F08" w14:textId="77777777" w:rsidR="008741A5" w:rsidRDefault="00000000">
      <w:pPr>
        <w:spacing w:after="240" w:line="265" w:lineRule="auto"/>
        <w:ind w:left="5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(801) 972-5000</w:t>
      </w:r>
    </w:p>
    <w:p w14:paraId="472F7661" w14:textId="77777777" w:rsidR="008741A5" w:rsidRDefault="00000000">
      <w:pPr>
        <w:spacing w:after="529" w:line="260" w:lineRule="auto"/>
        <w:ind w:left="1177" w:hanging="10"/>
      </w:pPr>
      <w:r>
        <w:rPr>
          <w:rFonts w:ascii="Times New Roman" w:eastAsia="Times New Roman" w:hAnsi="Times New Roman" w:cs="Times New Roman"/>
          <w:sz w:val="20"/>
        </w:rPr>
        <w:t>(Name and telephone number, including area code, of the person to contact in connection with this report.)</w:t>
      </w:r>
    </w:p>
    <w:p w14:paraId="02DD443A" w14:textId="77777777" w:rsidR="008741A5" w:rsidRDefault="00000000">
      <w:pPr>
        <w:spacing w:after="156" w:line="260" w:lineRule="auto"/>
        <w:ind w:left="15" w:hanging="10"/>
      </w:pPr>
      <w:r>
        <w:rPr>
          <w:rFonts w:ascii="Times New Roman" w:eastAsia="Times New Roman" w:hAnsi="Times New Roman" w:cs="Times New Roman"/>
          <w:sz w:val="20"/>
        </w:rPr>
        <w:t>Check the appropriate box to indicate the rule pursuant to which this form is being filed, and provide the period to which the information in this form applies:</w:t>
      </w:r>
    </w:p>
    <w:p w14:paraId="7D8F2881" w14:textId="77777777" w:rsidR="008741A5" w:rsidRDefault="00000000">
      <w:pPr>
        <w:spacing w:after="0"/>
        <w:ind w:right="440"/>
        <w:jc w:val="right"/>
      </w:pPr>
      <w:r>
        <w:rPr>
          <w:rFonts w:ascii="Times New Roman" w:eastAsia="Times New Roman" w:hAnsi="Times New Roman" w:cs="Times New Roman"/>
          <w:sz w:val="20"/>
        </w:rPr>
        <w:t>Rule 13p-1 under the Securities Exchange Act (17 CFR 240.13p-1) for the reporting period from January 1 to December 31,</w:t>
      </w:r>
    </w:p>
    <w:p w14:paraId="7811C8FC" w14:textId="77777777" w:rsidR="008741A5" w:rsidRDefault="00000000">
      <w:pPr>
        <w:spacing w:after="233" w:line="260" w:lineRule="auto"/>
        <w:ind w:left="15" w:hanging="10"/>
      </w:pPr>
      <w:r>
        <w:rPr>
          <w:rFonts w:ascii="Segoe UI Symbol" w:eastAsia="Segoe UI Symbol" w:hAnsi="Segoe UI Symbol" w:cs="Segoe UI Symbol"/>
        </w:rPr>
        <w:t xml:space="preserve">☒ </w:t>
      </w:r>
      <w:r>
        <w:rPr>
          <w:rFonts w:ascii="Times New Roman" w:eastAsia="Times New Roman" w:hAnsi="Times New Roman" w:cs="Times New Roman"/>
          <w:sz w:val="20"/>
        </w:rPr>
        <w:t>2022.</w:t>
      </w:r>
    </w:p>
    <w:p w14:paraId="5D586082" w14:textId="77777777" w:rsidR="008741A5" w:rsidRDefault="00000000">
      <w:pPr>
        <w:spacing w:after="1380" w:line="260" w:lineRule="auto"/>
        <w:ind w:left="15" w:hanging="10"/>
      </w:pPr>
      <w:r>
        <w:rPr>
          <w:rFonts w:ascii="Segoe UI Symbol" w:eastAsia="Segoe UI Symbol" w:hAnsi="Segoe UI Symbol" w:cs="Segoe UI Symbol"/>
        </w:rPr>
        <w:lastRenderedPageBreak/>
        <w:t xml:space="preserve">☐ </w:t>
      </w:r>
      <w:r>
        <w:rPr>
          <w:rFonts w:ascii="Times New Roman" w:eastAsia="Times New Roman" w:hAnsi="Times New Roman" w:cs="Times New Roman"/>
          <w:sz w:val="20"/>
        </w:rPr>
        <w:t>Rule 13p-1 under the Securities Exchange Act (17 CFR 240.13p-1) for the fiscal year ended _______.</w:t>
      </w:r>
    </w:p>
    <w:p w14:paraId="227B49E6" w14:textId="77777777" w:rsidR="008741A5" w:rsidRDefault="00000000">
      <w:pPr>
        <w:spacing w:after="0"/>
        <w:ind w:right="-43"/>
      </w:pPr>
      <w:r>
        <w:rPr>
          <w:noProof/>
        </w:rPr>
        <mc:AlternateContent>
          <mc:Choice Requires="wpg">
            <w:drawing>
              <wp:inline distT="0" distB="0" distL="0" distR="0" wp14:anchorId="2EC8E672" wp14:editId="6C3D6426">
                <wp:extent cx="6896100" cy="19050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9050"/>
                          <a:chOff x="0" y="0"/>
                          <a:chExt cx="6896100" cy="19050"/>
                        </a:xfrm>
                      </wpg:grpSpPr>
                      <wps:wsp>
                        <wps:cNvPr id="1890" name="Shape 1890"/>
                        <wps:cNvSpPr/>
                        <wps:spPr>
                          <a:xfrm>
                            <a:off x="0" y="0"/>
                            <a:ext cx="6896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525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0" y="9525"/>
                            <a:ext cx="6896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525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886575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9" style="width:543pt;height:1.5pt;mso-position-horizontal-relative:char;mso-position-vertical-relative:line" coordsize="68961,190">
                <v:shape id="Shape 1892" style="position:absolute;width:68961;height:95;left:0;top:0;" coordsize="6896100,9525" path="m0,0l6896100,0l6896100,9525l0,9525l0,0">
                  <v:stroke weight="0pt" endcap="flat" joinstyle="miter" miterlimit="10" on="false" color="#000000" opacity="0"/>
                  <v:fill on="true" color="#9a9a9a"/>
                </v:shape>
                <v:shape id="Shape 1893" style="position:absolute;width:68961;height:95;left:0;top:95;" coordsize="6896100,9525" path="m0,0l6896100,0l6896100,9525l0,9525l0,0">
                  <v:stroke weight="0pt" endcap="flat" joinstyle="miter" miterlimit="10" on="false" color="#000000" opacity="0"/>
                  <v:fill on="true" color="#eeeeee"/>
                </v:shape>
                <v:shape id="Shape 8" style="position:absolute;width:95;height:190;left:68865;top:0;" coordsize="9525,19050" path="m9525,0l9525,19050l0,19050l0,9525l9525,0x">
                  <v:stroke weight="0pt" endcap="flat" joinstyle="miter" miterlimit="10" on="false" color="#000000" opacity="0"/>
                  <v:fill on="true" color="#eeeeee"/>
                </v:shape>
                <v:shape id="Shape 9" style="position:absolute;width:95;height:190;left:0;top:0;" coordsize="9525,19050" path="m0,0l9525,0l9525,9525l0,19050l0,0x">
                  <v:stroke weight="0pt" endcap="flat" joinstyle="miter" miterlimit="10" on="false" color="#000000" opacity="0"/>
                  <v:fill on="true" color="#9a9a9a"/>
                </v:shape>
              </v:group>
            </w:pict>
          </mc:Fallback>
        </mc:AlternateContent>
      </w:r>
    </w:p>
    <w:p w14:paraId="6ECEBAE4" w14:textId="77777777" w:rsidR="008741A5" w:rsidRDefault="00000000">
      <w:pPr>
        <w:spacing w:after="255"/>
        <w:ind w:left="15" w:hanging="10"/>
      </w:pPr>
      <w:r>
        <w:rPr>
          <w:rFonts w:ascii="Times New Roman" w:eastAsia="Times New Roman" w:hAnsi="Times New Roman" w:cs="Times New Roman"/>
          <w:b/>
          <w:sz w:val="24"/>
        </w:rPr>
        <w:t>SECTION 1 - CONFLICT MINERALS DISCLOSURE</w:t>
      </w:r>
    </w:p>
    <w:p w14:paraId="0BE4C1D4" w14:textId="77777777" w:rsidR="008741A5" w:rsidRDefault="00000000">
      <w:pPr>
        <w:spacing w:after="27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Item 1.01 Conflict Minerals Disclosure and Report</w:t>
      </w:r>
    </w:p>
    <w:p w14:paraId="61ECA560" w14:textId="77777777" w:rsidR="008741A5" w:rsidRDefault="00000000">
      <w:pPr>
        <w:pStyle w:val="Heading2"/>
        <w:spacing w:after="285"/>
        <w:ind w:left="15"/>
      </w:pPr>
      <w:r>
        <w:t>Conflict Minerals Disclosure</w:t>
      </w:r>
    </w:p>
    <w:p w14:paraId="4E913907" w14:textId="77777777" w:rsidR="008741A5" w:rsidRDefault="00000000">
      <w:pPr>
        <w:spacing w:after="276" w:line="253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>This Specialized Disclosure Report on Form SD and the Conflict Minerals Report, filed as Exhibit 1.01 hereto, are publicly available at https://www.vareximaging.com/investor-relations/. The content of Varex Imaging’s website referred to in this Form SD is not intended to be incorporated by reference into or part of this Form SD.</w:t>
      </w:r>
    </w:p>
    <w:p w14:paraId="3445A3A0" w14:textId="77777777" w:rsidR="008741A5" w:rsidRDefault="00000000">
      <w:pPr>
        <w:spacing w:after="27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Item 1.02 Exhibit</w:t>
      </w:r>
    </w:p>
    <w:p w14:paraId="6EA3020C" w14:textId="77777777" w:rsidR="008741A5" w:rsidRDefault="00000000">
      <w:pPr>
        <w:spacing w:after="276" w:line="253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>The Conflict Minerals Report required by Item 1.01 is filed as Exhibit 1.01 to this Form SD.</w:t>
      </w:r>
    </w:p>
    <w:p w14:paraId="7E9266CA" w14:textId="77777777" w:rsidR="008741A5" w:rsidRDefault="00000000">
      <w:pPr>
        <w:pStyle w:val="Heading2"/>
        <w:ind w:left="15"/>
      </w:pPr>
      <w:r>
        <w:t>SECTION 2 - RESOURCE EXTRACTION ISSUER DISCLOSURE</w:t>
      </w:r>
    </w:p>
    <w:p w14:paraId="517E4AE5" w14:textId="77777777" w:rsidR="008741A5" w:rsidRDefault="00000000">
      <w:pPr>
        <w:spacing w:after="27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Item 2.01 Resource Extraction Issuer Disclosure and Report</w:t>
      </w:r>
    </w:p>
    <w:p w14:paraId="750C023D" w14:textId="77777777" w:rsidR="008741A5" w:rsidRDefault="00000000">
      <w:pPr>
        <w:spacing w:after="276" w:line="253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>Not applicable</w:t>
      </w:r>
    </w:p>
    <w:p w14:paraId="68BED033" w14:textId="77777777" w:rsidR="008741A5" w:rsidRDefault="00000000">
      <w:pPr>
        <w:pStyle w:val="Heading2"/>
        <w:spacing w:after="0"/>
        <w:ind w:left="15"/>
      </w:pPr>
      <w:r>
        <w:t>SECTION 3 - EXHIBITS</w:t>
      </w:r>
    </w:p>
    <w:p w14:paraId="7B46200C" w14:textId="77777777" w:rsidR="008741A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485F4D" w14:textId="77777777" w:rsidR="008741A5" w:rsidRDefault="00000000">
      <w:pPr>
        <w:spacing w:after="12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Item 3.01 Exhibits</w:t>
      </w:r>
    </w:p>
    <w:p w14:paraId="0F7CD907" w14:textId="77777777" w:rsidR="008741A5" w:rsidRDefault="00000000">
      <w:pPr>
        <w:spacing w:after="663"/>
      </w:pP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Exhibit 1.01 -</w:t>
        </w:r>
      </w:hyperlink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Conflict Miner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als Re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4"/>
          </w:rPr>
          <w:t>p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ort as re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</w:rPr>
          <w:t>q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uired b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</w:rPr>
          <w:t>y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Items 1.01 and 1.02 of this Form S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D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.</w:t>
        </w:r>
      </w:hyperlink>
    </w:p>
    <w:p w14:paraId="439EA308" w14:textId="77777777" w:rsidR="008741A5" w:rsidRDefault="00000000">
      <w:pPr>
        <w:spacing w:after="120"/>
        <w:ind w:right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SIGNATURES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E13A4E" w14:textId="77777777" w:rsidR="008741A5" w:rsidRDefault="00000000">
      <w:pPr>
        <w:spacing w:after="0" w:line="253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>Pursuant to the requirements of the Securities Exchange Act of 1934, the registrant has duly caused this report to be signed on its behalf by the duly authorized undersigned.</w:t>
      </w:r>
    </w:p>
    <w:p w14:paraId="5686985A" w14:textId="77777777" w:rsidR="008741A5" w:rsidRDefault="00000000">
      <w:pPr>
        <w:spacing w:after="1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8FA29E" w14:textId="77777777" w:rsidR="008741A5" w:rsidRDefault="00000000">
      <w:pPr>
        <w:pStyle w:val="Heading2"/>
        <w:tabs>
          <w:tab w:val="center" w:pos="8803"/>
        </w:tabs>
        <w:spacing w:after="21"/>
        <w:ind w:left="0" w:firstLine="0"/>
      </w:pPr>
      <w:r>
        <w:t>VAREX IMAGING CORPORATION</w:t>
      </w:r>
      <w:r>
        <w:tab/>
      </w:r>
      <w:r>
        <w:rPr>
          <w:b w:val="0"/>
          <w:sz w:val="20"/>
        </w:rPr>
        <w:t xml:space="preserve"> </w:t>
      </w:r>
    </w:p>
    <w:p w14:paraId="155E4CC9" w14:textId="77777777" w:rsidR="008741A5" w:rsidRDefault="00000000">
      <w:pPr>
        <w:spacing w:after="89" w:line="311" w:lineRule="auto"/>
        <w:ind w:left="856" w:right="196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DB47623" w14:textId="77777777" w:rsidR="008741A5" w:rsidRDefault="00000000">
      <w:pPr>
        <w:tabs>
          <w:tab w:val="center" w:pos="2163"/>
          <w:tab w:val="center" w:pos="9473"/>
        </w:tabs>
        <w:spacing w:after="7" w:line="253" w:lineRule="auto"/>
      </w:pPr>
      <w:r>
        <w:rPr>
          <w:rFonts w:ascii="Times New Roman" w:eastAsia="Times New Roman" w:hAnsi="Times New Roman" w:cs="Times New Roman"/>
          <w:sz w:val="24"/>
        </w:rPr>
        <w:t>By:</w:t>
      </w:r>
      <w:r>
        <w:rPr>
          <w:rFonts w:ascii="Times New Roman" w:eastAsia="Times New Roman" w:hAnsi="Times New Roman" w:cs="Times New Roman"/>
          <w:sz w:val="24"/>
        </w:rPr>
        <w:tab/>
        <w:t>/s/ Kimberley E. Honeysett</w:t>
      </w:r>
      <w:r>
        <w:rPr>
          <w:rFonts w:ascii="Times New Roman" w:eastAsia="Times New Roman" w:hAnsi="Times New Roman" w:cs="Times New Roman"/>
          <w:sz w:val="24"/>
        </w:rPr>
        <w:tab/>
        <w:t>May 30, 2023</w:t>
      </w:r>
    </w:p>
    <w:p w14:paraId="6F25029D" w14:textId="77777777" w:rsidR="008741A5" w:rsidRDefault="00000000">
      <w:pPr>
        <w:spacing w:after="75"/>
        <w:ind w:left="840" w:right="-43"/>
      </w:pPr>
      <w:r>
        <w:rPr>
          <w:noProof/>
        </w:rPr>
        <mc:AlternateContent>
          <mc:Choice Requires="wpg">
            <w:drawing>
              <wp:inline distT="0" distB="0" distL="0" distR="0" wp14:anchorId="0A38039D" wp14:editId="21EF509D">
                <wp:extent cx="6362700" cy="9525"/>
                <wp:effectExtent l="0" t="0" r="0" b="0"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9525"/>
                          <a:chOff x="0" y="0"/>
                          <a:chExt cx="6362700" cy="9525"/>
                        </a:xfrm>
                      </wpg:grpSpPr>
                      <wps:wsp>
                        <wps:cNvPr id="1894" name="Shape 1894"/>
                        <wps:cNvSpPr/>
                        <wps:spPr>
                          <a:xfrm>
                            <a:off x="0" y="0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66675" y="0"/>
                            <a:ext cx="4629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9150" h="9525">
                                <a:moveTo>
                                  <a:pt x="0" y="0"/>
                                </a:moveTo>
                                <a:lnTo>
                                  <a:pt x="4629150" y="0"/>
                                </a:lnTo>
                                <a:lnTo>
                                  <a:pt x="46291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469582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5048250" y="0"/>
                            <a:ext cx="66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525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5114925" y="0"/>
                            <a:ext cx="1228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25" h="9525">
                                <a:moveTo>
                                  <a:pt x="0" y="0"/>
                                </a:moveTo>
                                <a:lnTo>
                                  <a:pt x="1228725" y="0"/>
                                </a:lnTo>
                                <a:lnTo>
                                  <a:pt x="1228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634365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6" style="width:501pt;height:0.75pt;mso-position-horizontal-relative:char;mso-position-vertical-relative:line" coordsize="63627,95">
                <v:shape id="Shape 1900" style="position:absolute;width:666;height:95;left:0;top:0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901" style="position:absolute;width:46291;height:95;left:666;top:0;" coordsize="4629150,9525" path="m0,0l4629150,0l4629150,9525l0,9525l0,0">
                  <v:stroke weight="0pt" endcap="flat" joinstyle="miter" miterlimit="10" on="false" color="#000000" opacity="0"/>
                  <v:fill on="true" color="#000000"/>
                </v:shape>
                <v:shape id="Shape 1902" style="position:absolute;width:190;height:95;left:46958;top:0;" coordsize="19050,9525" path="m0,0l19050,0l19050,9525l0,9525l0,0">
                  <v:stroke weight="0pt" endcap="flat" joinstyle="miter" miterlimit="10" on="false" color="#000000" opacity="0"/>
                  <v:fill on="true" color="#000000"/>
                </v:shape>
                <v:shape id="Shape 1903" style="position:absolute;width:666;height:95;left:50482;top:0;" coordsize="66675,9525" path="m0,0l66675,0l66675,9525l0,9525l0,0">
                  <v:stroke weight="0pt" endcap="flat" joinstyle="miter" miterlimit="10" on="false" color="#000000" opacity="0"/>
                  <v:fill on="true" color="#000000"/>
                </v:shape>
                <v:shape id="Shape 1904" style="position:absolute;width:12287;height:95;left:51149;top:0;" coordsize="1228725,9525" path="m0,0l1228725,0l1228725,9525l0,9525l0,0">
                  <v:stroke weight="0pt" endcap="flat" joinstyle="miter" miterlimit="10" on="false" color="#000000" opacity="0"/>
                  <v:fill on="true" color="#000000"/>
                </v:shape>
                <v:shape id="Shape 1905" style="position:absolute;width:190;height:95;left:63436;top:0;" coordsize="19050,9525" path="m0,0l19050,0l1905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9E2426F" w14:textId="77777777" w:rsidR="008741A5" w:rsidRDefault="00000000">
      <w:pPr>
        <w:tabs>
          <w:tab w:val="center" w:pos="1922"/>
          <w:tab w:val="center" w:pos="9821"/>
        </w:tabs>
        <w:spacing w:after="3"/>
      </w:pPr>
      <w:r>
        <w:tab/>
      </w:r>
      <w:r>
        <w:rPr>
          <w:rFonts w:ascii="Times New Roman" w:eastAsia="Times New Roman" w:hAnsi="Times New Roman" w:cs="Times New Roman"/>
        </w:rPr>
        <w:t>Kimberley E. Honeysett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Date</w:t>
      </w:r>
    </w:p>
    <w:p w14:paraId="781B90D6" w14:textId="77777777" w:rsidR="008741A5" w:rsidRDefault="00000000">
      <w:pPr>
        <w:spacing w:after="520"/>
        <w:ind w:left="856"/>
      </w:pPr>
      <w:r>
        <w:rPr>
          <w:rFonts w:ascii="Times New Roman" w:eastAsia="Times New Roman" w:hAnsi="Times New Roman" w:cs="Times New Roman"/>
        </w:rPr>
        <w:lastRenderedPageBreak/>
        <w:t>Chief Legal Officer, General Counsel, and Corporate Secretary</w:t>
      </w:r>
    </w:p>
    <w:p w14:paraId="54904CF7" w14:textId="77777777" w:rsidR="008741A5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EE576DF" w14:textId="77777777" w:rsidR="008741A5" w:rsidRDefault="008741A5">
      <w:pPr>
        <w:sectPr w:rsidR="008741A5">
          <w:pgSz w:w="12240" w:h="15840"/>
          <w:pgMar w:top="744" w:right="723" w:bottom="2167" w:left="700" w:header="720" w:footer="720" w:gutter="0"/>
          <w:cols w:space="720"/>
        </w:sectPr>
      </w:pPr>
    </w:p>
    <w:p w14:paraId="040E2C5F" w14:textId="77777777" w:rsidR="008741A5" w:rsidRDefault="008741A5">
      <w:pPr>
        <w:spacing w:after="0"/>
      </w:pPr>
    </w:p>
    <w:sectPr w:rsidR="008741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A5"/>
    <w:rsid w:val="008741A5"/>
    <w:rsid w:val="008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4D0A"/>
  <w15:docId w15:val="{922E80D3-5E83-4CD0-BA40-EA3E3BD9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gov/Archives/edgar/data/1681622/000168162223000056/exhibit1012022sd.htm" TargetMode="External"/><Relationship Id="rId13" Type="http://schemas.openxmlformats.org/officeDocument/2006/relationships/hyperlink" Target="https://www.sec.gov/Archives/edgar/data/1681622/000168162223000056/exhibit1012022sd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c.gov/Archives/edgar/data/1681622/000168162223000056/exhibit1012022sd.htm" TargetMode="External"/><Relationship Id="rId12" Type="http://schemas.openxmlformats.org/officeDocument/2006/relationships/hyperlink" Target="https://www.sec.gov/Archives/edgar/data/1681622/000168162223000056/exhibit1012022sd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ec.gov/Archives/edgar/data/1681622/000168162223000056/exhibit1012022sd.htm" TargetMode="External"/><Relationship Id="rId11" Type="http://schemas.openxmlformats.org/officeDocument/2006/relationships/hyperlink" Target="https://www.sec.gov/Archives/edgar/data/1681622/000168162223000056/exhibit1012022sd.htm" TargetMode="External"/><Relationship Id="rId5" Type="http://schemas.openxmlformats.org/officeDocument/2006/relationships/hyperlink" Target="https://www.sec.gov/Archives/edgar/data/1681622/000168162223000056/exhibit1012022sd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ec.gov/Archives/edgar/data/1681622/000168162223000056/exhibit1012022sd.htm" TargetMode="External"/><Relationship Id="rId4" Type="http://schemas.openxmlformats.org/officeDocument/2006/relationships/hyperlink" Target="https://www.sec.gov/Archives/edgar/data/1681622/000168162223000056/exhibit1012022sd.htm" TargetMode="External"/><Relationship Id="rId9" Type="http://schemas.openxmlformats.org/officeDocument/2006/relationships/hyperlink" Target="https://www.sec.gov/Archives/edgar/data/1681622/000168162223000056/exhibit1012022sd.htm" TargetMode="External"/><Relationship Id="rId14" Type="http://schemas.openxmlformats.org/officeDocument/2006/relationships/hyperlink" Target="https://www.sec.gov/Archives/edgar/data/1681622/000168162223000056/exhibit1012022s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cp:lastModifiedBy>Matt Olson</cp:lastModifiedBy>
  <cp:revision>2</cp:revision>
  <dcterms:created xsi:type="dcterms:W3CDTF">2023-07-20T16:08:00Z</dcterms:created>
  <dcterms:modified xsi:type="dcterms:W3CDTF">2023-07-20T16:08:00Z</dcterms:modified>
</cp:coreProperties>
</file>