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6651" w14:textId="77777777" w:rsidR="00501851" w:rsidRDefault="00000000">
      <w:pPr>
        <w:spacing w:after="0"/>
        <w:ind w:left="10" w:hanging="10"/>
        <w:jc w:val="center"/>
      </w:pPr>
      <w:r>
        <w:rPr>
          <w:rFonts w:ascii="Times New Roman" w:eastAsia="Times New Roman" w:hAnsi="Times New Roman" w:cs="Times New Roman"/>
          <w:b/>
          <w:sz w:val="36"/>
        </w:rPr>
        <w:t>UNITED STATES</w:t>
      </w:r>
    </w:p>
    <w:p w14:paraId="3AEA08A5" w14:textId="77777777" w:rsidR="00501851" w:rsidRDefault="00000000">
      <w:pPr>
        <w:spacing w:after="0"/>
        <w:ind w:left="10" w:hanging="10"/>
        <w:jc w:val="center"/>
      </w:pPr>
      <w:r>
        <w:rPr>
          <w:rFonts w:ascii="Times New Roman" w:eastAsia="Times New Roman" w:hAnsi="Times New Roman" w:cs="Times New Roman"/>
          <w:b/>
          <w:sz w:val="36"/>
        </w:rPr>
        <w:t>SECURITIES AND EXCHANGE COMMISSION</w:t>
      </w:r>
    </w:p>
    <w:p w14:paraId="3F5A65E7" w14:textId="77777777" w:rsidR="00501851" w:rsidRDefault="00000000">
      <w:pPr>
        <w:spacing w:after="0"/>
        <w:ind w:left="3472" w:right="3462" w:hanging="10"/>
        <w:jc w:val="center"/>
      </w:pPr>
      <w:r>
        <w:rPr>
          <w:rFonts w:ascii="Times New Roman" w:eastAsia="Times New Roman" w:hAnsi="Times New Roman" w:cs="Times New Roman"/>
          <w:b/>
          <w:sz w:val="24"/>
        </w:rPr>
        <w:t>Washington, D.C. 20549</w:t>
      </w:r>
    </w:p>
    <w:p w14:paraId="0A041F18" w14:textId="77777777" w:rsidR="00501851" w:rsidRDefault="00000000">
      <w:pPr>
        <w:spacing w:after="335"/>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 ___________________________________</w:t>
      </w:r>
    </w:p>
    <w:p w14:paraId="5B299CD5" w14:textId="77777777" w:rsidR="00501851" w:rsidRDefault="00000000">
      <w:pPr>
        <w:spacing w:after="0"/>
        <w:ind w:left="10" w:hanging="10"/>
        <w:jc w:val="center"/>
      </w:pPr>
      <w:r>
        <w:rPr>
          <w:rFonts w:ascii="Times New Roman" w:eastAsia="Times New Roman" w:hAnsi="Times New Roman" w:cs="Times New Roman"/>
          <w:b/>
          <w:sz w:val="36"/>
        </w:rPr>
        <w:t>FORM 8-K</w:t>
      </w:r>
    </w:p>
    <w:p w14:paraId="66726B4C" w14:textId="77777777" w:rsidR="00501851" w:rsidRDefault="00000000">
      <w:pPr>
        <w:spacing w:after="230"/>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p w14:paraId="4E8B2D3B" w14:textId="77777777" w:rsidR="00501851" w:rsidRDefault="00000000">
      <w:pPr>
        <w:spacing w:after="0"/>
        <w:ind w:left="3472" w:right="3462" w:hanging="10"/>
        <w:jc w:val="center"/>
      </w:pPr>
      <w:r>
        <w:rPr>
          <w:rFonts w:ascii="Times New Roman" w:eastAsia="Times New Roman" w:hAnsi="Times New Roman" w:cs="Times New Roman"/>
          <w:b/>
          <w:sz w:val="24"/>
        </w:rPr>
        <w:t>CURRENT REPORT</w:t>
      </w:r>
    </w:p>
    <w:p w14:paraId="4C531C7B" w14:textId="77777777" w:rsidR="00501851" w:rsidRDefault="00000000">
      <w:pPr>
        <w:spacing w:after="225"/>
        <w:ind w:left="3472" w:right="3462" w:hanging="10"/>
        <w:jc w:val="center"/>
      </w:pPr>
      <w:r>
        <w:rPr>
          <w:rFonts w:ascii="Times New Roman" w:eastAsia="Times New Roman" w:hAnsi="Times New Roman" w:cs="Times New Roman"/>
          <w:b/>
          <w:sz w:val="24"/>
        </w:rPr>
        <w:t>Pursuant to Section 13 or 15(d) of the Securities Exchange Act of 1934</w:t>
      </w:r>
    </w:p>
    <w:p w14:paraId="2B7871AD" w14:textId="77777777" w:rsidR="00501851" w:rsidRDefault="00000000">
      <w:pPr>
        <w:spacing w:after="0"/>
        <w:ind w:left="2317"/>
      </w:pPr>
      <w:r>
        <w:rPr>
          <w:rFonts w:ascii="Times New Roman" w:eastAsia="Times New Roman" w:hAnsi="Times New Roman" w:cs="Times New Roman"/>
          <w:b/>
          <w:sz w:val="24"/>
        </w:rPr>
        <w:t>Date of Report (Date of earliest event reported): May 2, 2023</w:t>
      </w:r>
    </w:p>
    <w:p w14:paraId="46ADCF44" w14:textId="77777777" w:rsidR="00501851" w:rsidRDefault="00000000">
      <w:pPr>
        <w:spacing w:after="455"/>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 ___________________________________</w:t>
      </w:r>
    </w:p>
    <w:p w14:paraId="14F5403E" w14:textId="77777777" w:rsidR="00501851" w:rsidRDefault="00000000">
      <w:pPr>
        <w:spacing w:after="0"/>
        <w:jc w:val="center"/>
      </w:pPr>
      <w:r>
        <w:rPr>
          <w:rFonts w:ascii="Times New Roman" w:eastAsia="Times New Roman" w:hAnsi="Times New Roman" w:cs="Times New Roman"/>
          <w:b/>
          <w:sz w:val="48"/>
        </w:rPr>
        <w:t>VAREX IMAGING CORPORATION</w:t>
      </w:r>
    </w:p>
    <w:p w14:paraId="1FAE4A84" w14:textId="77777777" w:rsidR="00501851" w:rsidRDefault="00000000">
      <w:pPr>
        <w:pStyle w:val="Heading1"/>
        <w:spacing w:after="35" w:line="259" w:lineRule="auto"/>
        <w:jc w:val="center"/>
      </w:pPr>
      <w:r>
        <w:t>(Exact name of registrant as specified in its charter)</w:t>
      </w:r>
    </w:p>
    <w:p w14:paraId="7C6D6212" w14:textId="77777777" w:rsidR="00501851" w:rsidRDefault="00000000">
      <w:pPr>
        <w:spacing w:after="38"/>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tbl>
      <w:tblPr>
        <w:tblStyle w:val="TableGrid"/>
        <w:tblW w:w="8413" w:type="dxa"/>
        <w:tblInd w:w="1064" w:type="dxa"/>
        <w:tblCellMar>
          <w:top w:w="0" w:type="dxa"/>
          <w:left w:w="0" w:type="dxa"/>
          <w:bottom w:w="0" w:type="dxa"/>
          <w:right w:w="0" w:type="dxa"/>
        </w:tblCellMar>
        <w:tblLook w:val="04A0" w:firstRow="1" w:lastRow="0" w:firstColumn="1" w:lastColumn="0" w:noHBand="0" w:noVBand="1"/>
      </w:tblPr>
      <w:tblGrid>
        <w:gridCol w:w="6827"/>
        <w:gridCol w:w="1586"/>
      </w:tblGrid>
      <w:tr w:rsidR="00501851" w14:paraId="2B736B52" w14:textId="77777777">
        <w:trPr>
          <w:trHeight w:val="238"/>
        </w:trPr>
        <w:tc>
          <w:tcPr>
            <w:tcW w:w="6828" w:type="dxa"/>
            <w:tcBorders>
              <w:top w:val="nil"/>
              <w:left w:val="nil"/>
              <w:bottom w:val="nil"/>
              <w:right w:val="nil"/>
            </w:tcBorders>
          </w:tcPr>
          <w:p w14:paraId="0B584E9E" w14:textId="77777777" w:rsidR="00501851" w:rsidRDefault="00000000">
            <w:pPr>
              <w:tabs>
                <w:tab w:val="center" w:pos="1087"/>
                <w:tab w:val="center" w:pos="4342"/>
              </w:tabs>
              <w:spacing w:after="0"/>
            </w:pPr>
            <w:r>
              <w:tab/>
            </w:r>
            <w:r>
              <w:rPr>
                <w:rFonts w:ascii="Times New Roman" w:eastAsia="Times New Roman" w:hAnsi="Times New Roman" w:cs="Times New Roman"/>
                <w:b/>
                <w:sz w:val="20"/>
              </w:rPr>
              <w:t>Delaware</w:t>
            </w:r>
            <w:r>
              <w:rPr>
                <w:rFonts w:ascii="Times New Roman" w:eastAsia="Times New Roman" w:hAnsi="Times New Roman" w:cs="Times New Roman"/>
                <w:b/>
                <w:sz w:val="20"/>
              </w:rPr>
              <w:tab/>
              <w:t>001-37860</w:t>
            </w:r>
          </w:p>
        </w:tc>
        <w:tc>
          <w:tcPr>
            <w:tcW w:w="1586" w:type="dxa"/>
            <w:tcBorders>
              <w:top w:val="nil"/>
              <w:left w:val="nil"/>
              <w:bottom w:val="nil"/>
              <w:right w:val="nil"/>
            </w:tcBorders>
          </w:tcPr>
          <w:p w14:paraId="55CCC376" w14:textId="77777777" w:rsidR="00501851" w:rsidRDefault="00000000">
            <w:pPr>
              <w:spacing w:after="0"/>
              <w:jc w:val="center"/>
            </w:pPr>
            <w:r>
              <w:rPr>
                <w:rFonts w:ascii="Times New Roman" w:eastAsia="Times New Roman" w:hAnsi="Times New Roman" w:cs="Times New Roman"/>
                <w:b/>
                <w:sz w:val="20"/>
              </w:rPr>
              <w:t>81-3434516</w:t>
            </w:r>
          </w:p>
        </w:tc>
      </w:tr>
      <w:tr w:rsidR="00501851" w14:paraId="2964FE12" w14:textId="77777777">
        <w:trPr>
          <w:trHeight w:val="605"/>
        </w:trPr>
        <w:tc>
          <w:tcPr>
            <w:tcW w:w="6828" w:type="dxa"/>
            <w:tcBorders>
              <w:top w:val="nil"/>
              <w:left w:val="nil"/>
              <w:bottom w:val="nil"/>
              <w:right w:val="nil"/>
            </w:tcBorders>
          </w:tcPr>
          <w:p w14:paraId="05E90062" w14:textId="77777777" w:rsidR="00501851" w:rsidRDefault="00000000">
            <w:pPr>
              <w:spacing w:after="32"/>
              <w:ind w:left="91"/>
            </w:pPr>
            <w:r>
              <w:rPr>
                <w:rFonts w:ascii="Times New Roman" w:eastAsia="Times New Roman" w:hAnsi="Times New Roman" w:cs="Times New Roman"/>
                <w:b/>
                <w:sz w:val="16"/>
              </w:rPr>
              <w:t xml:space="preserve">(State or </w:t>
            </w:r>
            <w:proofErr w:type="gramStart"/>
            <w:r>
              <w:rPr>
                <w:rFonts w:ascii="Times New Roman" w:eastAsia="Times New Roman" w:hAnsi="Times New Roman" w:cs="Times New Roman"/>
                <w:b/>
                <w:sz w:val="16"/>
              </w:rPr>
              <w:t>other</w:t>
            </w:r>
            <w:proofErr w:type="gramEnd"/>
            <w:r>
              <w:rPr>
                <w:rFonts w:ascii="Times New Roman" w:eastAsia="Times New Roman" w:hAnsi="Times New Roman" w:cs="Times New Roman"/>
                <w:b/>
                <w:sz w:val="16"/>
              </w:rPr>
              <w:t xml:space="preserve"> jurisdiction of</w:t>
            </w:r>
          </w:p>
          <w:p w14:paraId="56C0700A" w14:textId="77777777" w:rsidR="00501851" w:rsidRDefault="00000000">
            <w:pPr>
              <w:tabs>
                <w:tab w:val="center" w:pos="4342"/>
              </w:tabs>
              <w:spacing w:after="0"/>
            </w:pPr>
            <w:r>
              <w:rPr>
                <w:rFonts w:ascii="Times New Roman" w:eastAsia="Times New Roman" w:hAnsi="Times New Roman" w:cs="Times New Roman"/>
                <w:b/>
                <w:sz w:val="16"/>
              </w:rPr>
              <w:t>incorporation or organization)</w:t>
            </w:r>
            <w:r>
              <w:rPr>
                <w:rFonts w:ascii="Times New Roman" w:eastAsia="Times New Roman" w:hAnsi="Times New Roman" w:cs="Times New Roman"/>
                <w:b/>
                <w:sz w:val="16"/>
              </w:rPr>
              <w:tab/>
              <w:t>(Commission File Number)</w:t>
            </w:r>
          </w:p>
        </w:tc>
        <w:tc>
          <w:tcPr>
            <w:tcW w:w="1586" w:type="dxa"/>
            <w:tcBorders>
              <w:top w:val="nil"/>
              <w:left w:val="nil"/>
              <w:bottom w:val="nil"/>
              <w:right w:val="nil"/>
            </w:tcBorders>
          </w:tcPr>
          <w:p w14:paraId="2F971191" w14:textId="77777777" w:rsidR="00501851" w:rsidRDefault="00000000">
            <w:pPr>
              <w:spacing w:after="10"/>
              <w:jc w:val="center"/>
            </w:pPr>
            <w:r>
              <w:rPr>
                <w:rFonts w:ascii="Times New Roman" w:eastAsia="Times New Roman" w:hAnsi="Times New Roman" w:cs="Times New Roman"/>
                <w:b/>
                <w:sz w:val="16"/>
              </w:rPr>
              <w:t>(I.R.S. Employer</w:t>
            </w:r>
          </w:p>
          <w:p w14:paraId="5189AAA9" w14:textId="77777777" w:rsidR="00501851" w:rsidRDefault="00000000">
            <w:pPr>
              <w:spacing w:after="0"/>
              <w:jc w:val="both"/>
            </w:pPr>
            <w:r>
              <w:rPr>
                <w:rFonts w:ascii="Times New Roman" w:eastAsia="Times New Roman" w:hAnsi="Times New Roman" w:cs="Times New Roman"/>
                <w:b/>
                <w:sz w:val="16"/>
              </w:rPr>
              <w:t>Identification Number)</w:t>
            </w:r>
          </w:p>
        </w:tc>
      </w:tr>
      <w:tr w:rsidR="00501851" w14:paraId="0B86CFEC" w14:textId="77777777">
        <w:trPr>
          <w:trHeight w:val="430"/>
        </w:trPr>
        <w:tc>
          <w:tcPr>
            <w:tcW w:w="6828" w:type="dxa"/>
            <w:tcBorders>
              <w:top w:val="nil"/>
              <w:left w:val="nil"/>
              <w:bottom w:val="nil"/>
              <w:right w:val="nil"/>
            </w:tcBorders>
            <w:vAlign w:val="bottom"/>
          </w:tcPr>
          <w:p w14:paraId="2273C8DD" w14:textId="77777777" w:rsidR="00501851" w:rsidRDefault="00000000">
            <w:pPr>
              <w:spacing w:after="0"/>
            </w:pPr>
            <w:r>
              <w:rPr>
                <w:rFonts w:ascii="Times New Roman" w:eastAsia="Times New Roman" w:hAnsi="Times New Roman" w:cs="Times New Roman"/>
                <w:b/>
                <w:sz w:val="20"/>
              </w:rPr>
              <w:t>1678 S. Pioneer Road, Salt Lake City, Utah</w:t>
            </w:r>
          </w:p>
        </w:tc>
        <w:tc>
          <w:tcPr>
            <w:tcW w:w="1586" w:type="dxa"/>
            <w:tcBorders>
              <w:top w:val="nil"/>
              <w:left w:val="nil"/>
              <w:bottom w:val="nil"/>
              <w:right w:val="nil"/>
            </w:tcBorders>
            <w:vAlign w:val="bottom"/>
          </w:tcPr>
          <w:p w14:paraId="4EED9555" w14:textId="77777777" w:rsidR="00501851" w:rsidRDefault="00000000">
            <w:pPr>
              <w:spacing w:after="0"/>
              <w:jc w:val="center"/>
            </w:pPr>
            <w:r>
              <w:rPr>
                <w:rFonts w:ascii="Times New Roman" w:eastAsia="Times New Roman" w:hAnsi="Times New Roman" w:cs="Times New Roman"/>
                <w:b/>
                <w:sz w:val="20"/>
              </w:rPr>
              <w:t>84104</w:t>
            </w:r>
          </w:p>
        </w:tc>
      </w:tr>
      <w:tr w:rsidR="00501851" w14:paraId="0547C3B1" w14:textId="77777777">
        <w:trPr>
          <w:trHeight w:val="187"/>
        </w:trPr>
        <w:tc>
          <w:tcPr>
            <w:tcW w:w="6828" w:type="dxa"/>
            <w:tcBorders>
              <w:top w:val="nil"/>
              <w:left w:val="nil"/>
              <w:bottom w:val="nil"/>
              <w:right w:val="nil"/>
            </w:tcBorders>
          </w:tcPr>
          <w:p w14:paraId="4DE355BE" w14:textId="77777777" w:rsidR="00501851" w:rsidRDefault="00000000">
            <w:pPr>
              <w:spacing w:after="0"/>
              <w:ind w:left="868"/>
            </w:pPr>
            <w:r>
              <w:rPr>
                <w:rFonts w:ascii="Times New Roman" w:eastAsia="Times New Roman" w:hAnsi="Times New Roman" w:cs="Times New Roman"/>
                <w:b/>
                <w:sz w:val="16"/>
              </w:rPr>
              <w:t>(Address of principal executive offices)</w:t>
            </w:r>
          </w:p>
        </w:tc>
        <w:tc>
          <w:tcPr>
            <w:tcW w:w="1586" w:type="dxa"/>
            <w:tcBorders>
              <w:top w:val="nil"/>
              <w:left w:val="nil"/>
              <w:bottom w:val="nil"/>
              <w:right w:val="nil"/>
            </w:tcBorders>
          </w:tcPr>
          <w:p w14:paraId="255D3F07" w14:textId="77777777" w:rsidR="00501851" w:rsidRDefault="00000000">
            <w:pPr>
              <w:spacing w:after="0"/>
              <w:jc w:val="center"/>
            </w:pPr>
            <w:r>
              <w:rPr>
                <w:rFonts w:ascii="Times New Roman" w:eastAsia="Times New Roman" w:hAnsi="Times New Roman" w:cs="Times New Roman"/>
                <w:b/>
                <w:sz w:val="16"/>
              </w:rPr>
              <w:t>(Zip Code)</w:t>
            </w:r>
          </w:p>
        </w:tc>
      </w:tr>
    </w:tbl>
    <w:p w14:paraId="2D2B101B" w14:textId="77777777" w:rsidR="00501851" w:rsidRDefault="00000000">
      <w:pPr>
        <w:spacing w:after="225" w:line="265" w:lineRule="auto"/>
        <w:ind w:left="2566" w:hanging="10"/>
      </w:pPr>
      <w:r>
        <w:rPr>
          <w:rFonts w:ascii="Times New Roman" w:eastAsia="Times New Roman" w:hAnsi="Times New Roman" w:cs="Times New Roman"/>
          <w:b/>
          <w:sz w:val="20"/>
        </w:rPr>
        <w:t>Registrant’s telephone number, including area code: (801) 972-5000</w:t>
      </w:r>
    </w:p>
    <w:p w14:paraId="68159520" w14:textId="77777777" w:rsidR="00501851" w:rsidRDefault="00000000">
      <w:pPr>
        <w:pStyle w:val="Heading1"/>
        <w:spacing w:after="0" w:line="259" w:lineRule="auto"/>
        <w:jc w:val="center"/>
      </w:pPr>
      <w:r>
        <w:t>Not Applicable</w:t>
      </w:r>
    </w:p>
    <w:p w14:paraId="1F06EB1B" w14:textId="77777777" w:rsidR="00501851" w:rsidRDefault="00000000">
      <w:pPr>
        <w:spacing w:after="85"/>
        <w:jc w:val="center"/>
      </w:pPr>
      <w:r>
        <w:rPr>
          <w:rFonts w:ascii="Times New Roman" w:eastAsia="Times New Roman" w:hAnsi="Times New Roman" w:cs="Times New Roman"/>
          <w:b/>
          <w:sz w:val="16"/>
        </w:rPr>
        <w:t>(Former name or former address, if changed since last report)</w:t>
      </w:r>
    </w:p>
    <w:p w14:paraId="677635A9" w14:textId="77777777" w:rsidR="00501851" w:rsidRDefault="00000000">
      <w:pPr>
        <w:spacing w:after="185"/>
        <w:ind w:lef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p w14:paraId="3CF57FD8" w14:textId="77777777" w:rsidR="00501851" w:rsidRDefault="00000000">
      <w:pPr>
        <w:spacing w:after="179" w:line="260" w:lineRule="auto"/>
        <w:ind w:left="5" w:firstLine="10"/>
      </w:pPr>
      <w:r>
        <w:rPr>
          <w:rFonts w:ascii="Times New Roman" w:eastAsia="Times New Roman" w:hAnsi="Times New Roman" w:cs="Times New Roman"/>
          <w:sz w:val="20"/>
        </w:rPr>
        <w:t>Check the appropriate box below if the Form 8-K filing is intended to simultaneously satisfy the filing obligation of the registrant under any of the following provisions (see General Instruction A.2. below):</w:t>
      </w:r>
      <w:r>
        <w:rPr>
          <w:rFonts w:ascii="Times New Roman" w:eastAsia="Times New Roman" w:hAnsi="Times New Roman" w:cs="Times New Roman"/>
          <w:sz w:val="12"/>
        </w:rPr>
        <w:t xml:space="preserve"> </w:t>
      </w:r>
    </w:p>
    <w:p w14:paraId="31364714" w14:textId="77777777" w:rsidR="00501851" w:rsidRDefault="00000000">
      <w:pPr>
        <w:spacing w:after="179" w:line="260" w:lineRule="auto"/>
        <w:ind w:left="5"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Written communications pursuant to Rule 425 under the Securities Act (17 CFR 230.425)</w:t>
      </w:r>
    </w:p>
    <w:p w14:paraId="0A519A4B" w14:textId="77777777" w:rsidR="00501851" w:rsidRDefault="00000000">
      <w:pPr>
        <w:spacing w:after="223" w:line="260" w:lineRule="auto"/>
        <w:ind w:left="5"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Soliciting material pursuant to Rule 14a-12 under the Exchange Act (17 CFR 240.14a-12)</w:t>
      </w:r>
    </w:p>
    <w:p w14:paraId="7798E26B" w14:textId="77777777" w:rsidR="00501851" w:rsidRDefault="00000000">
      <w:pPr>
        <w:spacing w:after="223" w:line="260" w:lineRule="auto"/>
        <w:ind w:left="5"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Pre-commencement communications pursuant to Rule 14d-2(b) under the Exchange Act (17 CFR 240.14d-2(b))</w:t>
      </w:r>
    </w:p>
    <w:p w14:paraId="3F332566" w14:textId="77777777" w:rsidR="00501851" w:rsidRDefault="00000000">
      <w:pPr>
        <w:spacing w:after="0" w:line="260" w:lineRule="auto"/>
        <w:ind w:left="5" w:right="726" w:firstLine="10"/>
      </w:pPr>
      <w:r>
        <w:rPr>
          <w:rFonts w:ascii="Segoe UI Symbol" w:eastAsia="Segoe UI Symbol" w:hAnsi="Segoe UI Symbol" w:cs="Segoe UI Symbol"/>
          <w:sz w:val="20"/>
        </w:rPr>
        <w:t xml:space="preserve">☐ </w:t>
      </w:r>
      <w:r>
        <w:rPr>
          <w:rFonts w:ascii="Times New Roman" w:eastAsia="Times New Roman" w:hAnsi="Times New Roman" w:cs="Times New Roman"/>
          <w:sz w:val="20"/>
        </w:rPr>
        <w:t>Pre-commencement communications pursuant to Rule 13e-4(c) under the Exchange Act (17 CFR 240.13e-4(c)) Securities registered pursuant to Section 12(b) of the Act:</w:t>
      </w:r>
    </w:p>
    <w:tbl>
      <w:tblPr>
        <w:tblStyle w:val="TableGrid"/>
        <w:tblW w:w="10815" w:type="dxa"/>
        <w:tblInd w:w="23" w:type="dxa"/>
        <w:tblCellMar>
          <w:top w:w="64" w:type="dxa"/>
          <w:left w:w="115" w:type="dxa"/>
          <w:bottom w:w="0" w:type="dxa"/>
          <w:right w:w="115" w:type="dxa"/>
        </w:tblCellMar>
        <w:tblLook w:val="04A0" w:firstRow="1" w:lastRow="0" w:firstColumn="1" w:lastColumn="0" w:noHBand="0" w:noVBand="1"/>
      </w:tblPr>
      <w:tblGrid>
        <w:gridCol w:w="3585"/>
        <w:gridCol w:w="2865"/>
        <w:gridCol w:w="4365"/>
      </w:tblGrid>
      <w:tr w:rsidR="00501851" w14:paraId="54234B0E" w14:textId="77777777">
        <w:trPr>
          <w:trHeight w:val="270"/>
        </w:trPr>
        <w:tc>
          <w:tcPr>
            <w:tcW w:w="3585" w:type="dxa"/>
            <w:tcBorders>
              <w:top w:val="single" w:sz="6" w:space="0" w:color="000000"/>
              <w:left w:val="single" w:sz="6" w:space="0" w:color="000000"/>
              <w:bottom w:val="single" w:sz="6" w:space="0" w:color="000000"/>
              <w:right w:val="single" w:sz="6" w:space="0" w:color="000000"/>
            </w:tcBorders>
          </w:tcPr>
          <w:p w14:paraId="282E7DB7" w14:textId="77777777" w:rsidR="00501851" w:rsidRDefault="00000000">
            <w:pPr>
              <w:spacing w:after="0"/>
              <w:ind w:right="1"/>
              <w:jc w:val="center"/>
            </w:pPr>
            <w:r>
              <w:rPr>
                <w:rFonts w:ascii="Times New Roman" w:eastAsia="Times New Roman" w:hAnsi="Times New Roman" w:cs="Times New Roman"/>
                <w:b/>
                <w:sz w:val="20"/>
              </w:rPr>
              <w:t>Title of each class</w:t>
            </w:r>
          </w:p>
        </w:tc>
        <w:tc>
          <w:tcPr>
            <w:tcW w:w="2865" w:type="dxa"/>
            <w:tcBorders>
              <w:top w:val="single" w:sz="6" w:space="0" w:color="000000"/>
              <w:left w:val="single" w:sz="6" w:space="0" w:color="000000"/>
              <w:bottom w:val="single" w:sz="6" w:space="0" w:color="000000"/>
              <w:right w:val="single" w:sz="6" w:space="0" w:color="000000"/>
            </w:tcBorders>
          </w:tcPr>
          <w:p w14:paraId="1A99B025" w14:textId="77777777" w:rsidR="00501851" w:rsidRDefault="00000000">
            <w:pPr>
              <w:spacing w:after="0"/>
              <w:ind w:left="8"/>
              <w:jc w:val="center"/>
            </w:pPr>
            <w:r>
              <w:rPr>
                <w:rFonts w:ascii="Times New Roman" w:eastAsia="Times New Roman" w:hAnsi="Times New Roman" w:cs="Times New Roman"/>
                <w:b/>
                <w:sz w:val="20"/>
              </w:rPr>
              <w:t>Trading Symbol(s)</w:t>
            </w:r>
          </w:p>
        </w:tc>
        <w:tc>
          <w:tcPr>
            <w:tcW w:w="4365" w:type="dxa"/>
            <w:tcBorders>
              <w:top w:val="single" w:sz="6" w:space="0" w:color="000000"/>
              <w:left w:val="single" w:sz="6" w:space="0" w:color="000000"/>
              <w:bottom w:val="single" w:sz="6" w:space="0" w:color="000000"/>
              <w:right w:val="single" w:sz="6" w:space="0" w:color="000000"/>
            </w:tcBorders>
          </w:tcPr>
          <w:p w14:paraId="15074D0B" w14:textId="77777777" w:rsidR="00501851" w:rsidRDefault="00000000">
            <w:pPr>
              <w:spacing w:after="0"/>
              <w:ind w:left="8"/>
              <w:jc w:val="center"/>
            </w:pPr>
            <w:r>
              <w:rPr>
                <w:rFonts w:ascii="Times New Roman" w:eastAsia="Times New Roman" w:hAnsi="Times New Roman" w:cs="Times New Roman"/>
                <w:b/>
                <w:sz w:val="20"/>
              </w:rPr>
              <w:t>Name of each exchange on which registered</w:t>
            </w:r>
          </w:p>
        </w:tc>
      </w:tr>
      <w:tr w:rsidR="00501851" w14:paraId="5AC608F3" w14:textId="77777777">
        <w:trPr>
          <w:trHeight w:val="270"/>
        </w:trPr>
        <w:tc>
          <w:tcPr>
            <w:tcW w:w="3585" w:type="dxa"/>
            <w:tcBorders>
              <w:top w:val="single" w:sz="6" w:space="0" w:color="000000"/>
              <w:left w:val="single" w:sz="6" w:space="0" w:color="000000"/>
              <w:bottom w:val="single" w:sz="6" w:space="0" w:color="000000"/>
              <w:right w:val="single" w:sz="6" w:space="0" w:color="000000"/>
            </w:tcBorders>
          </w:tcPr>
          <w:p w14:paraId="69032A6E" w14:textId="77777777" w:rsidR="00501851" w:rsidRDefault="00000000">
            <w:pPr>
              <w:spacing w:after="0"/>
              <w:ind w:right="1"/>
              <w:jc w:val="center"/>
            </w:pPr>
            <w:r>
              <w:rPr>
                <w:rFonts w:ascii="Times New Roman" w:eastAsia="Times New Roman" w:hAnsi="Times New Roman" w:cs="Times New Roman"/>
                <w:sz w:val="20"/>
              </w:rPr>
              <w:t>Common Stock</w:t>
            </w:r>
          </w:p>
        </w:tc>
        <w:tc>
          <w:tcPr>
            <w:tcW w:w="2865" w:type="dxa"/>
            <w:tcBorders>
              <w:top w:val="single" w:sz="6" w:space="0" w:color="000000"/>
              <w:left w:val="single" w:sz="6" w:space="0" w:color="000000"/>
              <w:bottom w:val="single" w:sz="6" w:space="0" w:color="000000"/>
              <w:right w:val="single" w:sz="6" w:space="0" w:color="000000"/>
            </w:tcBorders>
          </w:tcPr>
          <w:p w14:paraId="397FAFB4" w14:textId="77777777" w:rsidR="00501851" w:rsidRDefault="00000000">
            <w:pPr>
              <w:spacing w:after="0"/>
              <w:ind w:left="8"/>
              <w:jc w:val="center"/>
            </w:pPr>
            <w:r>
              <w:rPr>
                <w:rFonts w:ascii="Times New Roman" w:eastAsia="Times New Roman" w:hAnsi="Times New Roman" w:cs="Times New Roman"/>
                <w:sz w:val="20"/>
              </w:rPr>
              <w:t>VREX</w:t>
            </w:r>
          </w:p>
        </w:tc>
        <w:tc>
          <w:tcPr>
            <w:tcW w:w="4365" w:type="dxa"/>
            <w:tcBorders>
              <w:top w:val="single" w:sz="6" w:space="0" w:color="000000"/>
              <w:left w:val="single" w:sz="6" w:space="0" w:color="000000"/>
              <w:bottom w:val="single" w:sz="6" w:space="0" w:color="000000"/>
              <w:right w:val="single" w:sz="6" w:space="0" w:color="000000"/>
            </w:tcBorders>
          </w:tcPr>
          <w:p w14:paraId="72845BE3" w14:textId="77777777" w:rsidR="00501851" w:rsidRDefault="00000000">
            <w:pPr>
              <w:spacing w:after="0"/>
              <w:ind w:left="8"/>
              <w:jc w:val="center"/>
            </w:pPr>
            <w:r>
              <w:rPr>
                <w:rFonts w:ascii="Times New Roman" w:eastAsia="Times New Roman" w:hAnsi="Times New Roman" w:cs="Times New Roman"/>
                <w:sz w:val="20"/>
              </w:rPr>
              <w:t>The Nasdaq Global Select Market</w:t>
            </w:r>
          </w:p>
        </w:tc>
      </w:tr>
    </w:tbl>
    <w:p w14:paraId="7A524B49" w14:textId="77777777" w:rsidR="00501851" w:rsidRDefault="00000000">
      <w:pPr>
        <w:spacing w:after="227" w:line="220" w:lineRule="auto"/>
        <w:ind w:left="-5" w:right="10" w:hanging="10"/>
      </w:pPr>
      <w:r>
        <w:rPr>
          <w:rFonts w:ascii="Times New Roman" w:eastAsia="Times New Roman" w:hAnsi="Times New Roman" w:cs="Times New Roman"/>
          <w:sz w:val="19"/>
        </w:rPr>
        <w:t xml:space="preserve">Indicate by check mark whether the registrant is an emerging growth company as defined in Rule 405 of the Securities Act of 1933 or Rule 12b - 2 of the Securities Exchange Act of 1934. Emerging growth company </w:t>
      </w:r>
      <w:r>
        <w:rPr>
          <w:rFonts w:ascii="Segoe UI Symbol" w:eastAsia="Segoe UI Symbol" w:hAnsi="Segoe UI Symbol" w:cs="Segoe UI Symbol"/>
          <w:sz w:val="19"/>
        </w:rPr>
        <w:t>☐</w:t>
      </w:r>
    </w:p>
    <w:p w14:paraId="421F16C5" w14:textId="77777777" w:rsidR="00501851" w:rsidRDefault="00000000">
      <w:pPr>
        <w:spacing w:after="1032" w:line="220" w:lineRule="auto"/>
        <w:ind w:left="-5" w:right="10" w:hanging="10"/>
      </w:pPr>
      <w:r>
        <w:rPr>
          <w:rFonts w:ascii="Times New Roman" w:eastAsia="Times New Roman" w:hAnsi="Times New Roman" w:cs="Times New Roman"/>
          <w:sz w:val="19"/>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19"/>
        </w:rPr>
        <w:t>☐</w:t>
      </w:r>
    </w:p>
    <w:p w14:paraId="3DB96918" w14:textId="77777777" w:rsidR="00501851" w:rsidRDefault="00000000">
      <w:pPr>
        <w:spacing w:after="0"/>
      </w:pPr>
      <w:r>
        <w:rPr>
          <w:noProof/>
        </w:rPr>
        <w:lastRenderedPageBreak/>
        <mc:AlternateContent>
          <mc:Choice Requires="wpg">
            <w:drawing>
              <wp:inline distT="0" distB="0" distL="0" distR="0" wp14:anchorId="30FAF0E2" wp14:editId="25F7E159">
                <wp:extent cx="6896100" cy="19050"/>
                <wp:effectExtent l="0" t="0" r="0" b="0"/>
                <wp:docPr id="1847" name="Group 18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660" name="Shape 266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661" name="Shape 266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 name="Shape 1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 name="Shape 1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7" style="width:543pt;height:1.5pt;mso-position-horizontal-relative:char;mso-position-vertical-relative:line" coordsize="68961,190">
                <v:shape id="Shape 2662" style="position:absolute;width:68961;height:95;left:0;top:0;" coordsize="6896100,9525" path="m0,0l6896100,0l6896100,9525l0,9525l0,0">
                  <v:stroke weight="0pt" endcap="flat" joinstyle="miter" miterlimit="10" on="false" color="#000000" opacity="0"/>
                  <v:fill on="true" color="#9a9a9a"/>
                </v:shape>
                <v:shape id="Shape 2663" style="position:absolute;width:68961;height:95;left:0;top:95;" coordsize="6896100,9525" path="m0,0l6896100,0l6896100,9525l0,9525l0,0">
                  <v:stroke weight="0pt" endcap="flat" joinstyle="miter" miterlimit="10" on="false" color="#000000" opacity="0"/>
                  <v:fill on="true" color="#eeeeee"/>
                </v:shape>
                <v:shape id="Shape 137" style="position:absolute;width:95;height:190;left:68865;top:0;" coordsize="9525,19050" path="m9525,0l9525,19050l0,19050l0,9525l9525,0x">
                  <v:stroke weight="0pt" endcap="flat" joinstyle="miter" miterlimit="10" on="false" color="#000000" opacity="0"/>
                  <v:fill on="true" color="#eeeeee"/>
                </v:shape>
                <v:shape id="Shape 1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D019C48" w14:textId="77777777" w:rsidR="00501851" w:rsidRDefault="00000000">
      <w:pPr>
        <w:pStyle w:val="Heading1"/>
        <w:tabs>
          <w:tab w:val="center" w:pos="3314"/>
        </w:tabs>
        <w:spacing w:after="365"/>
        <w:ind w:left="0" w:firstLine="0"/>
      </w:pPr>
      <w:r>
        <w:lastRenderedPageBreak/>
        <w:t>Item 2.02</w:t>
      </w:r>
      <w:r>
        <w:tab/>
        <w:t>Results of Operations and Financial Condition</w:t>
      </w:r>
    </w:p>
    <w:p w14:paraId="11D5327A" w14:textId="77777777" w:rsidR="00501851" w:rsidRDefault="00000000">
      <w:pPr>
        <w:spacing w:after="261" w:line="260" w:lineRule="auto"/>
        <w:ind w:left="5" w:firstLine="10"/>
      </w:pPr>
      <w:r>
        <w:rPr>
          <w:rFonts w:ascii="Times New Roman" w:eastAsia="Times New Roman" w:hAnsi="Times New Roman" w:cs="Times New Roman"/>
          <w:sz w:val="20"/>
        </w:rPr>
        <w:t xml:space="preserve">    On May 2, 2023, Varex Imaging Corporation (the “Company”) issued a press release announcing its preliminary results of operations for the three and six months ended March 31, </w:t>
      </w:r>
      <w:proofErr w:type="gramStart"/>
      <w:r>
        <w:rPr>
          <w:rFonts w:ascii="Times New Roman" w:eastAsia="Times New Roman" w:hAnsi="Times New Roman" w:cs="Times New Roman"/>
          <w:sz w:val="20"/>
        </w:rPr>
        <w:t>2023</w:t>
      </w:r>
      <w:proofErr w:type="gramEnd"/>
      <w:r>
        <w:rPr>
          <w:rFonts w:ascii="Times New Roman" w:eastAsia="Times New Roman" w:hAnsi="Times New Roman" w:cs="Times New Roman"/>
          <w:sz w:val="20"/>
        </w:rPr>
        <w:t xml:space="preserve"> entitled: “Varex Announces Financial Results for Second Quarter Fiscal Year 2023.” A copy of the press release is furnished as Exhibit 99.1 and incorporated by reference into this item.</w:t>
      </w:r>
    </w:p>
    <w:p w14:paraId="3AFE2E43" w14:textId="77777777" w:rsidR="00501851" w:rsidRDefault="00000000">
      <w:pPr>
        <w:spacing w:after="333" w:line="260" w:lineRule="auto"/>
        <w:ind w:left="5" w:firstLine="10"/>
      </w:pPr>
      <w:r>
        <w:rPr>
          <w:rFonts w:ascii="Times New Roman" w:eastAsia="Times New Roman" w:hAnsi="Times New Roman" w:cs="Times New Roman"/>
          <w:sz w:val="20"/>
        </w:rPr>
        <w:t xml:space="preserve">    This information shall not be deemed “filed” for purposes of Section 18 of the Exchange Act or incorporated by reference in any filing under the Securities Act or the Exchange Act, except as shall be expressly set forth by specific reference in such a filing.</w:t>
      </w:r>
    </w:p>
    <w:p w14:paraId="4441A62B" w14:textId="77777777" w:rsidR="00501851" w:rsidRDefault="00000000">
      <w:pPr>
        <w:pStyle w:val="Heading1"/>
        <w:tabs>
          <w:tab w:val="center" w:pos="2786"/>
        </w:tabs>
        <w:ind w:left="0" w:firstLine="0"/>
      </w:pPr>
      <w:r>
        <w:t>Item 9.01</w:t>
      </w:r>
      <w:r>
        <w:tab/>
        <w:t>Financial Statements and Exhibits</w:t>
      </w:r>
    </w:p>
    <w:p w14:paraId="259093B1" w14:textId="77777777" w:rsidR="00501851" w:rsidRDefault="00000000">
      <w:pPr>
        <w:spacing w:after="332" w:line="260" w:lineRule="auto"/>
        <w:ind w:left="5" w:firstLine="10"/>
      </w:pPr>
      <w:r>
        <w:rPr>
          <w:rFonts w:ascii="Times New Roman" w:eastAsia="Times New Roman" w:hAnsi="Times New Roman" w:cs="Times New Roman"/>
          <w:sz w:val="20"/>
        </w:rPr>
        <w:t xml:space="preserve">    (d)     </w:t>
      </w:r>
      <w:r>
        <w:rPr>
          <w:rFonts w:ascii="Times New Roman" w:eastAsia="Times New Roman" w:hAnsi="Times New Roman" w:cs="Times New Roman"/>
          <w:sz w:val="20"/>
          <w:u w:val="single" w:color="000000"/>
        </w:rPr>
        <w:t>Exhibits</w:t>
      </w:r>
    </w:p>
    <w:p w14:paraId="367EBF7F" w14:textId="77777777" w:rsidR="00501851" w:rsidRDefault="00000000">
      <w:pPr>
        <w:tabs>
          <w:tab w:val="center" w:pos="1821"/>
        </w:tabs>
        <w:spacing w:after="35"/>
      </w:pPr>
      <w:r>
        <w:rPr>
          <w:rFonts w:ascii="Times New Roman" w:eastAsia="Times New Roman" w:hAnsi="Times New Roman" w:cs="Times New Roman"/>
          <w:b/>
          <w:sz w:val="20"/>
          <w:u w:val="single" w:color="000000"/>
        </w:rPr>
        <w:t>Exhibit No.</w:t>
      </w:r>
      <w:r>
        <w:rPr>
          <w:rFonts w:ascii="Times New Roman" w:eastAsia="Times New Roman" w:hAnsi="Times New Roman" w:cs="Times New Roman"/>
          <w:b/>
          <w:sz w:val="20"/>
          <w:u w:val="single" w:color="000000"/>
        </w:rPr>
        <w:tab/>
        <w:t>Descri</w:t>
      </w:r>
      <w:r>
        <w:rPr>
          <w:rFonts w:ascii="Times New Roman" w:eastAsia="Times New Roman" w:hAnsi="Times New Roman" w:cs="Times New Roman"/>
          <w:b/>
          <w:sz w:val="20"/>
        </w:rPr>
        <w:t>p</w:t>
      </w:r>
      <w:r>
        <w:rPr>
          <w:rFonts w:ascii="Times New Roman" w:eastAsia="Times New Roman" w:hAnsi="Times New Roman" w:cs="Times New Roman"/>
          <w:b/>
          <w:sz w:val="20"/>
          <w:u w:val="single" w:color="000000"/>
        </w:rPr>
        <w:t>tion</w:t>
      </w:r>
    </w:p>
    <w:p w14:paraId="37854EF1" w14:textId="77777777" w:rsidR="00501851" w:rsidRDefault="00000000">
      <w:pPr>
        <w:tabs>
          <w:tab w:val="center" w:pos="6009"/>
        </w:tabs>
        <w:spacing w:after="35"/>
      </w:pPr>
      <w:r>
        <w:rPr>
          <w:rFonts w:ascii="Times New Roman" w:eastAsia="Times New Roman" w:hAnsi="Times New Roman" w:cs="Times New Roman"/>
          <w:sz w:val="20"/>
        </w:rPr>
        <w:t>99.1</w:t>
      </w:r>
      <w:r>
        <w:rPr>
          <w:rFonts w:ascii="Times New Roman" w:eastAsia="Times New Roman" w:hAnsi="Times New Roman" w:cs="Times New Roman"/>
          <w:sz w:val="20"/>
        </w:rPr>
        <w:tab/>
      </w:r>
      <w:hyperlink r:id="rId4">
        <w:r>
          <w:rPr>
            <w:rFonts w:ascii="Times New Roman" w:eastAsia="Times New Roman" w:hAnsi="Times New Roman" w:cs="Times New Roman"/>
            <w:color w:val="0000FF"/>
            <w:sz w:val="20"/>
            <w:u w:val="single" w:color="0000FF"/>
          </w:rPr>
          <w:t xml:space="preserve">Press Release dated </w:t>
        </w:r>
      </w:hyperlink>
      <w:hyperlink r:id="rId5">
        <w:r>
          <w:rPr>
            <w:rFonts w:ascii="Times New Roman" w:eastAsia="Times New Roman" w:hAnsi="Times New Roman" w:cs="Times New Roman"/>
            <w:color w:val="0000FF"/>
            <w:sz w:val="20"/>
            <w:u w:val="single" w:color="0000FF"/>
          </w:rPr>
          <w:t>Ma</w:t>
        </w:r>
      </w:hyperlink>
      <w:hyperlink r:id="rId6">
        <w:r>
          <w:rPr>
            <w:rFonts w:ascii="Times New Roman" w:eastAsia="Times New Roman" w:hAnsi="Times New Roman" w:cs="Times New Roman"/>
            <w:color w:val="0000FF"/>
            <w:sz w:val="20"/>
          </w:rPr>
          <w:t>y</w:t>
        </w:r>
      </w:hyperlink>
      <w:hyperlink r:id="rId7">
        <w:r>
          <w:rPr>
            <w:rFonts w:ascii="Times New Roman" w:eastAsia="Times New Roman" w:hAnsi="Times New Roman" w:cs="Times New Roman"/>
            <w:color w:val="0000FF"/>
            <w:sz w:val="20"/>
            <w:u w:val="single" w:color="0000FF"/>
          </w:rPr>
          <w:t xml:space="preserve"> </w:t>
        </w:r>
      </w:hyperlink>
      <w:hyperlink r:id="rId8">
        <w:r>
          <w:rPr>
            <w:rFonts w:ascii="Times New Roman" w:eastAsia="Times New Roman" w:hAnsi="Times New Roman" w:cs="Times New Roman"/>
            <w:color w:val="0000FF"/>
            <w:sz w:val="20"/>
            <w:u w:val="single" w:color="0000FF"/>
          </w:rPr>
          <w:t>2</w:t>
        </w:r>
      </w:hyperlink>
      <w:hyperlink r:id="rId9">
        <w:r>
          <w:rPr>
            <w:rFonts w:ascii="Times New Roman" w:eastAsia="Times New Roman" w:hAnsi="Times New Roman" w:cs="Times New Roman"/>
            <w:color w:val="0000FF"/>
            <w:sz w:val="20"/>
          </w:rPr>
          <w:t>,</w:t>
        </w:r>
      </w:hyperlink>
      <w:hyperlink r:id="rId10">
        <w:r>
          <w:rPr>
            <w:rFonts w:ascii="Times New Roman" w:eastAsia="Times New Roman" w:hAnsi="Times New Roman" w:cs="Times New Roman"/>
            <w:color w:val="0000FF"/>
            <w:sz w:val="20"/>
            <w:u w:val="single" w:color="0000FF"/>
          </w:rPr>
          <w:t xml:space="preserve"> 2023</w:t>
        </w:r>
      </w:hyperlink>
      <w:hyperlink r:id="rId11">
        <w:r>
          <w:rPr>
            <w:rFonts w:ascii="Times New Roman" w:eastAsia="Times New Roman" w:hAnsi="Times New Roman" w:cs="Times New Roman"/>
            <w:color w:val="0000FF"/>
            <w:sz w:val="20"/>
          </w:rPr>
          <w:t>,</w:t>
        </w:r>
      </w:hyperlink>
      <w:hyperlink r:id="rId12">
        <w:r>
          <w:rPr>
            <w:rFonts w:ascii="Times New Roman" w:eastAsia="Times New Roman" w:hAnsi="Times New Roman" w:cs="Times New Roman"/>
            <w:color w:val="0000FF"/>
            <w:sz w:val="20"/>
            <w:u w:val="single" w:color="0000FF"/>
          </w:rPr>
          <w:t xml:space="preserve"> entitled "Varex Announces Financial Results for</w:t>
        </w:r>
      </w:hyperlink>
      <w:hyperlink r:id="rId13">
        <w:r>
          <w:rPr>
            <w:rFonts w:ascii="Times New Roman" w:eastAsia="Times New Roman" w:hAnsi="Times New Roman" w:cs="Times New Roman"/>
            <w:color w:val="0000FF"/>
            <w:sz w:val="20"/>
            <w:u w:val="single" w:color="0000FF"/>
          </w:rPr>
          <w:t xml:space="preserve"> Second</w:t>
        </w:r>
      </w:hyperlink>
      <w:hyperlink r:id="rId14">
        <w:r>
          <w:rPr>
            <w:rFonts w:ascii="Times New Roman" w:eastAsia="Times New Roman" w:hAnsi="Times New Roman" w:cs="Times New Roman"/>
            <w:color w:val="0000FF"/>
            <w:sz w:val="20"/>
            <w:u w:val="single" w:color="0000FF"/>
          </w:rPr>
          <w:t xml:space="preserve"> </w:t>
        </w:r>
      </w:hyperlink>
      <w:hyperlink r:id="rId15">
        <w:r>
          <w:rPr>
            <w:rFonts w:ascii="Times New Roman" w:eastAsia="Times New Roman" w:hAnsi="Times New Roman" w:cs="Times New Roman"/>
            <w:color w:val="0000FF"/>
            <w:sz w:val="20"/>
          </w:rPr>
          <w:t>Q</w:t>
        </w:r>
      </w:hyperlink>
      <w:hyperlink r:id="rId16">
        <w:r>
          <w:rPr>
            <w:rFonts w:ascii="Times New Roman" w:eastAsia="Times New Roman" w:hAnsi="Times New Roman" w:cs="Times New Roman"/>
            <w:color w:val="0000FF"/>
            <w:sz w:val="20"/>
            <w:u w:val="single" w:color="0000FF"/>
          </w:rPr>
          <w:t>uarter Fiscal Year 2023"</w:t>
        </w:r>
      </w:hyperlink>
    </w:p>
    <w:p w14:paraId="10324B4C" w14:textId="77777777" w:rsidR="00501851" w:rsidRDefault="00000000">
      <w:pPr>
        <w:tabs>
          <w:tab w:val="center" w:pos="4532"/>
        </w:tabs>
        <w:spacing w:after="1431" w:line="260" w:lineRule="auto"/>
      </w:pPr>
      <w:r>
        <w:rPr>
          <w:rFonts w:ascii="Times New Roman" w:eastAsia="Times New Roman" w:hAnsi="Times New Roman" w:cs="Times New Roman"/>
          <w:sz w:val="20"/>
        </w:rPr>
        <w:t>104</w:t>
      </w:r>
      <w:r>
        <w:rPr>
          <w:rFonts w:ascii="Times New Roman" w:eastAsia="Times New Roman" w:hAnsi="Times New Roman" w:cs="Times New Roman"/>
          <w:sz w:val="20"/>
        </w:rPr>
        <w:tab/>
        <w:t>Cover Page Interactive Data File (embedded within the Inline XBRL document)</w:t>
      </w:r>
    </w:p>
    <w:p w14:paraId="747F4A9E" w14:textId="77777777" w:rsidR="00501851" w:rsidRDefault="00000000">
      <w:pPr>
        <w:spacing w:after="0"/>
      </w:pPr>
      <w:r>
        <w:rPr>
          <w:noProof/>
        </w:rPr>
        <mc:AlternateContent>
          <mc:Choice Requires="wpg">
            <w:drawing>
              <wp:inline distT="0" distB="0" distL="0" distR="0" wp14:anchorId="318CE59B" wp14:editId="05512FB9">
                <wp:extent cx="6896100" cy="19050"/>
                <wp:effectExtent l="0" t="0" r="0" b="0"/>
                <wp:docPr id="1950" name="Group 19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664" name="Shape 26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665" name="Shape 26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 name="Shape 1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 name="Shape 1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0" style="width:543pt;height:1.5pt;mso-position-horizontal-relative:char;mso-position-vertical-relative:line" coordsize="68961,190">
                <v:shape id="Shape 2666" style="position:absolute;width:68961;height:95;left:0;top:0;" coordsize="6896100,9525" path="m0,0l6896100,0l6896100,9525l0,9525l0,0">
                  <v:stroke weight="0pt" endcap="flat" joinstyle="miter" miterlimit="10" on="false" color="#000000" opacity="0"/>
                  <v:fill on="true" color="#9a9a9a"/>
                </v:shape>
                <v:shape id="Shape 2667" style="position:absolute;width:68961;height:95;left:0;top:95;" coordsize="6896100,9525" path="m0,0l6896100,0l6896100,9525l0,9525l0,0">
                  <v:stroke weight="0pt" endcap="flat" joinstyle="miter" miterlimit="10" on="false" color="#000000" opacity="0"/>
                  <v:fill on="true" color="#eeeeee"/>
                </v:shape>
                <v:shape id="Shape 146" style="position:absolute;width:95;height:190;left:68865;top:0;" coordsize="9525,19050" path="m9525,0l9525,19050l0,19050l0,9525l9525,0x">
                  <v:stroke weight="0pt" endcap="flat" joinstyle="miter" miterlimit="10" on="false" color="#000000" opacity="0"/>
                  <v:fill on="true" color="#eeeeee"/>
                </v:shape>
                <v:shape id="Shape 1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25E8F73" w14:textId="77777777" w:rsidR="00501851" w:rsidRDefault="00000000">
      <w:pPr>
        <w:pStyle w:val="Heading1"/>
        <w:spacing w:after="260" w:line="259" w:lineRule="auto"/>
        <w:jc w:val="center"/>
      </w:pPr>
      <w:r>
        <w:lastRenderedPageBreak/>
        <w:t>SIGNATURES</w:t>
      </w:r>
    </w:p>
    <w:p w14:paraId="10B218F4" w14:textId="77777777" w:rsidR="00501851" w:rsidRDefault="00000000">
      <w:pPr>
        <w:spacing w:after="306" w:line="260" w:lineRule="auto"/>
        <w:ind w:left="5" w:firstLine="720"/>
      </w:pPr>
      <w:r>
        <w:rPr>
          <w:rFonts w:ascii="Times New Roman" w:eastAsia="Times New Roman" w:hAnsi="Times New Roman" w:cs="Times New Roman"/>
          <w:sz w:val="20"/>
        </w:rPr>
        <w:t>Pursuant to the requirements of the Securities Exchange Act of 1934, the Registrant has duly caused this report to be signed on its behalf by the undersigned hereunto duly authorized.</w:t>
      </w:r>
    </w:p>
    <w:p w14:paraId="1B740AE1" w14:textId="77777777" w:rsidR="00501851" w:rsidRDefault="00000000">
      <w:pPr>
        <w:pStyle w:val="Heading1"/>
        <w:spacing w:after="324"/>
        <w:ind w:left="5589"/>
      </w:pPr>
      <w:r>
        <w:t>VAREX IMAGING CORPORATION</w:t>
      </w:r>
    </w:p>
    <w:p w14:paraId="4DD22318" w14:textId="77777777" w:rsidR="00501851" w:rsidRDefault="00000000">
      <w:pPr>
        <w:tabs>
          <w:tab w:val="center" w:pos="6503"/>
        </w:tabs>
        <w:spacing w:after="25"/>
      </w:pPr>
      <w:r>
        <w:rPr>
          <w:rFonts w:ascii="Times New Roman" w:eastAsia="Times New Roman" w:hAnsi="Times New Roman" w:cs="Times New Roman"/>
          <w:sz w:val="20"/>
        </w:rPr>
        <w:t xml:space="preserve">Dated: May 2, </w:t>
      </w:r>
      <w:proofErr w:type="gramStart"/>
      <w:r>
        <w:rPr>
          <w:rFonts w:ascii="Times New Roman" w:eastAsia="Times New Roman" w:hAnsi="Times New Roman" w:cs="Times New Roman"/>
          <w:sz w:val="20"/>
        </w:rPr>
        <w:t>2023</w:t>
      </w:r>
      <w:proofErr w:type="gramEnd"/>
      <w:r>
        <w:rPr>
          <w:rFonts w:ascii="Times New Roman" w:eastAsia="Times New Roman" w:hAnsi="Times New Roman" w:cs="Times New Roman"/>
          <w:sz w:val="20"/>
        </w:rPr>
        <w:tab/>
        <w:t xml:space="preserve">By: </w:t>
      </w:r>
      <w:r>
        <w:rPr>
          <w:rFonts w:ascii="Times New Roman" w:eastAsia="Times New Roman" w:hAnsi="Times New Roman" w:cs="Times New Roman"/>
          <w:sz w:val="20"/>
          <w:u w:val="single" w:color="000000"/>
        </w:rPr>
        <w:t>/s/ Kimberle</w:t>
      </w:r>
      <w:r>
        <w:rPr>
          <w:rFonts w:ascii="Times New Roman" w:eastAsia="Times New Roman" w:hAnsi="Times New Roman" w:cs="Times New Roman"/>
          <w:sz w:val="20"/>
        </w:rPr>
        <w:t>y</w:t>
      </w:r>
      <w:r>
        <w:rPr>
          <w:rFonts w:ascii="Times New Roman" w:eastAsia="Times New Roman" w:hAnsi="Times New Roman" w:cs="Times New Roman"/>
          <w:sz w:val="20"/>
          <w:u w:val="single" w:color="000000"/>
        </w:rPr>
        <w:t xml:space="preserve"> E. Hone</w:t>
      </w:r>
      <w:r>
        <w:rPr>
          <w:rFonts w:ascii="Times New Roman" w:eastAsia="Times New Roman" w:hAnsi="Times New Roman" w:cs="Times New Roman"/>
          <w:sz w:val="20"/>
        </w:rPr>
        <w:t>y</w:t>
      </w:r>
      <w:r>
        <w:rPr>
          <w:rFonts w:ascii="Times New Roman" w:eastAsia="Times New Roman" w:hAnsi="Times New Roman" w:cs="Times New Roman"/>
          <w:sz w:val="20"/>
          <w:u w:val="single" w:color="000000"/>
        </w:rPr>
        <w:t>sett</w:t>
      </w:r>
    </w:p>
    <w:p w14:paraId="119922E4" w14:textId="77777777" w:rsidR="00501851" w:rsidRDefault="00000000">
      <w:pPr>
        <w:spacing w:after="5"/>
        <w:ind w:left="2235"/>
        <w:jc w:val="center"/>
      </w:pPr>
      <w:r>
        <w:rPr>
          <w:rFonts w:ascii="Times New Roman" w:eastAsia="Times New Roman" w:hAnsi="Times New Roman" w:cs="Times New Roman"/>
          <w:sz w:val="20"/>
        </w:rPr>
        <w:t>Kimberley E. Honeysett</w:t>
      </w:r>
    </w:p>
    <w:p w14:paraId="3ADC5022" w14:textId="77777777" w:rsidR="00501851" w:rsidRDefault="00000000">
      <w:pPr>
        <w:spacing w:after="0"/>
        <w:ind w:right="235"/>
        <w:jc w:val="right"/>
      </w:pPr>
      <w:r>
        <w:rPr>
          <w:rFonts w:ascii="Times New Roman" w:eastAsia="Times New Roman" w:hAnsi="Times New Roman" w:cs="Times New Roman"/>
          <w:sz w:val="20"/>
        </w:rPr>
        <w:t>Chief Legal Officer, General Counsel, and Corporate Secretary</w:t>
      </w:r>
    </w:p>
    <w:sectPr w:rsidR="00501851">
      <w:pgSz w:w="12240" w:h="15840"/>
      <w:pgMar w:top="613" w:right="680" w:bottom="894"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51"/>
    <w:rsid w:val="0049243A"/>
    <w:rsid w:val="0050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8FB"/>
  <w15:docId w15:val="{B1125E98-9799-4BB4-BCDF-49B6151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5" w:line="265"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c.gov/Archives/edgar/data/1681622/000168162223000047/exhibit991-q223earningsrel.htm" TargetMode="External"/><Relationship Id="rId13" Type="http://schemas.openxmlformats.org/officeDocument/2006/relationships/hyperlink" Target="https://www.sec.gov/Archives/edgar/data/1681622/000168162223000047/exhibit991-q223earningsrel.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c.gov/Archives/edgar/data/1681622/000168162223000047/exhibit991-q223earningsrel.htm" TargetMode="External"/><Relationship Id="rId12" Type="http://schemas.openxmlformats.org/officeDocument/2006/relationships/hyperlink" Target="https://www.sec.gov/Archives/edgar/data/1681622/000168162223000047/exhibit991-q223earningsrel.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ec.gov/Archives/edgar/data/1681622/000168162223000047/exhibit991-q223earningsrel.htm" TargetMode="External"/><Relationship Id="rId1" Type="http://schemas.openxmlformats.org/officeDocument/2006/relationships/styles" Target="styles.xml"/><Relationship Id="rId6" Type="http://schemas.openxmlformats.org/officeDocument/2006/relationships/hyperlink" Target="https://www.sec.gov/Archives/edgar/data/1681622/000168162223000047/exhibit991-q223earningsrel.htm" TargetMode="External"/><Relationship Id="rId11" Type="http://schemas.openxmlformats.org/officeDocument/2006/relationships/hyperlink" Target="https://www.sec.gov/Archives/edgar/data/1681622/000168162223000047/exhibit991-q223earningsrel.htm" TargetMode="External"/><Relationship Id="rId5" Type="http://schemas.openxmlformats.org/officeDocument/2006/relationships/hyperlink" Target="https://www.sec.gov/Archives/edgar/data/1681622/000168162223000047/exhibit991-q223earningsrel.htm" TargetMode="External"/><Relationship Id="rId15" Type="http://schemas.openxmlformats.org/officeDocument/2006/relationships/hyperlink" Target="https://www.sec.gov/Archives/edgar/data/1681622/000168162223000047/exhibit991-q223earningsrel.htm" TargetMode="External"/><Relationship Id="rId10" Type="http://schemas.openxmlformats.org/officeDocument/2006/relationships/hyperlink" Target="https://www.sec.gov/Archives/edgar/data/1681622/000168162223000047/exhibit991-q223earningsrel.htm" TargetMode="External"/><Relationship Id="rId4" Type="http://schemas.openxmlformats.org/officeDocument/2006/relationships/hyperlink" Target="https://www.sec.gov/Archives/edgar/data/1681622/000168162223000047/exhibit991-q223earningsrel.htm" TargetMode="External"/><Relationship Id="rId9" Type="http://schemas.openxmlformats.org/officeDocument/2006/relationships/hyperlink" Target="https://www.sec.gov/Archives/edgar/data/1681622/000168162223000047/exhibit991-q223earningsrel.htm" TargetMode="External"/><Relationship Id="rId14" Type="http://schemas.openxmlformats.org/officeDocument/2006/relationships/hyperlink" Target="https://www.sec.gov/Archives/edgar/data/1681622/000168162223000047/exhibit991-q223earningsr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2023-05-02T20:46:00Z</dcterms:created>
  <dcterms:modified xsi:type="dcterms:W3CDTF">2023-05-02T20:46:00Z</dcterms:modified>
</cp:coreProperties>
</file>