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002C" w14:textId="77777777" w:rsidR="00CE68B5" w:rsidRDefault="00000000">
      <w:pPr>
        <w:spacing w:after="80"/>
        <w:ind w:left="-50" w:right="-594"/>
      </w:pPr>
      <w:r>
        <w:rPr>
          <w:noProof/>
        </w:rPr>
        <w:drawing>
          <wp:inline distT="0" distB="0" distL="0" distR="0" wp14:anchorId="0538991B" wp14:editId="67565448">
            <wp:extent cx="6989064" cy="7101840"/>
            <wp:effectExtent l="0" t="0" r="0" b="0"/>
            <wp:docPr id="7466" name="Picture 7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" name="Picture 74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710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69365" w14:textId="77777777" w:rsidR="00CE68B5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64914362" w14:textId="77777777" w:rsidR="00CE68B5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shares represent shares withheld for satisfaction of a tax withholding obligation arising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as a result of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the vesting of the Restricted Stock Units reported herein.</w:t>
      </w:r>
    </w:p>
    <w:p w14:paraId="33D3018F" w14:textId="77777777" w:rsidR="00CE68B5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 Restricted Stock Units granted on February 15,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2019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25% each year for four years beginning on February 15, 2020. Vested shares will be delivered to the reporting person upon vest date.</w:t>
      </w:r>
    </w:p>
    <w:p w14:paraId="40EFA790" w14:textId="77777777" w:rsidR="00CE68B5" w:rsidRDefault="00000000">
      <w:pPr>
        <w:numPr>
          <w:ilvl w:val="0"/>
          <w:numId w:val="1"/>
        </w:numPr>
        <w:spacing w:after="72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Restricted Stock Units granted on February 16,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2021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50% on February 15, 2023 and 50% on February 15, 2025. Vested shares will be delivered to the reporting person upon vest date.</w:t>
      </w:r>
    </w:p>
    <w:p w14:paraId="44FC0645" w14:textId="77777777" w:rsidR="00CE68B5" w:rsidRDefault="00000000">
      <w:pPr>
        <w:spacing w:after="116"/>
      </w:pPr>
      <w:r>
        <w:rPr>
          <w:rFonts w:ascii="Arial" w:eastAsia="Arial" w:hAnsi="Arial" w:cs="Arial"/>
          <w:b/>
          <w:sz w:val="17"/>
        </w:rPr>
        <w:t>Remarks:</w:t>
      </w:r>
    </w:p>
    <w:p w14:paraId="13895F6F" w14:textId="77777777" w:rsidR="00CE68B5" w:rsidRDefault="00000000">
      <w:pPr>
        <w:spacing w:after="17"/>
        <w:ind w:left="4339"/>
        <w:jc w:val="center"/>
      </w:pP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/s/ Kimberle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 xml:space="preserve"> Hone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sett</w:t>
      </w:r>
      <w:r>
        <w:rPr>
          <w:rFonts w:ascii="Times New Roman" w:eastAsia="Times New Roman" w:hAnsi="Times New Roman" w:cs="Times New Roman"/>
          <w:color w:val="0000FF"/>
          <w:sz w:val="17"/>
        </w:rPr>
        <w:t>,</w:t>
      </w:r>
    </w:p>
    <w:p w14:paraId="181EDB0D" w14:textId="77777777" w:rsidR="00CE68B5" w:rsidRDefault="00000000">
      <w:pPr>
        <w:spacing w:after="20" w:line="260" w:lineRule="auto"/>
        <w:ind w:left="6498" w:right="226"/>
      </w:pP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attorne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-in-fact for Andrew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ab/>
        <w:t>02/16/2023 Hartmann</w:t>
      </w:r>
    </w:p>
    <w:p w14:paraId="72C63E43" w14:textId="77777777" w:rsidR="00CE68B5" w:rsidRDefault="00000000">
      <w:pPr>
        <w:spacing w:after="0" w:line="320" w:lineRule="auto"/>
        <w:ind w:left="-15" w:right="801" w:firstLine="6498"/>
      </w:pPr>
      <w:r>
        <w:rPr>
          <w:rFonts w:ascii="Arial" w:eastAsia="Arial" w:hAnsi="Arial" w:cs="Arial"/>
          <w:sz w:val="13"/>
        </w:rPr>
        <w:t>** Signature of Reporting Person Date Reminder: Report on a separate line for each class of securities beneficially owned directly or indirectly.</w:t>
      </w:r>
    </w:p>
    <w:p w14:paraId="3A4F878D" w14:textId="77777777" w:rsidR="00CE68B5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181005C4" w14:textId="77777777" w:rsidR="00CE68B5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lastRenderedPageBreak/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39B9E601" w14:textId="77777777" w:rsidR="00CE68B5" w:rsidRDefault="00000000">
      <w:pPr>
        <w:spacing w:after="34"/>
        <w:ind w:left="-5" w:right="801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2BB977E0" w14:textId="77777777" w:rsidR="00CE68B5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CE68B5">
      <w:pgSz w:w="12240" w:h="15840"/>
      <w:pgMar w:top="718" w:right="1154" w:bottom="1440" w:left="7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B02BA"/>
    <w:multiLevelType w:val="hybridMultilevel"/>
    <w:tmpl w:val="AB50B87A"/>
    <w:lvl w:ilvl="0" w:tplc="D85CE28A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73885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B54A0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00341C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5803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E2AA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7DFEE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E2E8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A9EC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942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8B5"/>
    <w:rsid w:val="00CE68B5"/>
    <w:rsid w:val="00E0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9F32"/>
  <w15:docId w15:val="{5DD9E560-DAA7-45FC-A166-A7D38827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2023-03-09T22:10:00Z</dcterms:created>
  <dcterms:modified xsi:type="dcterms:W3CDTF">2023-03-09T22:10:00Z</dcterms:modified>
</cp:coreProperties>
</file>