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9"/>
      </w:pPr>
      <w:r>
        <w:rPr/>
        <w:t>UNITED </w:t>
      </w:r>
      <w:r>
        <w:rPr>
          <w:spacing w:val="-2"/>
        </w:rPr>
        <w:t>STATES</w:t>
      </w:r>
    </w:p>
    <w:p>
      <w:pPr>
        <w:spacing w:before="21"/>
        <w:ind w:left="35" w:right="53" w:firstLine="0"/>
        <w:jc w:val="center"/>
        <w:rPr>
          <w:b/>
          <w:sz w:val="36"/>
        </w:rPr>
      </w:pPr>
      <w:r>
        <w:rPr>
          <w:b/>
          <w:sz w:val="36"/>
        </w:rPr>
        <w:t>SECURITIES</w:t>
      </w:r>
      <w:r>
        <w:rPr>
          <w:b/>
          <w:spacing w:val="-20"/>
          <w:sz w:val="36"/>
        </w:rPr>
        <w:t> </w:t>
      </w:r>
      <w:r>
        <w:rPr>
          <w:b/>
          <w:sz w:val="36"/>
        </w:rPr>
        <w:t>AND EXCHANGE </w:t>
      </w:r>
      <w:r>
        <w:rPr>
          <w:b/>
          <w:spacing w:val="-2"/>
          <w:sz w:val="36"/>
        </w:rPr>
        <w:t>COMMISSION</w:t>
      </w:r>
    </w:p>
    <w:p>
      <w:pPr>
        <w:spacing w:before="28"/>
        <w:ind w:left="35" w:right="53" w:firstLine="0"/>
        <w:jc w:val="center"/>
        <w:rPr>
          <w:b/>
          <w:sz w:val="24"/>
        </w:rPr>
      </w:pPr>
      <w:r>
        <w:rPr>
          <w:b/>
          <w:sz w:val="24"/>
        </w:rPr>
        <w:t>Washington,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D.C.</w:t>
      </w:r>
      <w:r>
        <w:rPr>
          <w:b/>
          <w:spacing w:val="-7"/>
          <w:sz w:val="24"/>
        </w:rPr>
        <w:t> </w:t>
      </w:r>
      <w:r>
        <w:rPr>
          <w:b/>
          <w:spacing w:val="-2"/>
          <w:sz w:val="24"/>
        </w:rPr>
        <w:t>20549</w:t>
      </w:r>
    </w:p>
    <w:p>
      <w:pPr>
        <w:pStyle w:val="BodyText"/>
        <w:spacing w:before="7"/>
        <w:rPr>
          <w:b/>
          <w:sz w:val="22"/>
        </w:rPr>
      </w:pPr>
      <w:r>
        <w:rPr/>
        <w:pict>
          <v:shape style="position:absolute;margin-left:195.889999pt;margin-top:14.202198pt;width:227.5pt;height:.1pt;mso-position-horizontal-relative:page;mso-position-vertical-relative:paragraph;z-index:-15728640;mso-wrap-distance-left:0;mso-wrap-distance-right:0" id="docshape1" coordorigin="3918,284" coordsize="4550,0" path="m3918,284l8467,284e" filled="false" stroked="true" strokeweight=".5199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b/>
          <w:sz w:val="15"/>
        </w:rPr>
      </w:pPr>
    </w:p>
    <w:p>
      <w:pPr>
        <w:pStyle w:val="Heading1"/>
        <w:spacing w:before="85"/>
      </w:pPr>
      <w:r>
        <w:rPr/>
        <w:t>FORM 8-</w:t>
      </w:r>
      <w:r>
        <w:rPr>
          <w:spacing w:val="-10"/>
        </w:rPr>
        <w:t>K</w:t>
      </w:r>
    </w:p>
    <w:p>
      <w:pPr>
        <w:pStyle w:val="BodyText"/>
        <w:spacing w:before="11"/>
        <w:rPr>
          <w:b/>
          <w:sz w:val="22"/>
        </w:rPr>
      </w:pPr>
      <w:r>
        <w:rPr/>
        <w:pict>
          <v:shape style="position:absolute;margin-left:194.269547pt;margin-top:14.417541pt;width:227.5pt;height:.1pt;mso-position-horizontal-relative:page;mso-position-vertical-relative:paragraph;z-index:-15728128;mso-wrap-distance-left:0;mso-wrap-distance-right:0" id="docshape2" coordorigin="3885,288" coordsize="4550,0" path="m3885,288l8435,288e" filled="false" stroked="true" strokeweight=".5199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b/>
          <w:sz w:val="16"/>
        </w:rPr>
      </w:pPr>
    </w:p>
    <w:p>
      <w:pPr>
        <w:spacing w:before="90"/>
        <w:ind w:left="35" w:right="54" w:firstLine="0"/>
        <w:jc w:val="center"/>
        <w:rPr>
          <w:b/>
          <w:sz w:val="24"/>
        </w:rPr>
      </w:pPr>
      <w:r>
        <w:rPr>
          <w:b/>
          <w:sz w:val="24"/>
        </w:rPr>
        <w:t>CURRENT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REPORT</w:t>
      </w:r>
    </w:p>
    <w:p>
      <w:pPr>
        <w:spacing w:before="9"/>
        <w:ind w:left="35" w:right="54" w:firstLine="0"/>
        <w:jc w:val="center"/>
        <w:rPr>
          <w:b/>
          <w:sz w:val="24"/>
        </w:rPr>
      </w:pPr>
      <w:r>
        <w:rPr>
          <w:b/>
          <w:sz w:val="24"/>
        </w:rPr>
        <w:t>Pursuant to Section 13 or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15(d)</w:t>
      </w:r>
    </w:p>
    <w:p>
      <w:pPr>
        <w:spacing w:before="24"/>
        <w:ind w:left="35" w:right="54" w:firstLine="0"/>
        <w:jc w:val="center"/>
        <w:rPr>
          <w:b/>
          <w:sz w:val="24"/>
        </w:rPr>
      </w:pPr>
      <w:r>
        <w:rPr>
          <w:b/>
          <w:sz w:val="24"/>
        </w:rPr>
        <w:t>of the Securities Exchange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Act of </w:t>
      </w:r>
      <w:r>
        <w:rPr>
          <w:b/>
          <w:spacing w:val="-4"/>
          <w:sz w:val="24"/>
        </w:rPr>
        <w:t>1934</w:t>
      </w:r>
    </w:p>
    <w:p>
      <w:pPr>
        <w:pStyle w:val="BodyText"/>
        <w:spacing w:before="7"/>
        <w:rPr>
          <w:b/>
          <w:sz w:val="21"/>
        </w:rPr>
      </w:pPr>
    </w:p>
    <w:p>
      <w:pPr>
        <w:spacing w:before="0"/>
        <w:ind w:left="35" w:right="53" w:firstLine="0"/>
        <w:jc w:val="center"/>
        <w:rPr>
          <w:b/>
          <w:sz w:val="24"/>
        </w:rPr>
      </w:pPr>
      <w:r>
        <w:rPr>
          <w:b/>
          <w:sz w:val="24"/>
        </w:rPr>
        <w:t>Date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Report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(Date 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earliest event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reported): January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31, </w:t>
      </w:r>
      <w:r>
        <w:rPr>
          <w:b/>
          <w:spacing w:val="-4"/>
          <w:sz w:val="24"/>
        </w:rPr>
        <w:t>2023</w:t>
      </w:r>
    </w:p>
    <w:p>
      <w:pPr>
        <w:pStyle w:val="BodyText"/>
        <w:spacing w:before="7"/>
        <w:rPr>
          <w:b/>
          <w:sz w:val="22"/>
        </w:rPr>
      </w:pPr>
      <w:r>
        <w:rPr/>
        <w:pict>
          <v:shape style="position:absolute;margin-left:195.889999pt;margin-top:14.221544pt;width:227.5pt;height:.1pt;mso-position-horizontal-relative:page;mso-position-vertical-relative:paragraph;z-index:-15727616;mso-wrap-distance-left:0;mso-wrap-distance-right:0" id="docshape3" coordorigin="3918,284" coordsize="4550,0" path="m3918,284l8467,284e" filled="false" stroked="true" strokeweight=".5199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17"/>
        </w:rPr>
      </w:pPr>
    </w:p>
    <w:p>
      <w:pPr>
        <w:pStyle w:val="Title"/>
      </w:pPr>
      <w:r>
        <w:rPr>
          <w:spacing w:val="-2"/>
        </w:rPr>
        <w:t>VAREX</w:t>
      </w:r>
      <w:r>
        <w:rPr>
          <w:spacing w:val="-21"/>
        </w:rPr>
        <w:t> </w:t>
      </w:r>
      <w:r>
        <w:rPr>
          <w:spacing w:val="-2"/>
        </w:rPr>
        <w:t>IMAGING</w:t>
      </w:r>
      <w:r>
        <w:rPr>
          <w:spacing w:val="-19"/>
        </w:rPr>
        <w:t> </w:t>
      </w:r>
      <w:r>
        <w:rPr>
          <w:spacing w:val="-2"/>
        </w:rPr>
        <w:t>CORPORATION</w:t>
      </w:r>
    </w:p>
    <w:p>
      <w:pPr>
        <w:pStyle w:val="Heading2"/>
        <w:spacing w:before="9"/>
        <w:ind w:right="53"/>
        <w:jc w:val="center"/>
      </w:pPr>
      <w:r>
        <w:rPr/>
        <w:t>(Exact</w:t>
      </w:r>
      <w:r>
        <w:rPr>
          <w:spacing w:val="-4"/>
        </w:rPr>
        <w:t> </w:t>
      </w:r>
      <w:r>
        <w:rPr/>
        <w:t>name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registrant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specified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its</w:t>
      </w:r>
      <w:r>
        <w:rPr>
          <w:spacing w:val="-1"/>
        </w:rPr>
        <w:t> </w:t>
      </w:r>
      <w:r>
        <w:rPr>
          <w:spacing w:val="-2"/>
        </w:rPr>
        <w:t>charter)</w:t>
      </w:r>
    </w:p>
    <w:p>
      <w:pPr>
        <w:pStyle w:val="BodyText"/>
        <w:spacing w:before="4"/>
        <w:rPr>
          <w:b/>
          <w:sz w:val="23"/>
        </w:rPr>
      </w:pPr>
      <w:r>
        <w:rPr/>
        <w:pict>
          <v:shape style="position:absolute;margin-left:194.269547pt;margin-top:14.6692pt;width:227.5pt;height:.1pt;mso-position-horizontal-relative:page;mso-position-vertical-relative:paragraph;z-index:-15727104;mso-wrap-distance-left:0;mso-wrap-distance-right:0" id="docshape4" coordorigin="3885,293" coordsize="4550,0" path="m3885,293l8435,293e" filled="false" stroked="true" strokeweight=".5199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b/>
          <w:sz w:val="19"/>
        </w:rPr>
      </w:pPr>
    </w:p>
    <w:p>
      <w:pPr>
        <w:tabs>
          <w:tab w:pos="3260" w:val="left" w:leader="none"/>
          <w:tab w:pos="6489" w:val="left" w:leader="none"/>
        </w:tabs>
        <w:spacing w:before="91"/>
        <w:ind w:left="35" w:right="0" w:firstLine="0"/>
        <w:jc w:val="center"/>
        <w:rPr>
          <w:b/>
          <w:sz w:val="20"/>
        </w:rPr>
      </w:pPr>
      <w:r>
        <w:rPr>
          <w:b/>
          <w:spacing w:val="-2"/>
          <w:sz w:val="20"/>
        </w:rPr>
        <w:t>Delaware</w:t>
      </w:r>
      <w:r>
        <w:rPr>
          <w:b/>
          <w:sz w:val="20"/>
        </w:rPr>
        <w:tab/>
        <w:t>001-</w:t>
      </w:r>
      <w:r>
        <w:rPr>
          <w:b/>
          <w:spacing w:val="-2"/>
          <w:sz w:val="20"/>
        </w:rPr>
        <w:t>37860</w:t>
      </w:r>
      <w:r>
        <w:rPr>
          <w:sz w:val="20"/>
        </w:rPr>
        <w:tab/>
      </w:r>
      <w:r>
        <w:rPr>
          <w:b/>
          <w:sz w:val="20"/>
        </w:rPr>
        <w:t>81-</w:t>
      </w:r>
      <w:r>
        <w:rPr>
          <w:b/>
          <w:spacing w:val="-2"/>
          <w:sz w:val="20"/>
        </w:rPr>
        <w:t>3434516</w:t>
      </w:r>
    </w:p>
    <w:p>
      <w:pPr>
        <w:spacing w:after="0"/>
        <w:jc w:val="center"/>
        <w:rPr>
          <w:sz w:val="20"/>
        </w:rPr>
        <w:sectPr>
          <w:type w:val="continuous"/>
          <w:pgSz w:w="12240" w:h="15840"/>
          <w:pgMar w:top="1600" w:bottom="280" w:left="600" w:right="560"/>
        </w:sectPr>
      </w:pPr>
    </w:p>
    <w:p>
      <w:pPr>
        <w:spacing w:before="78"/>
        <w:ind w:left="1255" w:right="0" w:firstLine="0"/>
        <w:jc w:val="left"/>
        <w:rPr>
          <w:b/>
          <w:sz w:val="16"/>
        </w:rPr>
      </w:pPr>
      <w:r>
        <w:rPr>
          <w:b/>
          <w:sz w:val="16"/>
        </w:rPr>
        <w:t>(State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other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jurisdiction</w:t>
      </w:r>
      <w:r>
        <w:rPr>
          <w:b/>
          <w:spacing w:val="-1"/>
          <w:sz w:val="16"/>
        </w:rPr>
        <w:t> </w:t>
      </w:r>
      <w:r>
        <w:rPr>
          <w:b/>
          <w:spacing w:val="-5"/>
          <w:sz w:val="16"/>
        </w:rPr>
        <w:t>of</w:t>
      </w:r>
    </w:p>
    <w:p>
      <w:pPr>
        <w:tabs>
          <w:tab w:pos="4577" w:val="left" w:leader="none"/>
        </w:tabs>
        <w:spacing w:before="26"/>
        <w:ind w:left="1209" w:right="0" w:firstLine="0"/>
        <w:jc w:val="left"/>
        <w:rPr>
          <w:b/>
          <w:sz w:val="16"/>
        </w:rPr>
      </w:pPr>
      <w:r>
        <w:rPr>
          <w:b/>
          <w:sz w:val="16"/>
        </w:rPr>
        <w:t>incorporation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or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organization)</w:t>
      </w:r>
      <w:r>
        <w:rPr>
          <w:b/>
          <w:sz w:val="16"/>
        </w:rPr>
        <w:tab/>
        <w:t>(Commission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File</w:t>
      </w:r>
      <w:r>
        <w:rPr>
          <w:b/>
          <w:spacing w:val="-1"/>
          <w:sz w:val="16"/>
        </w:rPr>
        <w:t> </w:t>
      </w:r>
      <w:r>
        <w:rPr>
          <w:b/>
          <w:spacing w:val="-2"/>
          <w:sz w:val="16"/>
        </w:rPr>
        <w:t>Number)</w:t>
      </w:r>
    </w:p>
    <w:p>
      <w:pPr>
        <w:spacing w:line="273" w:lineRule="auto" w:before="78"/>
        <w:ind w:left="1209" w:right="1491" w:firstLine="215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(I.R.S.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Employer</w:t>
      </w:r>
      <w:r>
        <w:rPr>
          <w:b/>
          <w:spacing w:val="40"/>
          <w:sz w:val="16"/>
        </w:rPr>
        <w:t> </w:t>
      </w:r>
      <w:r>
        <w:rPr>
          <w:b/>
          <w:sz w:val="16"/>
        </w:rPr>
        <w:t>Identification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Number)</w:t>
      </w:r>
    </w:p>
    <w:p>
      <w:pPr>
        <w:spacing w:after="0" w:line="273" w:lineRule="auto"/>
        <w:jc w:val="left"/>
        <w:rPr>
          <w:sz w:val="16"/>
        </w:rPr>
        <w:sectPr>
          <w:type w:val="continuous"/>
          <w:pgSz w:w="12240" w:h="15840"/>
          <w:pgMar w:top="1600" w:bottom="280" w:left="600" w:right="560"/>
          <w:cols w:num="2" w:equalWidth="0">
            <w:col w:w="6475" w:space="308"/>
            <w:col w:w="4297"/>
          </w:cols>
        </w:sectPr>
      </w:pPr>
    </w:p>
    <w:p>
      <w:pPr>
        <w:pStyle w:val="BodyText"/>
        <w:spacing w:before="9"/>
        <w:rPr>
          <w:b/>
          <w:sz w:val="18"/>
        </w:rPr>
      </w:pPr>
    </w:p>
    <w:p>
      <w:pPr>
        <w:pStyle w:val="Heading2"/>
        <w:tabs>
          <w:tab w:pos="8534" w:val="left" w:leader="none"/>
        </w:tabs>
        <w:spacing w:before="97"/>
        <w:ind w:left="1164"/>
      </w:pPr>
      <w:r>
        <w:rPr/>
        <w:t>1678</w:t>
      </w:r>
      <w:r>
        <w:rPr>
          <w:spacing w:val="-3"/>
        </w:rPr>
        <w:t> </w:t>
      </w:r>
      <w:r>
        <w:rPr/>
        <w:t>S.</w:t>
      </w:r>
      <w:r>
        <w:rPr>
          <w:spacing w:val="-3"/>
        </w:rPr>
        <w:t> </w:t>
      </w:r>
      <w:r>
        <w:rPr/>
        <w:t>Pioneer</w:t>
      </w:r>
      <w:r>
        <w:rPr>
          <w:spacing w:val="-5"/>
        </w:rPr>
        <w:t> </w:t>
      </w:r>
      <w:r>
        <w:rPr/>
        <w:t>Road,</w:t>
      </w:r>
      <w:r>
        <w:rPr>
          <w:spacing w:val="-2"/>
        </w:rPr>
        <w:t> </w:t>
      </w:r>
      <w:r>
        <w:rPr/>
        <w:t>Salt</w:t>
      </w:r>
      <w:r>
        <w:rPr>
          <w:spacing w:val="-2"/>
        </w:rPr>
        <w:t> </w:t>
      </w:r>
      <w:r>
        <w:rPr/>
        <w:t>Lake</w:t>
      </w:r>
      <w:r>
        <w:rPr>
          <w:spacing w:val="-3"/>
        </w:rPr>
        <w:t> </w:t>
      </w:r>
      <w:r>
        <w:rPr/>
        <w:t>City,</w:t>
      </w:r>
      <w:r>
        <w:rPr>
          <w:spacing w:val="-1"/>
        </w:rPr>
        <w:t> </w:t>
      </w:r>
      <w:r>
        <w:rPr>
          <w:spacing w:val="-4"/>
        </w:rPr>
        <w:t>Utah</w:t>
      </w:r>
      <w:r>
        <w:rPr>
          <w:b w:val="0"/>
        </w:rPr>
        <w:tab/>
      </w:r>
      <w:r>
        <w:rPr>
          <w:spacing w:val="-2"/>
          <w:position w:val="1"/>
        </w:rPr>
        <w:t>84104</w:t>
      </w:r>
    </w:p>
    <w:p>
      <w:pPr>
        <w:tabs>
          <w:tab w:pos="6489" w:val="left" w:leader="none"/>
        </w:tabs>
        <w:spacing w:before="47"/>
        <w:ind w:left="108" w:right="0" w:firstLine="0"/>
        <w:jc w:val="center"/>
        <w:rPr>
          <w:b/>
          <w:sz w:val="16"/>
        </w:rPr>
      </w:pPr>
      <w:r>
        <w:rPr>
          <w:b/>
          <w:sz w:val="16"/>
        </w:rPr>
        <w:t>(Address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principal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executive</w:t>
      </w:r>
      <w:r>
        <w:rPr>
          <w:b/>
          <w:spacing w:val="-1"/>
          <w:sz w:val="16"/>
        </w:rPr>
        <w:t> </w:t>
      </w:r>
      <w:r>
        <w:rPr>
          <w:b/>
          <w:spacing w:val="-2"/>
          <w:sz w:val="16"/>
        </w:rPr>
        <w:t>offices)</w:t>
      </w:r>
      <w:r>
        <w:rPr>
          <w:b/>
          <w:sz w:val="16"/>
        </w:rPr>
        <w:tab/>
        <w:t>(Zip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Code)</w:t>
      </w:r>
    </w:p>
    <w:p>
      <w:pPr>
        <w:pStyle w:val="Heading2"/>
        <w:spacing w:line="480" w:lineRule="atLeast" w:before="39"/>
        <w:ind w:left="2656" w:right="2674"/>
        <w:jc w:val="center"/>
      </w:pPr>
      <w:r>
        <w:rPr/>
        <w:t>Registrant’s</w:t>
      </w:r>
      <w:r>
        <w:rPr>
          <w:spacing w:val="-10"/>
        </w:rPr>
        <w:t> </w:t>
      </w:r>
      <w:r>
        <w:rPr/>
        <w:t>telephone</w:t>
      </w:r>
      <w:r>
        <w:rPr>
          <w:spacing w:val="-10"/>
        </w:rPr>
        <w:t> </w:t>
      </w:r>
      <w:r>
        <w:rPr/>
        <w:t>number,</w:t>
      </w:r>
      <w:r>
        <w:rPr>
          <w:spacing w:val="-10"/>
        </w:rPr>
        <w:t> </w:t>
      </w:r>
      <w:r>
        <w:rPr/>
        <w:t>including</w:t>
      </w:r>
      <w:r>
        <w:rPr>
          <w:spacing w:val="-10"/>
        </w:rPr>
        <w:t> </w:t>
      </w:r>
      <w:r>
        <w:rPr/>
        <w:t>area</w:t>
      </w:r>
      <w:r>
        <w:rPr>
          <w:spacing w:val="-10"/>
        </w:rPr>
        <w:t> </w:t>
      </w:r>
      <w:r>
        <w:rPr/>
        <w:t>code:</w:t>
      </w:r>
      <w:r>
        <w:rPr>
          <w:spacing w:val="-10"/>
        </w:rPr>
        <w:t> </w:t>
      </w:r>
      <w:r>
        <w:rPr/>
        <w:t>(801)</w:t>
      </w:r>
      <w:r>
        <w:rPr>
          <w:spacing w:val="-9"/>
        </w:rPr>
        <w:t> </w:t>
      </w:r>
      <w:r>
        <w:rPr/>
        <w:t>972-5000 Not</w:t>
      </w:r>
      <w:r>
        <w:rPr>
          <w:spacing w:val="-13"/>
        </w:rPr>
        <w:t> </w:t>
      </w:r>
      <w:r>
        <w:rPr/>
        <w:t>Applicable</w:t>
      </w:r>
    </w:p>
    <w:p>
      <w:pPr>
        <w:spacing w:before="2"/>
        <w:ind w:left="35" w:right="53" w:firstLine="0"/>
        <w:jc w:val="center"/>
        <w:rPr>
          <w:b/>
          <w:sz w:val="16"/>
        </w:rPr>
      </w:pPr>
      <w:r>
        <w:rPr>
          <w:b/>
          <w:sz w:val="16"/>
        </w:rPr>
        <w:t>(Former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name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former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address,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if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changed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since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last</w:t>
      </w:r>
      <w:r>
        <w:rPr>
          <w:b/>
          <w:spacing w:val="-1"/>
          <w:sz w:val="16"/>
        </w:rPr>
        <w:t> </w:t>
      </w:r>
      <w:r>
        <w:rPr>
          <w:b/>
          <w:spacing w:val="-2"/>
          <w:sz w:val="16"/>
        </w:rPr>
        <w:t>report)</w:t>
      </w:r>
    </w:p>
    <w:p>
      <w:pPr>
        <w:pStyle w:val="BodyText"/>
        <w:spacing w:before="1"/>
        <w:rPr>
          <w:b/>
          <w:sz w:val="24"/>
        </w:rPr>
      </w:pPr>
      <w:r>
        <w:rPr/>
        <w:pict>
          <v:shape style="position:absolute;margin-left:194.269547pt;margin-top:15.096153pt;width:227.5pt;height:.1pt;mso-position-horizontal-relative:page;mso-position-vertical-relative:paragraph;z-index:-15726592;mso-wrap-distance-left:0;mso-wrap-distance-right:0" id="docshape5" coordorigin="3885,302" coordsize="4550,0" path="m3885,302l8435,302e" filled="false" stroked="true" strokeweight=".5199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b/>
          <w:sz w:val="15"/>
        </w:rPr>
      </w:pPr>
    </w:p>
    <w:p>
      <w:pPr>
        <w:pStyle w:val="BodyText"/>
        <w:spacing w:line="249" w:lineRule="auto" w:before="91"/>
        <w:ind w:left="100" w:right="219"/>
      </w:pPr>
      <w:r>
        <w:rPr/>
        <w:t>Check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appropriate</w:t>
      </w:r>
      <w:r>
        <w:rPr>
          <w:spacing w:val="-2"/>
        </w:rPr>
        <w:t> </w:t>
      </w:r>
      <w:r>
        <w:rPr/>
        <w:t>box</w:t>
      </w:r>
      <w:r>
        <w:rPr>
          <w:spacing w:val="-2"/>
        </w:rPr>
        <w:t> </w:t>
      </w:r>
      <w:r>
        <w:rPr/>
        <w:t>below</w:t>
      </w:r>
      <w:r>
        <w:rPr>
          <w:spacing w:val="-2"/>
        </w:rPr>
        <w:t> </w:t>
      </w:r>
      <w:r>
        <w:rPr/>
        <w:t>if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Form</w:t>
      </w:r>
      <w:r>
        <w:rPr>
          <w:spacing w:val="-2"/>
        </w:rPr>
        <w:t> </w:t>
      </w:r>
      <w:r>
        <w:rPr/>
        <w:t>8-K</w:t>
      </w:r>
      <w:r>
        <w:rPr>
          <w:spacing w:val="-2"/>
        </w:rPr>
        <w:t> </w:t>
      </w:r>
      <w:r>
        <w:rPr/>
        <w:t>filing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intended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simultaneously</w:t>
      </w:r>
      <w:r>
        <w:rPr>
          <w:spacing w:val="-2"/>
        </w:rPr>
        <w:t> </w:t>
      </w:r>
      <w:r>
        <w:rPr/>
        <w:t>satisfy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filing</w:t>
      </w:r>
      <w:r>
        <w:rPr>
          <w:spacing w:val="-2"/>
        </w:rPr>
        <w:t> </w:t>
      </w:r>
      <w:r>
        <w:rPr/>
        <w:t>obligation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registrant under any of the following provisions (see General Instruction A.2. below):</w:t>
      </w:r>
    </w:p>
    <w:p>
      <w:pPr>
        <w:pStyle w:val="ListParagraph"/>
        <w:numPr>
          <w:ilvl w:val="0"/>
          <w:numId w:val="1"/>
        </w:numPr>
        <w:tabs>
          <w:tab w:pos="522" w:val="left" w:leader="none"/>
          <w:tab w:pos="523" w:val="left" w:leader="none"/>
        </w:tabs>
        <w:spacing w:line="240" w:lineRule="auto" w:before="138" w:after="0"/>
        <w:ind w:left="522" w:right="0" w:hanging="404"/>
        <w:jc w:val="left"/>
        <w:rPr>
          <w:sz w:val="20"/>
        </w:rPr>
      </w:pPr>
      <w:r>
        <w:rPr>
          <w:sz w:val="20"/>
        </w:rPr>
        <w:t>Written</w:t>
      </w:r>
      <w:r>
        <w:rPr>
          <w:spacing w:val="-4"/>
          <w:sz w:val="20"/>
        </w:rPr>
        <w:t> </w:t>
      </w:r>
      <w:r>
        <w:rPr>
          <w:sz w:val="20"/>
        </w:rPr>
        <w:t>communications</w:t>
      </w:r>
      <w:r>
        <w:rPr>
          <w:spacing w:val="-2"/>
          <w:sz w:val="20"/>
        </w:rPr>
        <w:t> </w:t>
      </w:r>
      <w:r>
        <w:rPr>
          <w:sz w:val="20"/>
        </w:rPr>
        <w:t>pursuant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Rule</w:t>
      </w:r>
      <w:r>
        <w:rPr>
          <w:spacing w:val="-2"/>
          <w:sz w:val="20"/>
        </w:rPr>
        <w:t> </w:t>
      </w:r>
      <w:r>
        <w:rPr>
          <w:sz w:val="20"/>
        </w:rPr>
        <w:t>425</w:t>
      </w:r>
      <w:r>
        <w:rPr>
          <w:spacing w:val="-2"/>
          <w:sz w:val="20"/>
        </w:rPr>
        <w:t> </w:t>
      </w:r>
      <w:r>
        <w:rPr>
          <w:sz w:val="20"/>
        </w:rPr>
        <w:t>under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Securities</w:t>
      </w:r>
      <w:r>
        <w:rPr>
          <w:spacing w:val="-12"/>
          <w:sz w:val="20"/>
        </w:rPr>
        <w:t> </w:t>
      </w:r>
      <w:r>
        <w:rPr>
          <w:sz w:val="20"/>
        </w:rPr>
        <w:t>Act</w:t>
      </w:r>
      <w:r>
        <w:rPr>
          <w:spacing w:val="-2"/>
          <w:sz w:val="20"/>
        </w:rPr>
        <w:t> </w:t>
      </w:r>
      <w:r>
        <w:rPr>
          <w:sz w:val="20"/>
        </w:rPr>
        <w:t>(17</w:t>
      </w:r>
      <w:r>
        <w:rPr>
          <w:spacing w:val="-2"/>
          <w:sz w:val="20"/>
        </w:rPr>
        <w:t> </w:t>
      </w:r>
      <w:r>
        <w:rPr>
          <w:sz w:val="20"/>
        </w:rPr>
        <w:t>CFR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230.425)</w:t>
      </w:r>
    </w:p>
    <w:p>
      <w:pPr>
        <w:pStyle w:val="ListParagraph"/>
        <w:numPr>
          <w:ilvl w:val="0"/>
          <w:numId w:val="1"/>
        </w:numPr>
        <w:tabs>
          <w:tab w:pos="522" w:val="left" w:leader="none"/>
          <w:tab w:pos="523" w:val="left" w:leader="none"/>
        </w:tabs>
        <w:spacing w:line="240" w:lineRule="auto" w:before="169" w:after="0"/>
        <w:ind w:left="522" w:right="0" w:hanging="404"/>
        <w:jc w:val="left"/>
        <w:rPr>
          <w:sz w:val="20"/>
        </w:rPr>
      </w:pPr>
      <w:r>
        <w:rPr>
          <w:sz w:val="20"/>
        </w:rPr>
        <w:t>Soliciting</w:t>
      </w:r>
      <w:r>
        <w:rPr>
          <w:spacing w:val="-1"/>
          <w:sz w:val="20"/>
        </w:rPr>
        <w:t> </w:t>
      </w:r>
      <w:r>
        <w:rPr>
          <w:sz w:val="20"/>
        </w:rPr>
        <w:t>material</w:t>
      </w:r>
      <w:r>
        <w:rPr>
          <w:spacing w:val="-1"/>
          <w:sz w:val="20"/>
        </w:rPr>
        <w:t> </w:t>
      </w:r>
      <w:r>
        <w:rPr>
          <w:sz w:val="20"/>
        </w:rPr>
        <w:t>pursuant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Rule</w:t>
      </w:r>
      <w:r>
        <w:rPr>
          <w:spacing w:val="-1"/>
          <w:sz w:val="20"/>
        </w:rPr>
        <w:t> </w:t>
      </w:r>
      <w:r>
        <w:rPr>
          <w:sz w:val="20"/>
        </w:rPr>
        <w:t>14a-12</w:t>
      </w:r>
      <w:r>
        <w:rPr>
          <w:spacing w:val="-1"/>
          <w:sz w:val="20"/>
        </w:rPr>
        <w:t> </w:t>
      </w:r>
      <w:r>
        <w:rPr>
          <w:sz w:val="20"/>
        </w:rPr>
        <w:t>under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Exchange</w:t>
      </w:r>
      <w:r>
        <w:rPr>
          <w:spacing w:val="-12"/>
          <w:sz w:val="20"/>
        </w:rPr>
        <w:t> </w:t>
      </w:r>
      <w:r>
        <w:rPr>
          <w:sz w:val="20"/>
        </w:rPr>
        <w:t>Act</w:t>
      </w:r>
      <w:r>
        <w:rPr>
          <w:spacing w:val="-1"/>
          <w:sz w:val="20"/>
        </w:rPr>
        <w:t> </w:t>
      </w:r>
      <w:r>
        <w:rPr>
          <w:sz w:val="20"/>
        </w:rPr>
        <w:t>(17</w:t>
      </w:r>
      <w:r>
        <w:rPr>
          <w:spacing w:val="-1"/>
          <w:sz w:val="20"/>
        </w:rPr>
        <w:t> </w:t>
      </w:r>
      <w:r>
        <w:rPr>
          <w:sz w:val="20"/>
        </w:rPr>
        <w:t>CFR</w:t>
      </w:r>
      <w:r>
        <w:rPr>
          <w:spacing w:val="-1"/>
          <w:sz w:val="20"/>
        </w:rPr>
        <w:t> </w:t>
      </w:r>
      <w:r>
        <w:rPr>
          <w:sz w:val="20"/>
        </w:rPr>
        <w:t>240.14a-</w:t>
      </w:r>
      <w:r>
        <w:rPr>
          <w:spacing w:val="-5"/>
          <w:sz w:val="20"/>
        </w:rPr>
        <w:t>12)</w:t>
      </w:r>
    </w:p>
    <w:p>
      <w:pPr>
        <w:pStyle w:val="ListParagraph"/>
        <w:numPr>
          <w:ilvl w:val="0"/>
          <w:numId w:val="1"/>
        </w:numPr>
        <w:tabs>
          <w:tab w:pos="522" w:val="left" w:leader="none"/>
          <w:tab w:pos="523" w:val="left" w:leader="none"/>
        </w:tabs>
        <w:spacing w:line="240" w:lineRule="auto" w:before="214" w:after="0"/>
        <w:ind w:left="522" w:right="0" w:hanging="404"/>
        <w:jc w:val="left"/>
        <w:rPr>
          <w:sz w:val="20"/>
        </w:rPr>
      </w:pPr>
      <w:r>
        <w:rPr>
          <w:sz w:val="20"/>
        </w:rPr>
        <w:t>Pre-commencement</w:t>
      </w:r>
      <w:r>
        <w:rPr>
          <w:spacing w:val="-1"/>
          <w:sz w:val="20"/>
        </w:rPr>
        <w:t> </w:t>
      </w:r>
      <w:r>
        <w:rPr>
          <w:sz w:val="20"/>
        </w:rPr>
        <w:t>communications</w:t>
      </w:r>
      <w:r>
        <w:rPr>
          <w:spacing w:val="-1"/>
          <w:sz w:val="20"/>
        </w:rPr>
        <w:t> </w:t>
      </w:r>
      <w:r>
        <w:rPr>
          <w:sz w:val="20"/>
        </w:rPr>
        <w:t>pursuant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Rule</w:t>
      </w:r>
      <w:r>
        <w:rPr>
          <w:spacing w:val="-1"/>
          <w:sz w:val="20"/>
        </w:rPr>
        <w:t> </w:t>
      </w:r>
      <w:r>
        <w:rPr>
          <w:sz w:val="20"/>
        </w:rPr>
        <w:t>14d-2(b)</w:t>
      </w:r>
      <w:r>
        <w:rPr>
          <w:spacing w:val="-1"/>
          <w:sz w:val="20"/>
        </w:rPr>
        <w:t> </w:t>
      </w:r>
      <w:r>
        <w:rPr>
          <w:sz w:val="20"/>
        </w:rPr>
        <w:t>under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Exchange</w:t>
      </w:r>
      <w:r>
        <w:rPr>
          <w:spacing w:val="-12"/>
          <w:sz w:val="20"/>
        </w:rPr>
        <w:t> </w:t>
      </w:r>
      <w:r>
        <w:rPr>
          <w:sz w:val="20"/>
        </w:rPr>
        <w:t>Act</w:t>
      </w:r>
      <w:r>
        <w:rPr>
          <w:spacing w:val="-1"/>
          <w:sz w:val="20"/>
        </w:rPr>
        <w:t> </w:t>
      </w:r>
      <w:r>
        <w:rPr>
          <w:sz w:val="20"/>
        </w:rPr>
        <w:t>(17</w:t>
      </w:r>
      <w:r>
        <w:rPr>
          <w:spacing w:val="-1"/>
          <w:sz w:val="20"/>
        </w:rPr>
        <w:t> </w:t>
      </w:r>
      <w:r>
        <w:rPr>
          <w:sz w:val="20"/>
        </w:rPr>
        <w:t>CFR</w:t>
      </w:r>
      <w:r>
        <w:rPr>
          <w:spacing w:val="-1"/>
          <w:sz w:val="20"/>
        </w:rPr>
        <w:t> </w:t>
      </w:r>
      <w:r>
        <w:rPr>
          <w:sz w:val="20"/>
        </w:rPr>
        <w:t>240.14d-</w:t>
      </w:r>
      <w:r>
        <w:rPr>
          <w:spacing w:val="-2"/>
          <w:sz w:val="20"/>
        </w:rPr>
        <w:t>2(b))</w:t>
      </w:r>
    </w:p>
    <w:p>
      <w:pPr>
        <w:pStyle w:val="ListParagraph"/>
        <w:numPr>
          <w:ilvl w:val="0"/>
          <w:numId w:val="1"/>
        </w:numPr>
        <w:tabs>
          <w:tab w:pos="522" w:val="left" w:leader="none"/>
          <w:tab w:pos="523" w:val="left" w:leader="none"/>
        </w:tabs>
        <w:spacing w:line="364" w:lineRule="auto" w:before="214" w:after="47"/>
        <w:ind w:left="100" w:right="1632" w:firstLine="19"/>
        <w:jc w:val="left"/>
        <w:rPr>
          <w:sz w:val="20"/>
        </w:rPr>
      </w:pPr>
      <w:r>
        <w:rPr>
          <w:sz w:val="20"/>
        </w:rPr>
        <w:t>Pre-commencement</w:t>
      </w:r>
      <w:r>
        <w:rPr>
          <w:spacing w:val="-5"/>
          <w:sz w:val="20"/>
        </w:rPr>
        <w:t> </w:t>
      </w:r>
      <w:r>
        <w:rPr>
          <w:sz w:val="20"/>
        </w:rPr>
        <w:t>communications</w:t>
      </w:r>
      <w:r>
        <w:rPr>
          <w:spacing w:val="-4"/>
          <w:sz w:val="20"/>
        </w:rPr>
        <w:t> </w:t>
      </w:r>
      <w:r>
        <w:rPr>
          <w:sz w:val="20"/>
        </w:rPr>
        <w:t>pursuant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Rule</w:t>
      </w:r>
      <w:r>
        <w:rPr>
          <w:spacing w:val="-4"/>
          <w:sz w:val="20"/>
        </w:rPr>
        <w:t> </w:t>
      </w:r>
      <w:r>
        <w:rPr>
          <w:sz w:val="20"/>
        </w:rPr>
        <w:t>13e-4(c)</w:t>
      </w:r>
      <w:r>
        <w:rPr>
          <w:spacing w:val="-4"/>
          <w:sz w:val="20"/>
        </w:rPr>
        <w:t> </w:t>
      </w:r>
      <w:r>
        <w:rPr>
          <w:sz w:val="20"/>
        </w:rPr>
        <w:t>under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Exchange</w:t>
      </w:r>
      <w:r>
        <w:rPr>
          <w:spacing w:val="-13"/>
          <w:sz w:val="20"/>
        </w:rPr>
        <w:t> </w:t>
      </w:r>
      <w:r>
        <w:rPr>
          <w:sz w:val="20"/>
        </w:rPr>
        <w:t>Act</w:t>
      </w:r>
      <w:r>
        <w:rPr>
          <w:spacing w:val="-3"/>
          <w:sz w:val="20"/>
        </w:rPr>
        <w:t> </w:t>
      </w:r>
      <w:r>
        <w:rPr>
          <w:sz w:val="20"/>
        </w:rPr>
        <w:t>(17</w:t>
      </w:r>
      <w:r>
        <w:rPr>
          <w:spacing w:val="-4"/>
          <w:sz w:val="20"/>
        </w:rPr>
        <w:t> </w:t>
      </w:r>
      <w:r>
        <w:rPr>
          <w:sz w:val="20"/>
        </w:rPr>
        <w:t>CFR</w:t>
      </w:r>
      <w:r>
        <w:rPr>
          <w:spacing w:val="-4"/>
          <w:sz w:val="20"/>
        </w:rPr>
        <w:t> </w:t>
      </w:r>
      <w:r>
        <w:rPr>
          <w:sz w:val="20"/>
        </w:rPr>
        <w:t>240.13e-4(c)) Securities registered pursuant to Section 12(b) of the Act:</w:t>
      </w:r>
    </w:p>
    <w:tbl>
      <w:tblPr>
        <w:tblW w:w="0" w:type="auto"/>
        <w:jc w:val="left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5"/>
        <w:gridCol w:w="2865"/>
        <w:gridCol w:w="4365"/>
      </w:tblGrid>
      <w:tr>
        <w:trPr>
          <w:trHeight w:val="255" w:hRule="atLeast"/>
        </w:trPr>
        <w:tc>
          <w:tcPr>
            <w:tcW w:w="3585" w:type="dxa"/>
          </w:tcPr>
          <w:p>
            <w:pPr>
              <w:pStyle w:val="TableParagraph"/>
              <w:ind w:left="1027" w:right="1013"/>
              <w:rPr>
                <w:b/>
                <w:sz w:val="20"/>
              </w:rPr>
            </w:pPr>
            <w:r>
              <w:rPr>
                <w:b/>
                <w:sz w:val="20"/>
              </w:rPr>
              <w:t>Title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each</w:t>
            </w:r>
            <w:r>
              <w:rPr>
                <w:b/>
                <w:spacing w:val="-2"/>
                <w:sz w:val="20"/>
              </w:rPr>
              <w:t> class</w:t>
            </w:r>
          </w:p>
        </w:tc>
        <w:tc>
          <w:tcPr>
            <w:tcW w:w="2865" w:type="dxa"/>
          </w:tcPr>
          <w:p>
            <w:pPr>
              <w:pStyle w:val="TableParagraph"/>
              <w:ind w:left="630" w:right="6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Trading Symbol(s)</w:t>
            </w:r>
          </w:p>
        </w:tc>
        <w:tc>
          <w:tcPr>
            <w:tcW w:w="43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each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exchange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which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registered</w:t>
            </w:r>
          </w:p>
        </w:tc>
      </w:tr>
      <w:tr>
        <w:trPr>
          <w:trHeight w:val="255" w:hRule="atLeast"/>
        </w:trPr>
        <w:tc>
          <w:tcPr>
            <w:tcW w:w="3585" w:type="dxa"/>
          </w:tcPr>
          <w:p>
            <w:pPr>
              <w:pStyle w:val="TableParagraph"/>
              <w:ind w:left="1027" w:right="1013"/>
              <w:rPr>
                <w:sz w:val="20"/>
              </w:rPr>
            </w:pPr>
            <w:r>
              <w:rPr>
                <w:sz w:val="20"/>
              </w:rPr>
              <w:t>Common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Stock</w:t>
            </w:r>
          </w:p>
        </w:tc>
        <w:tc>
          <w:tcPr>
            <w:tcW w:w="2865" w:type="dxa"/>
          </w:tcPr>
          <w:p>
            <w:pPr>
              <w:pStyle w:val="TableParagraph"/>
              <w:ind w:left="630" w:right="607"/>
              <w:rPr>
                <w:sz w:val="20"/>
              </w:rPr>
            </w:pPr>
            <w:r>
              <w:rPr>
                <w:spacing w:val="-4"/>
                <w:sz w:val="20"/>
              </w:rPr>
              <w:t>VREX</w:t>
            </w:r>
          </w:p>
        </w:tc>
        <w:tc>
          <w:tcPr>
            <w:tcW w:w="436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Nasdaq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Global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Select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Market</w:t>
            </w:r>
          </w:p>
        </w:tc>
      </w:tr>
    </w:tbl>
    <w:p>
      <w:pPr>
        <w:spacing w:line="218" w:lineRule="auto" w:before="168"/>
        <w:ind w:left="100" w:right="219" w:firstLine="0"/>
        <w:jc w:val="left"/>
        <w:rPr>
          <w:rFonts w:ascii="Segoe UI Symbol" w:hAnsi="Segoe UI Symbol"/>
          <w:sz w:val="19"/>
        </w:rPr>
      </w:pPr>
      <w:r>
        <w:rPr>
          <w:sz w:val="19"/>
        </w:rPr>
        <w:t>Indicate</w:t>
      </w:r>
      <w:r>
        <w:rPr>
          <w:spacing w:val="-2"/>
          <w:sz w:val="19"/>
        </w:rPr>
        <w:t> </w:t>
      </w:r>
      <w:r>
        <w:rPr>
          <w:sz w:val="19"/>
        </w:rPr>
        <w:t>by</w:t>
      </w:r>
      <w:r>
        <w:rPr>
          <w:spacing w:val="-2"/>
          <w:sz w:val="19"/>
        </w:rPr>
        <w:t> </w:t>
      </w:r>
      <w:r>
        <w:rPr>
          <w:sz w:val="19"/>
        </w:rPr>
        <w:t>check</w:t>
      </w:r>
      <w:r>
        <w:rPr>
          <w:spacing w:val="-2"/>
          <w:sz w:val="19"/>
        </w:rPr>
        <w:t> </w:t>
      </w:r>
      <w:r>
        <w:rPr>
          <w:sz w:val="19"/>
        </w:rPr>
        <w:t>mark</w:t>
      </w:r>
      <w:r>
        <w:rPr>
          <w:spacing w:val="-2"/>
          <w:sz w:val="19"/>
        </w:rPr>
        <w:t> </w:t>
      </w:r>
      <w:r>
        <w:rPr>
          <w:sz w:val="19"/>
        </w:rPr>
        <w:t>whether</w:t>
      </w:r>
      <w:r>
        <w:rPr>
          <w:spacing w:val="-2"/>
          <w:sz w:val="19"/>
        </w:rPr>
        <w:t> </w:t>
      </w:r>
      <w:r>
        <w:rPr>
          <w:sz w:val="19"/>
        </w:rPr>
        <w:t>the</w:t>
      </w:r>
      <w:r>
        <w:rPr>
          <w:spacing w:val="-2"/>
          <w:sz w:val="19"/>
        </w:rPr>
        <w:t> </w:t>
      </w:r>
      <w:r>
        <w:rPr>
          <w:sz w:val="19"/>
        </w:rPr>
        <w:t>registrant</w:t>
      </w:r>
      <w:r>
        <w:rPr>
          <w:spacing w:val="-2"/>
          <w:sz w:val="19"/>
        </w:rPr>
        <w:t> </w:t>
      </w:r>
      <w:r>
        <w:rPr>
          <w:sz w:val="19"/>
        </w:rPr>
        <w:t>is</w:t>
      </w:r>
      <w:r>
        <w:rPr>
          <w:spacing w:val="-2"/>
          <w:sz w:val="19"/>
        </w:rPr>
        <w:t> </w:t>
      </w:r>
      <w:r>
        <w:rPr>
          <w:sz w:val="19"/>
        </w:rPr>
        <w:t>an</w:t>
      </w:r>
      <w:r>
        <w:rPr>
          <w:spacing w:val="-2"/>
          <w:sz w:val="19"/>
        </w:rPr>
        <w:t> </w:t>
      </w:r>
      <w:r>
        <w:rPr>
          <w:sz w:val="19"/>
        </w:rPr>
        <w:t>emerging</w:t>
      </w:r>
      <w:r>
        <w:rPr>
          <w:spacing w:val="-2"/>
          <w:sz w:val="19"/>
        </w:rPr>
        <w:t> </w:t>
      </w:r>
      <w:r>
        <w:rPr>
          <w:sz w:val="19"/>
        </w:rPr>
        <w:t>growth</w:t>
      </w:r>
      <w:r>
        <w:rPr>
          <w:spacing w:val="-2"/>
          <w:sz w:val="19"/>
        </w:rPr>
        <w:t> </w:t>
      </w:r>
      <w:r>
        <w:rPr>
          <w:sz w:val="19"/>
        </w:rPr>
        <w:t>company</w:t>
      </w:r>
      <w:r>
        <w:rPr>
          <w:spacing w:val="-2"/>
          <w:sz w:val="19"/>
        </w:rPr>
        <w:t> </w:t>
      </w:r>
      <w:r>
        <w:rPr>
          <w:sz w:val="19"/>
        </w:rPr>
        <w:t>as</w:t>
      </w:r>
      <w:r>
        <w:rPr>
          <w:spacing w:val="-2"/>
          <w:sz w:val="19"/>
        </w:rPr>
        <w:t> </w:t>
      </w:r>
      <w:r>
        <w:rPr>
          <w:sz w:val="19"/>
        </w:rPr>
        <w:t>defined</w:t>
      </w:r>
      <w:r>
        <w:rPr>
          <w:spacing w:val="-2"/>
          <w:sz w:val="19"/>
        </w:rPr>
        <w:t> </w:t>
      </w:r>
      <w:r>
        <w:rPr>
          <w:sz w:val="19"/>
        </w:rPr>
        <w:t>in</w:t>
      </w:r>
      <w:r>
        <w:rPr>
          <w:spacing w:val="-2"/>
          <w:sz w:val="19"/>
        </w:rPr>
        <w:t> </w:t>
      </w:r>
      <w:r>
        <w:rPr>
          <w:sz w:val="19"/>
        </w:rPr>
        <w:t>Rule</w:t>
      </w:r>
      <w:r>
        <w:rPr>
          <w:spacing w:val="-2"/>
          <w:sz w:val="19"/>
        </w:rPr>
        <w:t> </w:t>
      </w:r>
      <w:r>
        <w:rPr>
          <w:sz w:val="19"/>
        </w:rPr>
        <w:t>405</w:t>
      </w:r>
      <w:r>
        <w:rPr>
          <w:spacing w:val="-2"/>
          <w:sz w:val="19"/>
        </w:rPr>
        <w:t> </w:t>
      </w:r>
      <w:r>
        <w:rPr>
          <w:sz w:val="19"/>
        </w:rPr>
        <w:t>of</w:t>
      </w:r>
      <w:r>
        <w:rPr>
          <w:spacing w:val="-2"/>
          <w:sz w:val="19"/>
        </w:rPr>
        <w:t> </w:t>
      </w:r>
      <w:r>
        <w:rPr>
          <w:sz w:val="19"/>
        </w:rPr>
        <w:t>the</w:t>
      </w:r>
      <w:r>
        <w:rPr>
          <w:spacing w:val="-2"/>
          <w:sz w:val="19"/>
        </w:rPr>
        <w:t> </w:t>
      </w:r>
      <w:r>
        <w:rPr>
          <w:sz w:val="19"/>
        </w:rPr>
        <w:t>Securities</w:t>
      </w:r>
      <w:r>
        <w:rPr>
          <w:spacing w:val="-12"/>
          <w:sz w:val="19"/>
        </w:rPr>
        <w:t> </w:t>
      </w:r>
      <w:r>
        <w:rPr>
          <w:sz w:val="19"/>
        </w:rPr>
        <w:t>Act</w:t>
      </w:r>
      <w:r>
        <w:rPr>
          <w:spacing w:val="-2"/>
          <w:sz w:val="19"/>
        </w:rPr>
        <w:t> </w:t>
      </w:r>
      <w:r>
        <w:rPr>
          <w:sz w:val="19"/>
        </w:rPr>
        <w:t>of</w:t>
      </w:r>
      <w:r>
        <w:rPr>
          <w:spacing w:val="-2"/>
          <w:sz w:val="19"/>
        </w:rPr>
        <w:t> </w:t>
      </w:r>
      <w:r>
        <w:rPr>
          <w:sz w:val="19"/>
        </w:rPr>
        <w:t>1933</w:t>
      </w:r>
      <w:r>
        <w:rPr>
          <w:spacing w:val="-2"/>
          <w:sz w:val="19"/>
        </w:rPr>
        <w:t> </w:t>
      </w:r>
      <w:r>
        <w:rPr>
          <w:sz w:val="19"/>
        </w:rPr>
        <w:t>or</w:t>
      </w:r>
      <w:r>
        <w:rPr>
          <w:spacing w:val="-2"/>
          <w:sz w:val="19"/>
        </w:rPr>
        <w:t> </w:t>
      </w:r>
      <w:r>
        <w:rPr>
          <w:sz w:val="19"/>
        </w:rPr>
        <w:t>Rule 12b - 2 of the Securities Exchange</w:t>
      </w:r>
      <w:r>
        <w:rPr>
          <w:spacing w:val="-2"/>
          <w:sz w:val="19"/>
        </w:rPr>
        <w:t> </w:t>
      </w:r>
      <w:r>
        <w:rPr>
          <w:sz w:val="19"/>
        </w:rPr>
        <w:t>Act of 1934. Emerging growth company </w:t>
      </w:r>
      <w:r>
        <w:rPr>
          <w:rFonts w:ascii="Segoe UI Symbol" w:hAnsi="Segoe UI Symbol"/>
          <w:sz w:val="19"/>
        </w:rPr>
        <w:t>☐</w:t>
      </w:r>
    </w:p>
    <w:p>
      <w:pPr>
        <w:spacing w:after="0" w:line="218" w:lineRule="auto"/>
        <w:jc w:val="left"/>
        <w:rPr>
          <w:rFonts w:ascii="Segoe UI Symbol" w:hAnsi="Segoe UI Symbol"/>
          <w:sz w:val="19"/>
        </w:rPr>
        <w:sectPr>
          <w:type w:val="continuous"/>
          <w:pgSz w:w="12240" w:h="15840"/>
          <w:pgMar w:top="1600" w:bottom="280" w:left="600" w:right="560"/>
        </w:sectPr>
      </w:pPr>
    </w:p>
    <w:p>
      <w:pPr>
        <w:spacing w:line="218" w:lineRule="auto" w:before="83"/>
        <w:ind w:left="100" w:right="219" w:firstLine="0"/>
        <w:jc w:val="left"/>
        <w:rPr>
          <w:rFonts w:ascii="Segoe UI Symbol" w:hAnsi="Segoe UI Symbol"/>
          <w:sz w:val="19"/>
        </w:rPr>
      </w:pPr>
      <w:r>
        <w:rPr>
          <w:sz w:val="19"/>
        </w:rPr>
        <w:t>If</w:t>
      </w:r>
      <w:r>
        <w:rPr>
          <w:spacing w:val="-3"/>
          <w:sz w:val="19"/>
        </w:rPr>
        <w:t> </w:t>
      </w:r>
      <w:r>
        <w:rPr>
          <w:sz w:val="19"/>
        </w:rPr>
        <w:t>an</w:t>
      </w:r>
      <w:r>
        <w:rPr>
          <w:spacing w:val="-3"/>
          <w:sz w:val="19"/>
        </w:rPr>
        <w:t> </w:t>
      </w:r>
      <w:r>
        <w:rPr>
          <w:sz w:val="19"/>
        </w:rPr>
        <w:t>emerging</w:t>
      </w:r>
      <w:r>
        <w:rPr>
          <w:spacing w:val="-3"/>
          <w:sz w:val="19"/>
        </w:rPr>
        <w:t> </w:t>
      </w:r>
      <w:r>
        <w:rPr>
          <w:sz w:val="19"/>
        </w:rPr>
        <w:t>growth</w:t>
      </w:r>
      <w:r>
        <w:rPr>
          <w:spacing w:val="-3"/>
          <w:sz w:val="19"/>
        </w:rPr>
        <w:t> </w:t>
      </w:r>
      <w:r>
        <w:rPr>
          <w:sz w:val="19"/>
        </w:rPr>
        <w:t>company,</w:t>
      </w:r>
      <w:r>
        <w:rPr>
          <w:spacing w:val="-3"/>
          <w:sz w:val="19"/>
        </w:rPr>
        <w:t> </w:t>
      </w:r>
      <w:r>
        <w:rPr>
          <w:sz w:val="19"/>
        </w:rPr>
        <w:t>indicate</w:t>
      </w:r>
      <w:r>
        <w:rPr>
          <w:spacing w:val="-3"/>
          <w:sz w:val="19"/>
        </w:rPr>
        <w:t> </w:t>
      </w:r>
      <w:r>
        <w:rPr>
          <w:sz w:val="19"/>
        </w:rPr>
        <w:t>by</w:t>
      </w:r>
      <w:r>
        <w:rPr>
          <w:spacing w:val="-3"/>
          <w:sz w:val="19"/>
        </w:rPr>
        <w:t> </w:t>
      </w:r>
      <w:r>
        <w:rPr>
          <w:sz w:val="19"/>
        </w:rPr>
        <w:t>check</w:t>
      </w:r>
      <w:r>
        <w:rPr>
          <w:spacing w:val="-3"/>
          <w:sz w:val="19"/>
        </w:rPr>
        <w:t> </w:t>
      </w:r>
      <w:r>
        <w:rPr>
          <w:sz w:val="19"/>
        </w:rPr>
        <w:t>mark</w:t>
      </w:r>
      <w:r>
        <w:rPr>
          <w:spacing w:val="-3"/>
          <w:sz w:val="19"/>
        </w:rPr>
        <w:t> </w:t>
      </w:r>
      <w:r>
        <w:rPr>
          <w:sz w:val="19"/>
        </w:rPr>
        <w:t>if</w:t>
      </w:r>
      <w:r>
        <w:rPr>
          <w:spacing w:val="-3"/>
          <w:sz w:val="19"/>
        </w:rPr>
        <w:t> </w:t>
      </w:r>
      <w:r>
        <w:rPr>
          <w:sz w:val="19"/>
        </w:rPr>
        <w:t>the</w:t>
      </w:r>
      <w:r>
        <w:rPr>
          <w:spacing w:val="-3"/>
          <w:sz w:val="19"/>
        </w:rPr>
        <w:t> </w:t>
      </w:r>
      <w:r>
        <w:rPr>
          <w:sz w:val="19"/>
        </w:rPr>
        <w:t>registrant</w:t>
      </w:r>
      <w:r>
        <w:rPr>
          <w:spacing w:val="-3"/>
          <w:sz w:val="19"/>
        </w:rPr>
        <w:t> </w:t>
      </w:r>
      <w:r>
        <w:rPr>
          <w:sz w:val="19"/>
        </w:rPr>
        <w:t>has</w:t>
      </w:r>
      <w:r>
        <w:rPr>
          <w:spacing w:val="-3"/>
          <w:sz w:val="19"/>
        </w:rPr>
        <w:t> </w:t>
      </w:r>
      <w:r>
        <w:rPr>
          <w:sz w:val="19"/>
        </w:rPr>
        <w:t>elected</w:t>
      </w:r>
      <w:r>
        <w:rPr>
          <w:spacing w:val="-3"/>
          <w:sz w:val="19"/>
        </w:rPr>
        <w:t> </w:t>
      </w:r>
      <w:r>
        <w:rPr>
          <w:sz w:val="19"/>
        </w:rPr>
        <w:t>not</w:t>
      </w:r>
      <w:r>
        <w:rPr>
          <w:spacing w:val="-3"/>
          <w:sz w:val="19"/>
        </w:rPr>
        <w:t> </w:t>
      </w:r>
      <w:r>
        <w:rPr>
          <w:sz w:val="19"/>
        </w:rPr>
        <w:t>to</w:t>
      </w:r>
      <w:r>
        <w:rPr>
          <w:spacing w:val="-3"/>
          <w:sz w:val="19"/>
        </w:rPr>
        <w:t> </w:t>
      </w:r>
      <w:r>
        <w:rPr>
          <w:sz w:val="19"/>
        </w:rPr>
        <w:t>use</w:t>
      </w:r>
      <w:r>
        <w:rPr>
          <w:spacing w:val="-3"/>
          <w:sz w:val="19"/>
        </w:rPr>
        <w:t> </w:t>
      </w:r>
      <w:r>
        <w:rPr>
          <w:sz w:val="19"/>
        </w:rPr>
        <w:t>the</w:t>
      </w:r>
      <w:r>
        <w:rPr>
          <w:spacing w:val="-3"/>
          <w:sz w:val="19"/>
        </w:rPr>
        <w:t> </w:t>
      </w:r>
      <w:r>
        <w:rPr>
          <w:sz w:val="19"/>
        </w:rPr>
        <w:t>extended</w:t>
      </w:r>
      <w:r>
        <w:rPr>
          <w:spacing w:val="-3"/>
          <w:sz w:val="19"/>
        </w:rPr>
        <w:t> </w:t>
      </w:r>
      <w:r>
        <w:rPr>
          <w:sz w:val="19"/>
        </w:rPr>
        <w:t>transition</w:t>
      </w:r>
      <w:r>
        <w:rPr>
          <w:spacing w:val="-3"/>
          <w:sz w:val="19"/>
        </w:rPr>
        <w:t> </w:t>
      </w:r>
      <w:r>
        <w:rPr>
          <w:sz w:val="19"/>
        </w:rPr>
        <w:t>period</w:t>
      </w:r>
      <w:r>
        <w:rPr>
          <w:spacing w:val="-3"/>
          <w:sz w:val="19"/>
        </w:rPr>
        <w:t> </w:t>
      </w:r>
      <w:r>
        <w:rPr>
          <w:sz w:val="19"/>
        </w:rPr>
        <w:t>for</w:t>
      </w:r>
      <w:r>
        <w:rPr>
          <w:spacing w:val="-3"/>
          <w:sz w:val="19"/>
        </w:rPr>
        <w:t> </w:t>
      </w:r>
      <w:r>
        <w:rPr>
          <w:sz w:val="19"/>
        </w:rPr>
        <w:t>complying with any new or revised financial accounting standards provided pursuant to Section 13(a) of the Exchange</w:t>
      </w:r>
      <w:r>
        <w:rPr>
          <w:spacing w:val="-4"/>
          <w:sz w:val="19"/>
        </w:rPr>
        <w:t> </w:t>
      </w:r>
      <w:r>
        <w:rPr>
          <w:sz w:val="19"/>
        </w:rPr>
        <w:t>Act. </w:t>
      </w:r>
      <w:r>
        <w:rPr>
          <w:rFonts w:ascii="Segoe UI Symbol" w:hAnsi="Segoe UI Symbol"/>
          <w:sz w:val="19"/>
        </w:rPr>
        <w:t>☐</w:t>
      </w:r>
    </w:p>
    <w:p>
      <w:pPr>
        <w:pStyle w:val="BodyText"/>
        <w:rPr>
          <w:rFonts w:ascii="Segoe UI Symbol"/>
        </w:rPr>
      </w:pPr>
    </w:p>
    <w:p>
      <w:pPr>
        <w:pStyle w:val="BodyText"/>
        <w:rPr>
          <w:rFonts w:ascii="Segoe UI Symbol"/>
        </w:rPr>
      </w:pPr>
    </w:p>
    <w:p>
      <w:pPr>
        <w:pStyle w:val="BodyText"/>
        <w:rPr>
          <w:rFonts w:ascii="Segoe UI Symbol"/>
        </w:rPr>
      </w:pPr>
    </w:p>
    <w:p>
      <w:pPr>
        <w:pStyle w:val="BodyText"/>
        <w:rPr>
          <w:rFonts w:ascii="Segoe UI Symbol"/>
        </w:rPr>
      </w:pPr>
    </w:p>
    <w:p>
      <w:pPr>
        <w:pStyle w:val="BodyText"/>
        <w:spacing w:before="2"/>
        <w:rPr>
          <w:rFonts w:ascii="Segoe UI Symbol"/>
          <w:sz w:val="13"/>
        </w:rPr>
      </w:pPr>
      <w:r>
        <w:rPr/>
        <w:pict>
          <v:group style="position:absolute;margin-left:35pt;margin-top:9.945508pt;width:543pt;height:1.5pt;mso-position-horizontal-relative:page;mso-position-vertical-relative:paragraph;z-index:-15726080;mso-wrap-distance-left:0;mso-wrap-distance-right:0" id="docshapegroup6" coordorigin="700,199" coordsize="10860,30">
            <v:rect style="position:absolute;left:700;top:198;width:10860;height:15" id="docshape7" filled="true" fillcolor="#999999" stroked="false">
              <v:fill type="solid"/>
            </v:rect>
            <v:shape style="position:absolute;left:700;top:198;width:10860;height:30" id="docshape8" coordorigin="700,199" coordsize="10860,30" path="m11560,199l11545,214,700,214,700,229,11545,229,11560,229,11560,214,11560,199xe" filled="true" fillcolor="#ededed" stroked="false">
              <v:path arrowok="t"/>
              <v:fill type="solid"/>
            </v:shape>
            <v:shape style="position:absolute;left:700;top:198;width:15;height:30" id="docshape9" coordorigin="700,199" coordsize="15,30" path="m700,229l700,199,715,199,715,214,700,229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spacing w:after="0"/>
        <w:rPr>
          <w:rFonts w:ascii="Segoe UI Symbol"/>
          <w:sz w:val="13"/>
        </w:rPr>
        <w:sectPr>
          <w:pgSz w:w="12240" w:h="15840"/>
          <w:pgMar w:top="500" w:bottom="280" w:left="600" w:right="560"/>
        </w:sectPr>
      </w:pPr>
    </w:p>
    <w:p>
      <w:pPr>
        <w:pStyle w:val="Heading2"/>
        <w:tabs>
          <w:tab w:pos="1428" w:val="left" w:leader="none"/>
        </w:tabs>
        <w:spacing w:before="78"/>
        <w:ind w:left="119"/>
      </w:pPr>
      <w:r>
        <w:rPr/>
        <w:t>Item</w:t>
      </w:r>
      <w:r>
        <w:rPr>
          <w:spacing w:val="-1"/>
        </w:rPr>
        <w:t> </w:t>
      </w:r>
      <w:r>
        <w:rPr>
          <w:spacing w:val="-4"/>
        </w:rPr>
        <w:t>2.02</w:t>
      </w:r>
      <w:r>
        <w:rPr/>
        <w:tab/>
        <w:t>Results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Operations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Financial</w:t>
      </w:r>
      <w:r>
        <w:rPr>
          <w:spacing w:val="-1"/>
        </w:rPr>
        <w:t> </w:t>
      </w:r>
      <w:r>
        <w:rPr>
          <w:spacing w:val="-2"/>
        </w:rPr>
        <w:t>Condition</w:t>
      </w:r>
    </w:p>
    <w:p>
      <w:pPr>
        <w:pStyle w:val="BodyText"/>
        <w:rPr>
          <w:b/>
          <w:sz w:val="22"/>
        </w:rPr>
      </w:pPr>
    </w:p>
    <w:p>
      <w:pPr>
        <w:pStyle w:val="BodyText"/>
        <w:spacing w:line="249" w:lineRule="auto" w:before="132"/>
        <w:ind w:left="100" w:firstLine="199"/>
      </w:pPr>
      <w:r>
        <w:rPr/>
        <w:t>On January 31, 2023, Varex Imaging Corporation (the “Company”) issued a press release announcing its preliminary results of operations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three</w:t>
      </w:r>
      <w:r>
        <w:rPr>
          <w:spacing w:val="-4"/>
        </w:rPr>
        <w:t> </w:t>
      </w:r>
      <w:r>
        <w:rPr/>
        <w:t>month</w:t>
      </w:r>
      <w:r>
        <w:rPr>
          <w:spacing w:val="-4"/>
        </w:rPr>
        <w:t> </w:t>
      </w:r>
      <w:r>
        <w:rPr/>
        <w:t>period</w:t>
      </w:r>
      <w:r>
        <w:rPr>
          <w:spacing w:val="-4"/>
        </w:rPr>
        <w:t> </w:t>
      </w:r>
      <w:r>
        <w:rPr/>
        <w:t>ended</w:t>
      </w:r>
      <w:r>
        <w:rPr>
          <w:spacing w:val="-4"/>
        </w:rPr>
        <w:t> </w:t>
      </w:r>
      <w:r>
        <w:rPr/>
        <w:t>December</w:t>
      </w:r>
      <w:r>
        <w:rPr>
          <w:spacing w:val="-4"/>
        </w:rPr>
        <w:t> </w:t>
      </w:r>
      <w:r>
        <w:rPr/>
        <w:t>30,</w:t>
      </w:r>
      <w:r>
        <w:rPr>
          <w:spacing w:val="-4"/>
        </w:rPr>
        <w:t> </w:t>
      </w:r>
      <w:r>
        <w:rPr/>
        <w:t>2022</w:t>
      </w:r>
      <w:r>
        <w:rPr>
          <w:spacing w:val="-4"/>
        </w:rPr>
        <w:t> </w:t>
      </w:r>
      <w:r>
        <w:rPr/>
        <w:t>entitled:</w:t>
      </w:r>
      <w:r>
        <w:rPr>
          <w:spacing w:val="-4"/>
        </w:rPr>
        <w:t> </w:t>
      </w:r>
      <w:r>
        <w:rPr/>
        <w:t>“Varex</w:t>
      </w:r>
      <w:r>
        <w:rPr>
          <w:spacing w:val="-13"/>
        </w:rPr>
        <w:t> </w:t>
      </w:r>
      <w:r>
        <w:rPr/>
        <w:t>Announces</w:t>
      </w:r>
      <w:r>
        <w:rPr>
          <w:spacing w:val="-4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Results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First</w:t>
      </w:r>
      <w:r>
        <w:rPr>
          <w:spacing w:val="-4"/>
        </w:rPr>
        <w:t> </w:t>
      </w:r>
      <w:r>
        <w:rPr/>
        <w:t>Quarter</w:t>
      </w:r>
      <w:r>
        <w:rPr>
          <w:spacing w:val="-4"/>
        </w:rPr>
        <w:t> </w:t>
      </w:r>
      <w:r>
        <w:rPr/>
        <w:t>Fiscal Year 2023.”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copy of the press release is furnished as Exhibit 99.1 and incorporated by reference into this item.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49" w:lineRule="auto"/>
        <w:ind w:left="100" w:right="219" w:firstLine="256"/>
      </w:pPr>
      <w:r>
        <w:rPr/>
        <w:t>This information shall not be deemed “filed” for purposes of Section 18 of the Exchange Act or incorporated by reference in </w:t>
      </w:r>
      <w:r>
        <w:rPr/>
        <w:t>any</w:t>
      </w:r>
      <w:r>
        <w:rPr>
          <w:spacing w:val="80"/>
        </w:rPr>
        <w:t> </w:t>
      </w:r>
      <w:r>
        <w:rPr/>
        <w:t>filing under the Securities</w:t>
      </w:r>
      <w:r>
        <w:rPr>
          <w:spacing w:val="-7"/>
        </w:rPr>
        <w:t> </w:t>
      </w:r>
      <w:r>
        <w:rPr/>
        <w:t>Act or the Exchange</w:t>
      </w:r>
      <w:r>
        <w:rPr>
          <w:spacing w:val="-7"/>
        </w:rPr>
        <w:t> </w:t>
      </w:r>
      <w:r>
        <w:rPr/>
        <w:t>Act, except as shall be expressly set forth by specific reference in such a filing.</w:t>
      </w:r>
    </w:p>
    <w:p>
      <w:pPr>
        <w:pStyle w:val="BodyText"/>
        <w:spacing w:before="6"/>
        <w:rPr>
          <w:sz w:val="27"/>
        </w:rPr>
      </w:pPr>
    </w:p>
    <w:p>
      <w:pPr>
        <w:pStyle w:val="Heading2"/>
        <w:tabs>
          <w:tab w:pos="1421" w:val="left" w:leader="none"/>
        </w:tabs>
        <w:ind w:left="119"/>
      </w:pPr>
      <w:r>
        <w:rPr/>
        <w:t>Item</w:t>
      </w:r>
      <w:r>
        <w:rPr>
          <w:spacing w:val="-1"/>
        </w:rPr>
        <w:t> </w:t>
      </w:r>
      <w:r>
        <w:rPr>
          <w:spacing w:val="-4"/>
        </w:rPr>
        <w:t>9.01</w:t>
      </w:r>
      <w:r>
        <w:rPr/>
        <w:tab/>
        <w:t>Financial</w:t>
      </w:r>
      <w:r>
        <w:rPr>
          <w:spacing w:val="-3"/>
        </w:rPr>
        <w:t> </w:t>
      </w:r>
      <w:r>
        <w:rPr/>
        <w:t>Statements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>
          <w:spacing w:val="-2"/>
        </w:rPr>
        <w:t>Exhibits</w:t>
      </w:r>
    </w:p>
    <w:p>
      <w:pPr>
        <w:pStyle w:val="BodyText"/>
        <w:tabs>
          <w:tab w:pos="783" w:val="left" w:leader="none"/>
        </w:tabs>
        <w:spacing w:before="115"/>
        <w:ind w:left="299"/>
      </w:pPr>
      <w:r>
        <w:rPr>
          <w:spacing w:val="-5"/>
        </w:rPr>
        <w:t>(d)</w:t>
      </w:r>
      <w:r>
        <w:rPr/>
        <w:tab/>
      </w:r>
      <w:r>
        <w:rPr>
          <w:spacing w:val="-2"/>
          <w:u w:val="single"/>
        </w:rPr>
        <w:t>Exhibits</w:t>
      </w:r>
    </w:p>
    <w:p>
      <w:pPr>
        <w:pStyle w:val="BodyText"/>
        <w:spacing w:before="4"/>
      </w:pPr>
    </w:p>
    <w:p>
      <w:pPr>
        <w:pStyle w:val="Heading2"/>
        <w:tabs>
          <w:tab w:pos="1426" w:val="left" w:leader="none"/>
        </w:tabs>
        <w:spacing w:before="91"/>
        <w:ind w:left="119"/>
      </w:pPr>
      <w:r>
        <w:rPr/>
        <w:pict>
          <v:rect style="position:absolute;margin-left:131.620605pt;margin-top:14.635968pt;width:19.12549pt;height:.75pt;mso-position-horizontal-relative:page;mso-position-vertical-relative:paragraph;z-index:15732224" id="docshape10" filled="true" fillcolor="#000000" stroked="false">
            <v:fill type="solid"/>
            <w10:wrap type="none"/>
          </v:rect>
        </w:pict>
      </w:r>
      <w:r>
        <w:rPr>
          <w:u w:val="single"/>
        </w:rPr>
        <w:t>Exhibit</w:t>
      </w:r>
      <w:r>
        <w:rPr>
          <w:spacing w:val="-1"/>
          <w:u w:val="single"/>
        </w:rPr>
        <w:t> </w:t>
      </w:r>
      <w:r>
        <w:rPr>
          <w:spacing w:val="-5"/>
          <w:u w:val="single"/>
        </w:rPr>
        <w:t>No.</w:t>
      </w:r>
      <w:r>
        <w:rPr/>
        <w:tab/>
      </w:r>
      <w:r>
        <w:rPr>
          <w:spacing w:val="-2"/>
          <w:u w:val="single"/>
        </w:rPr>
        <w:t>Descri</w:t>
      </w:r>
      <w:r>
        <w:rPr>
          <w:spacing w:val="-2"/>
        </w:rPr>
        <w:t>ption</w:t>
      </w:r>
    </w:p>
    <w:p>
      <w:pPr>
        <w:pStyle w:val="BodyText"/>
        <w:tabs>
          <w:tab w:pos="1426" w:val="left" w:leader="none"/>
        </w:tabs>
        <w:spacing w:line="204" w:lineRule="auto" w:before="53"/>
        <w:ind w:left="1426" w:right="684" w:hanging="1307"/>
      </w:pPr>
      <w:r>
        <w:rPr/>
        <w:pict>
          <v:shape style="position:absolute;margin-left:212.109009pt;margin-top:11.335522pt;width:263.150pt;height:.8pt;mso-position-horizontal-relative:page;mso-position-vertical-relative:paragraph;z-index:-15800832" id="docshape11" coordorigin="4242,227" coordsize="5263,16" path="m5025,227l4576,227,4242,227,4242,242,4576,242,5025,242,5025,227xm9505,227l9394,227,9394,227,9027,227,9027,227,5076,227,5076,242,9027,242,9027,242,9394,242,9394,242,9505,242,9505,227xe" filled="true" fillcolor="#0000ff" stroked="false">
            <v:path arrowok="t"/>
            <v:fill type="solid"/>
            <w10:wrap type="none"/>
          </v:shape>
        </w:pict>
      </w:r>
      <w:r>
        <w:rPr>
          <w:spacing w:val="-4"/>
        </w:rPr>
        <w:t>99.1</w:t>
      </w:r>
      <w:r>
        <w:rPr/>
        <w:tab/>
      </w:r>
      <w:hyperlink r:id="rId5">
        <w:r>
          <w:rPr>
            <w:color w:val="0000FF"/>
            <w:u w:val="single" w:color="0000FF"/>
          </w:rPr>
          <w:t>Press</w:t>
        </w:r>
        <w:r>
          <w:rPr>
            <w:color w:val="0000FF"/>
            <w:spacing w:val="-9"/>
            <w:u w:val="single" w:color="0000FF"/>
          </w:rPr>
          <w:t> </w:t>
        </w:r>
        <w:r>
          <w:rPr>
            <w:color w:val="0000FF"/>
            <w:u w:val="single" w:color="0000FF"/>
          </w:rPr>
          <w:t>Release</w:t>
        </w:r>
        <w:r>
          <w:rPr>
            <w:color w:val="0000FF"/>
            <w:spacing w:val="-6"/>
            <w:u w:val="single" w:color="0000FF"/>
          </w:rPr>
          <w:t> </w:t>
        </w:r>
        <w:r>
          <w:rPr>
            <w:color w:val="0000FF"/>
            <w:u w:val="single" w:color="0000FF"/>
          </w:rPr>
          <w:t>dated</w:t>
        </w:r>
        <w:r>
          <w:rPr>
            <w:color w:val="0000FF"/>
            <w:spacing w:val="-5"/>
            <w:u w:val="single" w:color="0000FF"/>
          </w:rPr>
          <w:t> </w:t>
        </w:r>
        <w:r>
          <w:rPr>
            <w:color w:val="0000FF"/>
            <w:u w:val="single" w:color="0000FF"/>
          </w:rPr>
          <w:t>Januar</w:t>
        </w:r>
        <w:r>
          <w:rPr>
            <w:color w:val="0000FF"/>
          </w:rPr>
          <w:t>y</w:t>
        </w:r>
        <w:r>
          <w:rPr>
            <w:color w:val="0000FF"/>
            <w:spacing w:val="-6"/>
          </w:rPr>
          <w:t> </w:t>
        </w:r>
        <w:r>
          <w:rPr>
            <w:color w:val="0000FF"/>
          </w:rPr>
          <w:t>31,</w:t>
        </w:r>
        <w:r>
          <w:rPr>
            <w:color w:val="0000FF"/>
            <w:spacing w:val="-6"/>
          </w:rPr>
          <w:t> </w:t>
        </w:r>
        <w:r>
          <w:rPr>
            <w:color w:val="0000FF"/>
          </w:rPr>
          <w:t>2023,</w:t>
        </w:r>
        <w:r>
          <w:rPr>
            <w:color w:val="0000FF"/>
            <w:spacing w:val="-6"/>
          </w:rPr>
          <w:t> </w:t>
        </w:r>
        <w:r>
          <w:rPr>
            <w:color w:val="0000FF"/>
          </w:rPr>
          <w:t>entitled</w:t>
        </w:r>
        <w:r>
          <w:rPr>
            <w:color w:val="0000FF"/>
            <w:spacing w:val="-6"/>
          </w:rPr>
          <w:t> </w:t>
        </w:r>
        <w:r>
          <w:rPr>
            <w:color w:val="0000FF"/>
          </w:rPr>
          <w:t>"Varex</w:t>
        </w:r>
        <w:r>
          <w:rPr>
            <w:color w:val="0000FF"/>
            <w:spacing w:val="-13"/>
          </w:rPr>
          <w:t> </w:t>
        </w:r>
        <w:r>
          <w:rPr>
            <w:color w:val="0000FF"/>
          </w:rPr>
          <w:t>Announces</w:t>
        </w:r>
        <w:r>
          <w:rPr>
            <w:color w:val="0000FF"/>
            <w:spacing w:val="-6"/>
          </w:rPr>
          <w:t> </w:t>
        </w:r>
        <w:r>
          <w:rPr>
            <w:color w:val="0000FF"/>
          </w:rPr>
          <w:t>Financial</w:t>
        </w:r>
        <w:r>
          <w:rPr>
            <w:color w:val="0000FF"/>
            <w:spacing w:val="-6"/>
          </w:rPr>
          <w:t> </w:t>
        </w:r>
        <w:r>
          <w:rPr>
            <w:color w:val="0000FF"/>
          </w:rPr>
          <w:t>Results</w:t>
        </w:r>
        <w:r>
          <w:rPr>
            <w:color w:val="0000FF"/>
            <w:spacing w:val="-6"/>
          </w:rPr>
          <w:t> </w:t>
        </w:r>
        <w:r>
          <w:rPr>
            <w:color w:val="0000FF"/>
          </w:rPr>
          <w:t>for</w:t>
        </w:r>
        <w:r>
          <w:rPr>
            <w:color w:val="0000FF"/>
            <w:spacing w:val="-5"/>
          </w:rPr>
          <w:t> </w:t>
        </w:r>
        <w:r>
          <w:rPr>
            <w:color w:val="0000FF"/>
          </w:rPr>
          <w:t>First</w:t>
        </w:r>
        <w:r>
          <w:rPr>
            <w:color w:val="0000FF"/>
            <w:spacing w:val="-5"/>
          </w:rPr>
          <w:t> </w:t>
        </w:r>
        <w:r>
          <w:rPr>
            <w:color w:val="0000FF"/>
          </w:rPr>
          <w:t>Q</w:t>
        </w:r>
        <w:r>
          <w:rPr>
            <w:color w:val="0000FF"/>
            <w:u w:val="single" w:color="0000FF"/>
          </w:rPr>
          <w:t>uarter</w:t>
        </w:r>
        <w:r>
          <w:rPr>
            <w:color w:val="0000FF"/>
            <w:spacing w:val="-6"/>
            <w:u w:val="single" w:color="0000FF"/>
          </w:rPr>
          <w:t> </w:t>
        </w:r>
        <w:r>
          <w:rPr>
            <w:color w:val="0000FF"/>
            <w:u w:val="single" w:color="0000FF"/>
          </w:rPr>
          <w:t>Fiscal</w:t>
        </w:r>
        <w:r>
          <w:rPr>
            <w:color w:val="0000FF"/>
            <w:spacing w:val="-13"/>
            <w:u w:val="single" w:color="0000FF"/>
          </w:rPr>
          <w:t> </w:t>
        </w:r>
        <w:r>
          <w:rPr>
            <w:color w:val="0000FF"/>
            <w:u w:val="single" w:color="0000FF"/>
          </w:rPr>
          <w:t>Year</w:t>
        </w:r>
        <w:r>
          <w:rPr>
            <w:color w:val="0000FF"/>
          </w:rPr>
          <w:t> </w:t>
        </w:r>
        <w:r>
          <w:rPr>
            <w:color w:val="0000FF"/>
            <w:spacing w:val="-4"/>
            <w:u w:val="single" w:color="0000FF"/>
          </w:rPr>
          <w:t>202</w:t>
        </w:r>
      </w:hyperlink>
      <w:hyperlink r:id="rId5">
        <w:r>
          <w:rPr>
            <w:color w:val="0000FF"/>
            <w:spacing w:val="-4"/>
            <w:u w:val="single" w:color="0000FF"/>
          </w:rPr>
          <w:t>3</w:t>
        </w:r>
      </w:hyperlink>
      <w:hyperlink r:id="rId5">
        <w:r>
          <w:rPr>
            <w:color w:val="0000FF"/>
            <w:spacing w:val="-4"/>
            <w:u w:val="single" w:color="0000FF"/>
          </w:rPr>
          <w:t>"</w:t>
        </w:r>
      </w:hyperlink>
    </w:p>
    <w:p>
      <w:pPr>
        <w:pStyle w:val="BodyText"/>
        <w:tabs>
          <w:tab w:pos="1426" w:val="left" w:leader="none"/>
        </w:tabs>
        <w:spacing w:before="46"/>
        <w:ind w:left="119"/>
      </w:pPr>
      <w:r>
        <w:rPr>
          <w:spacing w:val="-5"/>
        </w:rPr>
        <w:t>104</w:t>
      </w:r>
      <w:r>
        <w:rPr/>
        <w:tab/>
        <w:t>Cover</w:t>
      </w:r>
      <w:r>
        <w:rPr>
          <w:spacing w:val="-1"/>
        </w:rPr>
        <w:t> </w:t>
      </w:r>
      <w:r>
        <w:rPr/>
        <w:t>Page</w:t>
      </w:r>
      <w:r>
        <w:rPr>
          <w:spacing w:val="-1"/>
        </w:rPr>
        <w:t> </w:t>
      </w:r>
      <w:r>
        <w:rPr/>
        <w:t>Interactive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File</w:t>
      </w:r>
      <w:r>
        <w:rPr>
          <w:spacing w:val="-1"/>
        </w:rPr>
        <w:t> </w:t>
      </w:r>
      <w:r>
        <w:rPr/>
        <w:t>(embedded</w:t>
      </w:r>
      <w:r>
        <w:rPr>
          <w:spacing w:val="-1"/>
        </w:rPr>
        <w:t> </w:t>
      </w:r>
      <w:r>
        <w:rPr/>
        <w:t>within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Inline</w:t>
      </w:r>
      <w:r>
        <w:rPr>
          <w:spacing w:val="-1"/>
        </w:rPr>
        <w:t> </w:t>
      </w:r>
      <w:r>
        <w:rPr/>
        <w:t>XBRL</w:t>
      </w:r>
      <w:r>
        <w:rPr>
          <w:spacing w:val="-8"/>
        </w:rPr>
        <w:t> </w:t>
      </w:r>
      <w:r>
        <w:rPr>
          <w:spacing w:val="-2"/>
        </w:rPr>
        <w:t>document)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2"/>
        </w:rPr>
      </w:pPr>
      <w:r>
        <w:rPr/>
        <w:pict>
          <v:group style="position:absolute;margin-left:35pt;margin-top:14.348926pt;width:543pt;height:1.5pt;mso-position-horizontal-relative:page;mso-position-vertical-relative:paragraph;z-index:-15725568;mso-wrap-distance-left:0;mso-wrap-distance-right:0" id="docshapegroup12" coordorigin="700,287" coordsize="10860,30">
            <v:rect style="position:absolute;left:700;top:286;width:10860;height:15" id="docshape13" filled="true" fillcolor="#999999" stroked="false">
              <v:fill type="solid"/>
            </v:rect>
            <v:shape style="position:absolute;left:700;top:286;width:10860;height:30" id="docshape14" coordorigin="700,287" coordsize="10860,30" path="m11560,287l11545,302,700,302,700,317,11545,317,11560,317,11560,302,11560,287xe" filled="true" fillcolor="#ededed" stroked="false">
              <v:path arrowok="t"/>
              <v:fill type="solid"/>
            </v:shape>
            <v:shape style="position:absolute;left:700;top:286;width:15;height:30" id="docshape15" coordorigin="700,287" coordsize="15,30" path="m700,317l700,287,715,287,715,302,700,317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spacing w:after="0"/>
        <w:rPr>
          <w:sz w:val="22"/>
        </w:rPr>
        <w:sectPr>
          <w:pgSz w:w="12240" w:h="15840"/>
          <w:pgMar w:top="1560" w:bottom="280" w:left="600" w:right="560"/>
        </w:sectPr>
      </w:pPr>
    </w:p>
    <w:p>
      <w:pPr>
        <w:pStyle w:val="Heading2"/>
        <w:spacing w:before="68"/>
        <w:ind w:right="53"/>
        <w:jc w:val="center"/>
      </w:pPr>
      <w:r>
        <w:rPr>
          <w:spacing w:val="-2"/>
        </w:rPr>
        <w:t>SIGNATURES</w:t>
      </w:r>
    </w:p>
    <w:p>
      <w:pPr>
        <w:pStyle w:val="BodyText"/>
        <w:spacing w:before="4"/>
        <w:rPr>
          <w:b/>
          <w:sz w:val="24"/>
        </w:rPr>
      </w:pPr>
    </w:p>
    <w:p>
      <w:pPr>
        <w:pStyle w:val="BodyText"/>
        <w:spacing w:line="249" w:lineRule="auto"/>
        <w:ind w:left="100" w:firstLine="720"/>
      </w:pPr>
      <w:r>
        <w:rPr/>
        <w:t>Pursuant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requirements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Securities</w:t>
      </w:r>
      <w:r>
        <w:rPr>
          <w:spacing w:val="-2"/>
        </w:rPr>
        <w:t> </w:t>
      </w:r>
      <w:r>
        <w:rPr/>
        <w:t>Exchange</w:t>
      </w:r>
      <w:r>
        <w:rPr>
          <w:spacing w:val="-13"/>
        </w:rPr>
        <w:t> </w:t>
      </w:r>
      <w:r>
        <w:rPr/>
        <w:t>Act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1934,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Registrant</w:t>
      </w:r>
      <w:r>
        <w:rPr>
          <w:spacing w:val="-2"/>
        </w:rPr>
        <w:t> </w:t>
      </w:r>
      <w:r>
        <w:rPr/>
        <w:t>has</w:t>
      </w:r>
      <w:r>
        <w:rPr>
          <w:spacing w:val="-2"/>
        </w:rPr>
        <w:t> </w:t>
      </w:r>
      <w:r>
        <w:rPr/>
        <w:t>duly</w:t>
      </w:r>
      <w:r>
        <w:rPr>
          <w:spacing w:val="-2"/>
        </w:rPr>
        <w:t> </w:t>
      </w:r>
      <w:r>
        <w:rPr/>
        <w:t>caused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report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signed</w:t>
      </w:r>
      <w:r>
        <w:rPr>
          <w:spacing w:val="-2"/>
        </w:rPr>
        <w:t> </w:t>
      </w:r>
      <w:r>
        <w:rPr/>
        <w:t>on its behalf by the undersigned hereunto duly authorized.</w:t>
      </w:r>
    </w:p>
    <w:p>
      <w:pPr>
        <w:pStyle w:val="BodyText"/>
        <w:spacing w:before="6"/>
        <w:rPr>
          <w:sz w:val="27"/>
        </w:rPr>
      </w:pPr>
    </w:p>
    <w:p>
      <w:pPr>
        <w:pStyle w:val="Heading2"/>
        <w:ind w:left="5678"/>
      </w:pPr>
      <w:r>
        <w:rPr>
          <w:spacing w:val="-2"/>
        </w:rPr>
        <w:t>VAREX IMAGING CORPORATION</w:t>
      </w:r>
    </w:p>
    <w:p>
      <w:pPr>
        <w:pStyle w:val="BodyText"/>
        <w:spacing w:before="3"/>
        <w:rPr>
          <w:b/>
          <w:sz w:val="28"/>
        </w:rPr>
      </w:pPr>
    </w:p>
    <w:p>
      <w:pPr>
        <w:pStyle w:val="BodyText"/>
        <w:tabs>
          <w:tab w:pos="5349" w:val="left" w:leader="none"/>
        </w:tabs>
        <w:spacing w:line="280" w:lineRule="auto"/>
        <w:ind w:left="5678" w:right="3222" w:hanging="5551"/>
      </w:pPr>
      <w:r>
        <w:rPr/>
        <w:pict>
          <v:shape style="position:absolute;margin-left:366.825012pt;margin-top:10.086091pt;width:55.95pt;height:.75pt;mso-position-horizontal-relative:page;mso-position-vertical-relative:paragraph;z-index:15733248" id="docshape16" coordorigin="7337,202" coordsize="1119,15" path="m8455,202l8142,202,7337,202,7337,217,8142,217,8455,217,8455,202xe" filled="true" fillcolor="#000000" stroked="false">
            <v:path arrowok="t"/>
            <v:fill type="solid"/>
            <w10:wrap type="none"/>
          </v:shape>
        </w:pict>
      </w:r>
      <w:r>
        <w:rPr/>
        <w:t>Dated: January 31, 2023</w:t>
        <w:tab/>
        <w:t>By:</w:t>
      </w:r>
      <w:r>
        <w:rPr>
          <w:spacing w:val="-13"/>
        </w:rPr>
        <w:t> </w:t>
      </w:r>
      <w:r>
        <w:rPr>
          <w:u w:val="single"/>
        </w:rPr>
        <w:t>/s/</w:t>
      </w:r>
      <w:r>
        <w:rPr>
          <w:spacing w:val="-12"/>
          <w:u w:val="single"/>
        </w:rPr>
        <w:t> </w:t>
      </w:r>
      <w:r>
        <w:rPr>
          <w:u w:val="single"/>
        </w:rPr>
        <w:t>Kimberle</w:t>
      </w:r>
      <w:r>
        <w:rPr/>
        <w:t>y</w:t>
      </w:r>
      <w:r>
        <w:rPr>
          <w:spacing w:val="-13"/>
        </w:rPr>
        <w:t> </w:t>
      </w:r>
      <w:r>
        <w:rPr/>
        <w:t>E.</w:t>
      </w:r>
      <w:r>
        <w:rPr>
          <w:spacing w:val="-10"/>
        </w:rPr>
        <w:t> </w:t>
      </w:r>
      <w:r>
        <w:rPr/>
        <w:t>Honeysett Kimberley E. Honeysett</w:t>
      </w:r>
    </w:p>
    <w:p>
      <w:pPr>
        <w:pStyle w:val="BodyText"/>
        <w:spacing w:line="217" w:lineRule="exact"/>
        <w:ind w:left="5678"/>
      </w:pPr>
      <w:r>
        <w:rPr/>
        <w:t>Chief</w:t>
      </w:r>
      <w:r>
        <w:rPr>
          <w:spacing w:val="-5"/>
        </w:rPr>
        <w:t> </w:t>
      </w:r>
      <w:r>
        <w:rPr/>
        <w:t>Legal</w:t>
      </w:r>
      <w:r>
        <w:rPr>
          <w:spacing w:val="-3"/>
        </w:rPr>
        <w:t> </w:t>
      </w:r>
      <w:r>
        <w:rPr/>
        <w:t>Officer,</w:t>
      </w:r>
      <w:r>
        <w:rPr>
          <w:spacing w:val="-3"/>
        </w:rPr>
        <w:t> </w:t>
      </w:r>
      <w:r>
        <w:rPr/>
        <w:t>General</w:t>
      </w:r>
      <w:r>
        <w:rPr>
          <w:spacing w:val="-2"/>
        </w:rPr>
        <w:t> </w:t>
      </w:r>
      <w:r>
        <w:rPr/>
        <w:t>Counsel,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Corporate</w:t>
      </w:r>
      <w:r>
        <w:rPr>
          <w:spacing w:val="-2"/>
        </w:rPr>
        <w:t> Secretary</w:t>
      </w:r>
    </w:p>
    <w:sectPr>
      <w:pgSz w:w="12240" w:h="15840"/>
      <w:pgMar w:top="1360" w:bottom="280" w:left="60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egoe UI Symbol">
    <w:altName w:val="Segoe UI Symbo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☐"/>
      <w:lvlJc w:val="left"/>
      <w:pPr>
        <w:ind w:left="100" w:hanging="403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98" w:hanging="40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96" w:hanging="4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4" w:hanging="4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92" w:hanging="4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4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88" w:hanging="4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86" w:hanging="4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84" w:hanging="40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1"/>
      <w:ind w:left="35" w:right="53"/>
      <w:jc w:val="center"/>
      <w:outlineLvl w:val="1"/>
    </w:pPr>
    <w:rPr>
      <w:rFonts w:ascii="Times New Roman" w:hAnsi="Times New Roman" w:eastAsia="Times New Roman" w:cs="Times New Roman"/>
      <w:b/>
      <w:bCs/>
      <w:sz w:val="36"/>
      <w:szCs w:val="36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35"/>
      <w:outlineLvl w:val="2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0"/>
      <w:ind w:left="35" w:right="53"/>
      <w:jc w:val="center"/>
    </w:pPr>
    <w:rPr>
      <w:rFonts w:ascii="Times New Roman" w:hAnsi="Times New Roman" w:eastAsia="Times New Roman" w:cs="Times New Roman"/>
      <w:b/>
      <w:bCs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14"/>
      <w:ind w:left="522" w:hanging="404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" w:line="227" w:lineRule="exact"/>
      <w:ind w:left="318" w:right="295"/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sec.gov/Archives/edgar/data/1681622/000168162223000012/exhibit991-q123earningsrel.htm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2023-02-09T21:13:14Z</dcterms:created>
  <dcterms:modified xsi:type="dcterms:W3CDTF">2023-02-09T21:13:14Z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Mozilla/5.0 (Windows NT 10.0; Win64; x64) AppleWebKit/537.36 (KHTML, like Gecko) Chrome/110.0.0.0 Safari/537.36</vt:lpwstr>
  </property>
  <property fmtid="{D5CDD505-2E9C-101B-9397-08002B2CF9AE}" pid="4" name="LastSaved">
    <vt:filetime>2023-02-09T00:00:00Z</vt:filetime>
  </property>
  <property fmtid="{D5CDD505-2E9C-101B-9397-08002B2CF9AE}" pid="5" name="Producer">
    <vt:lpwstr>Skia/PDF m110</vt:lpwstr>
  </property>
</Properties>
</file>