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35" w:right="53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8"/>
        <w:ind w:left="35" w:right="53" w:firstLine="0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D.C.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20549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2198pt;width:227.5pt;height:.1pt;mso-position-horizontal-relative:page;mso-position-vertical-relative:paragraph;z-index:-15728640;mso-wrap-distance-left:0;mso-wrap-distance-right:0" id="docshape1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85"/>
      </w:pPr>
      <w:r>
        <w:rPr/>
        <w:t>FORM 8-</w:t>
      </w:r>
      <w:r>
        <w:rPr>
          <w:spacing w:val="-10"/>
        </w:rPr>
        <w:t>K</w:t>
      </w:r>
    </w:p>
    <w:p>
      <w:pPr>
        <w:pStyle w:val="BodyText"/>
        <w:spacing w:before="11"/>
        <w:rPr>
          <w:b/>
          <w:sz w:val="22"/>
        </w:rPr>
      </w:pPr>
      <w:r>
        <w:rPr/>
        <w:pict>
          <v:shape style="position:absolute;margin-left:194.269547pt;margin-top:14.417541pt;width:227.5pt;height:.1pt;mso-position-horizontal-relative:page;mso-position-vertical-relative:paragraph;z-index:-15728128;mso-wrap-distance-left:0;mso-wrap-distance-right:0" id="docshape2" coordorigin="3885,288" coordsize="4550,0" path="m3885,288l8435,288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before="9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Pursuant to Section 13 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15(d)</w:t>
      </w:r>
    </w:p>
    <w:p>
      <w:pPr>
        <w:spacing w:before="24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of the Securities Exchange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 of </w:t>
      </w:r>
      <w:r>
        <w:rPr>
          <w:b/>
          <w:spacing w:val="-4"/>
          <w:sz w:val="24"/>
        </w:rPr>
        <w:t>1934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5" w:right="53" w:firstLine="0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(Date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earliest event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reported): 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3,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21544pt;width:227.5pt;height:.1pt;mso-position-horizontal-relative:page;mso-position-vertical-relative:paragraph;z-index:-15727616;mso-wrap-distance-left:0;mso-wrap-distance-right:0" id="docshape3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pStyle w:val="Heading2"/>
        <w:spacing w:before="9"/>
        <w:ind w:right="53"/>
        <w:jc w:val="center"/>
      </w:pPr>
      <w:r>
        <w:rPr/>
        <w:t>(Exact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charter)</w:t>
      </w: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194.269547pt;margin-top:14.6692pt;width:227.5pt;height:.1pt;mso-position-horizontal-relative:page;mso-position-vertical-relative:paragraph;z-index:-15727104;mso-wrap-distance-left:0;mso-wrap-distance-right:0" id="docshape4" coordorigin="3885,293" coordsize="4550,0" path="m3885,293l8435,293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9"/>
        </w:rPr>
      </w:pPr>
    </w:p>
    <w:p>
      <w:pPr>
        <w:tabs>
          <w:tab w:pos="3260" w:val="left" w:leader="none"/>
          <w:tab w:pos="6489" w:val="left" w:leader="none"/>
        </w:tabs>
        <w:spacing w:before="91"/>
        <w:ind w:left="35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Delaware</w:t>
      </w:r>
      <w:r>
        <w:rPr>
          <w:b/>
          <w:sz w:val="20"/>
        </w:rPr>
        <w:tab/>
        <w:t>001-</w:t>
      </w:r>
      <w:r>
        <w:rPr>
          <w:b/>
          <w:spacing w:val="-2"/>
          <w:sz w:val="20"/>
        </w:rPr>
        <w:t>37860</w:t>
      </w:r>
      <w:r>
        <w:rPr>
          <w:sz w:val="20"/>
        </w:rPr>
        <w:tab/>
      </w:r>
      <w:r>
        <w:rPr>
          <w:b/>
          <w:sz w:val="20"/>
        </w:rPr>
        <w:t>81-</w:t>
      </w:r>
      <w:r>
        <w:rPr>
          <w:b/>
          <w:spacing w:val="-2"/>
          <w:sz w:val="20"/>
        </w:rPr>
        <w:t>3434516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600" w:bottom="280" w:left="600" w:right="560"/>
        </w:sectPr>
      </w:pPr>
    </w:p>
    <w:p>
      <w:pPr>
        <w:spacing w:before="78"/>
        <w:ind w:left="1255" w:right="0" w:firstLine="0"/>
        <w:jc w:val="left"/>
        <w:rPr>
          <w:b/>
          <w:sz w:val="16"/>
        </w:rPr>
      </w:pPr>
      <w:r>
        <w:rPr>
          <w:b/>
          <w:sz w:val="16"/>
        </w:rPr>
        <w:t>(State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jurisdiction</w:t>
      </w:r>
      <w:r>
        <w:rPr>
          <w:b/>
          <w:spacing w:val="-1"/>
          <w:sz w:val="16"/>
        </w:rPr>
        <w:t> </w:t>
      </w:r>
      <w:r>
        <w:rPr>
          <w:b/>
          <w:spacing w:val="-5"/>
          <w:sz w:val="16"/>
        </w:rPr>
        <w:t>of</w:t>
      </w:r>
    </w:p>
    <w:p>
      <w:pPr>
        <w:tabs>
          <w:tab w:pos="4577" w:val="left" w:leader="none"/>
        </w:tabs>
        <w:spacing w:before="26"/>
        <w:ind w:left="1209" w:right="0" w:firstLine="0"/>
        <w:jc w:val="left"/>
        <w:rPr>
          <w:b/>
          <w:sz w:val="16"/>
        </w:rPr>
      </w:pPr>
      <w:r>
        <w:rPr>
          <w:b/>
          <w:sz w:val="16"/>
        </w:rPr>
        <w:t>incorporation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organization)</w:t>
      </w:r>
      <w:r>
        <w:rPr>
          <w:b/>
          <w:sz w:val="16"/>
        </w:rPr>
        <w:tab/>
        <w:t>(Commission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File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Number)</w:t>
      </w:r>
    </w:p>
    <w:p>
      <w:pPr>
        <w:spacing w:line="273" w:lineRule="auto" w:before="78"/>
        <w:ind w:left="1209" w:right="1491" w:firstLine="215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(I.R.S.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Employer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Identification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Number)</w:t>
      </w:r>
    </w:p>
    <w:p>
      <w:pPr>
        <w:spacing w:after="0" w:line="273" w:lineRule="auto"/>
        <w:jc w:val="left"/>
        <w:rPr>
          <w:sz w:val="16"/>
        </w:rPr>
        <w:sectPr>
          <w:type w:val="continuous"/>
          <w:pgSz w:w="12240" w:h="15840"/>
          <w:pgMar w:top="1600" w:bottom="280" w:left="600" w:right="560"/>
          <w:cols w:num="2" w:equalWidth="0">
            <w:col w:w="6475" w:space="308"/>
            <w:col w:w="4297"/>
          </w:cols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2"/>
        <w:tabs>
          <w:tab w:pos="8534" w:val="left" w:leader="none"/>
        </w:tabs>
        <w:spacing w:before="97"/>
        <w:ind w:left="1164"/>
      </w:pPr>
      <w:r>
        <w:rPr/>
        <w:t>1678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Pioneer</w:t>
      </w:r>
      <w:r>
        <w:rPr>
          <w:spacing w:val="-5"/>
        </w:rPr>
        <w:t> </w:t>
      </w:r>
      <w:r>
        <w:rPr/>
        <w:t>Road,</w:t>
      </w:r>
      <w:r>
        <w:rPr>
          <w:spacing w:val="-2"/>
        </w:rPr>
        <w:t> </w:t>
      </w:r>
      <w:r>
        <w:rPr/>
        <w:t>Salt</w:t>
      </w:r>
      <w:r>
        <w:rPr>
          <w:spacing w:val="-2"/>
        </w:rPr>
        <w:t> </w:t>
      </w:r>
      <w:r>
        <w:rPr/>
        <w:t>Lake</w:t>
      </w:r>
      <w:r>
        <w:rPr>
          <w:spacing w:val="-3"/>
        </w:rPr>
        <w:t> </w:t>
      </w:r>
      <w:r>
        <w:rPr/>
        <w:t>City,</w:t>
      </w:r>
      <w:r>
        <w:rPr>
          <w:spacing w:val="-1"/>
        </w:rPr>
        <w:t> </w:t>
      </w:r>
      <w:r>
        <w:rPr>
          <w:spacing w:val="-4"/>
        </w:rPr>
        <w:t>Utah</w:t>
      </w:r>
      <w:r>
        <w:rPr>
          <w:b w:val="0"/>
        </w:rPr>
        <w:tab/>
      </w:r>
      <w:r>
        <w:rPr>
          <w:spacing w:val="-2"/>
          <w:position w:val="1"/>
        </w:rPr>
        <w:t>84104</w:t>
      </w:r>
    </w:p>
    <w:p>
      <w:pPr>
        <w:tabs>
          <w:tab w:pos="6489" w:val="left" w:leader="none"/>
        </w:tabs>
        <w:spacing w:before="47"/>
        <w:ind w:left="108" w:right="0" w:firstLine="0"/>
        <w:jc w:val="center"/>
        <w:rPr>
          <w:b/>
          <w:sz w:val="16"/>
        </w:rPr>
      </w:pPr>
      <w:r>
        <w:rPr>
          <w:b/>
          <w:sz w:val="16"/>
        </w:rPr>
        <w:t>(Address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principal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executive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offices)</w:t>
      </w:r>
      <w:r>
        <w:rPr>
          <w:b/>
          <w:sz w:val="16"/>
        </w:rPr>
        <w:tab/>
        <w:t>(Zip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Code)</w:t>
      </w:r>
    </w:p>
    <w:p>
      <w:pPr>
        <w:pStyle w:val="Heading2"/>
        <w:spacing w:line="480" w:lineRule="atLeast" w:before="39"/>
        <w:ind w:left="2656" w:right="2674"/>
        <w:jc w:val="center"/>
      </w:pPr>
      <w:r>
        <w:rPr/>
        <w:t>Registrant’s</w:t>
      </w:r>
      <w:r>
        <w:rPr>
          <w:spacing w:val="-10"/>
        </w:rPr>
        <w:t> </w:t>
      </w:r>
      <w:r>
        <w:rPr/>
        <w:t>telephone</w:t>
      </w:r>
      <w:r>
        <w:rPr>
          <w:spacing w:val="-10"/>
        </w:rPr>
        <w:t> </w:t>
      </w:r>
      <w:r>
        <w:rPr/>
        <w:t>number,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code:</w:t>
      </w:r>
      <w:r>
        <w:rPr>
          <w:spacing w:val="-10"/>
        </w:rPr>
        <w:t> </w:t>
      </w:r>
      <w:r>
        <w:rPr/>
        <w:t>(801)</w:t>
      </w:r>
      <w:r>
        <w:rPr>
          <w:spacing w:val="-9"/>
        </w:rPr>
        <w:t> </w:t>
      </w:r>
      <w:r>
        <w:rPr/>
        <w:t>972-5000 Not</w:t>
      </w:r>
      <w:r>
        <w:rPr>
          <w:spacing w:val="-13"/>
        </w:rPr>
        <w:t> </w:t>
      </w:r>
      <w:r>
        <w:rPr/>
        <w:t>Applicable</w:t>
      </w:r>
    </w:p>
    <w:p>
      <w:pPr>
        <w:spacing w:before="2"/>
        <w:ind w:left="35" w:right="53" w:firstLine="0"/>
        <w:jc w:val="center"/>
        <w:rPr>
          <w:b/>
          <w:sz w:val="16"/>
        </w:rPr>
      </w:pPr>
      <w:r>
        <w:rPr>
          <w:b/>
          <w:sz w:val="16"/>
        </w:rPr>
        <w:t>(Former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address,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report)</w:t>
      </w:r>
    </w:p>
    <w:p>
      <w:pPr>
        <w:pStyle w:val="BodyText"/>
        <w:spacing w:before="1"/>
        <w:rPr>
          <w:b/>
          <w:sz w:val="24"/>
        </w:rPr>
      </w:pPr>
      <w:r>
        <w:rPr/>
        <w:pict>
          <v:shape style="position:absolute;margin-left:194.269547pt;margin-top:15.096153pt;width:227.5pt;height:.1pt;mso-position-horizontal-relative:page;mso-position-vertical-relative:paragraph;z-index:-15726592;mso-wrap-distance-left:0;mso-wrap-distance-right:0" id="docshape5" coordorigin="3885,302" coordsize="4550,0" path="m3885,302l8435,302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49" w:lineRule="auto" w:before="91"/>
        <w:ind w:left="100" w:right="219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8-K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 under any of the following provisions (see General Instruction A.2. below):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38" w:after="0"/>
        <w:ind w:left="522" w:right="0" w:hanging="404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(17</w:t>
      </w:r>
      <w:r>
        <w:rPr>
          <w:spacing w:val="-2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230.425)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69" w:after="0"/>
        <w:ind w:left="522" w:right="0" w:hanging="404"/>
        <w:jc w:val="left"/>
        <w:rPr>
          <w:sz w:val="20"/>
        </w:rPr>
      </w:pPr>
      <w:r>
        <w:rPr>
          <w:sz w:val="20"/>
        </w:rPr>
        <w:t>Soliciting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14a-12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240.14a-</w:t>
      </w:r>
      <w:r>
        <w:rPr>
          <w:spacing w:val="-5"/>
          <w:sz w:val="20"/>
        </w:rPr>
        <w:t>12)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214" w:after="0"/>
        <w:ind w:left="522" w:right="0" w:hanging="404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1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14d-2(b)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240.14d-</w:t>
      </w:r>
      <w:r>
        <w:rPr>
          <w:spacing w:val="-2"/>
          <w:sz w:val="20"/>
        </w:rPr>
        <w:t>2(b))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364" w:lineRule="auto" w:before="214" w:after="47"/>
        <w:ind w:left="100" w:right="1632" w:firstLine="19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4"/>
          <w:sz w:val="20"/>
        </w:rPr>
        <w:t> </w:t>
      </w:r>
      <w:r>
        <w:rPr>
          <w:sz w:val="20"/>
        </w:rPr>
        <w:t>13e-4(c)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(17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240.13e-4(c)) Securities registered pursuant to Section 12(b) of the Act:</w:t>
      </w: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2865"/>
        <w:gridCol w:w="4365"/>
      </w:tblGrid>
      <w:tr>
        <w:trPr>
          <w:trHeight w:val="255" w:hRule="atLeast"/>
        </w:trPr>
        <w:tc>
          <w:tcPr>
            <w:tcW w:w="3585" w:type="dxa"/>
          </w:tcPr>
          <w:p>
            <w:pPr>
              <w:pStyle w:val="TableParagraph"/>
              <w:ind w:left="1027" w:right="1013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class</w:t>
            </w:r>
          </w:p>
        </w:tc>
        <w:tc>
          <w:tcPr>
            <w:tcW w:w="2865" w:type="dxa"/>
          </w:tcPr>
          <w:p>
            <w:pPr>
              <w:pStyle w:val="TableParagraph"/>
              <w:ind w:left="630" w:right="6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Trading Symbol(s)</w:t>
            </w:r>
          </w:p>
        </w:tc>
        <w:tc>
          <w:tcPr>
            <w:tcW w:w="4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registered</w:t>
            </w:r>
          </w:p>
        </w:tc>
      </w:tr>
      <w:tr>
        <w:trPr>
          <w:trHeight w:val="255" w:hRule="atLeast"/>
        </w:trPr>
        <w:tc>
          <w:tcPr>
            <w:tcW w:w="3585" w:type="dxa"/>
          </w:tcPr>
          <w:p>
            <w:pPr>
              <w:pStyle w:val="TableParagraph"/>
              <w:ind w:left="1027" w:right="1013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865" w:type="dxa"/>
          </w:tcPr>
          <w:p>
            <w:pPr>
              <w:pStyle w:val="TableParagraph"/>
              <w:ind w:left="630" w:right="607"/>
              <w:rPr>
                <w:sz w:val="20"/>
              </w:rPr>
            </w:pPr>
            <w:r>
              <w:rPr>
                <w:spacing w:val="-4"/>
                <w:sz w:val="20"/>
              </w:rPr>
              <w:t>VREX</w:t>
            </w:r>
          </w:p>
        </w:tc>
        <w:tc>
          <w:tcPr>
            <w:tcW w:w="4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Nasdaq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Market</w:t>
            </w:r>
          </w:p>
        </w:tc>
      </w:tr>
    </w:tbl>
    <w:p>
      <w:pPr>
        <w:spacing w:line="218" w:lineRule="auto" w:before="168"/>
        <w:ind w:left="100" w:right="21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Indicate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check</w:t>
      </w:r>
      <w:r>
        <w:rPr>
          <w:spacing w:val="-2"/>
          <w:sz w:val="19"/>
        </w:rPr>
        <w:t> </w:t>
      </w:r>
      <w:r>
        <w:rPr>
          <w:sz w:val="19"/>
        </w:rPr>
        <w:t>mark</w:t>
      </w:r>
      <w:r>
        <w:rPr>
          <w:spacing w:val="-2"/>
          <w:sz w:val="19"/>
        </w:rPr>
        <w:t> </w:t>
      </w:r>
      <w:r>
        <w:rPr>
          <w:sz w:val="19"/>
        </w:rPr>
        <w:t>whether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registrant</w:t>
      </w:r>
      <w:r>
        <w:rPr>
          <w:spacing w:val="-2"/>
          <w:sz w:val="19"/>
        </w:rPr>
        <w:t> </w:t>
      </w:r>
      <w:r>
        <w:rPr>
          <w:sz w:val="19"/>
        </w:rPr>
        <w:t>is</w:t>
      </w:r>
      <w:r>
        <w:rPr>
          <w:spacing w:val="-2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emerging</w:t>
      </w:r>
      <w:r>
        <w:rPr>
          <w:spacing w:val="-2"/>
          <w:sz w:val="19"/>
        </w:rPr>
        <w:t> </w:t>
      </w:r>
      <w:r>
        <w:rPr>
          <w:sz w:val="19"/>
        </w:rPr>
        <w:t>growth</w:t>
      </w:r>
      <w:r>
        <w:rPr>
          <w:spacing w:val="-2"/>
          <w:sz w:val="19"/>
        </w:rPr>
        <w:t> </w:t>
      </w:r>
      <w:r>
        <w:rPr>
          <w:sz w:val="19"/>
        </w:rPr>
        <w:t>company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defined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Rule</w:t>
      </w:r>
      <w:r>
        <w:rPr>
          <w:spacing w:val="-2"/>
          <w:sz w:val="19"/>
        </w:rPr>
        <w:t> </w:t>
      </w:r>
      <w:r>
        <w:rPr>
          <w:sz w:val="19"/>
        </w:rPr>
        <w:t>405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Securities</w:t>
      </w:r>
      <w:r>
        <w:rPr>
          <w:spacing w:val="-12"/>
          <w:sz w:val="19"/>
        </w:rPr>
        <w:t> </w:t>
      </w:r>
      <w:r>
        <w:rPr>
          <w:sz w:val="19"/>
        </w:rPr>
        <w:t>Act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1933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Rule 12b - 2 of the Securities Exchange</w:t>
      </w:r>
      <w:r>
        <w:rPr>
          <w:spacing w:val="-2"/>
          <w:sz w:val="19"/>
        </w:rPr>
        <w:t> </w:t>
      </w:r>
      <w:r>
        <w:rPr>
          <w:sz w:val="19"/>
        </w:rPr>
        <w:t>Act of 1934. Emerging growth company </w:t>
      </w:r>
      <w:r>
        <w:rPr>
          <w:rFonts w:ascii="Segoe UI Symbol" w:hAnsi="Segoe UI Symbol"/>
          <w:sz w:val="19"/>
        </w:rPr>
        <w:t>☐</w:t>
      </w:r>
    </w:p>
    <w:p>
      <w:pPr>
        <w:spacing w:after="0" w:line="218" w:lineRule="auto"/>
        <w:jc w:val="left"/>
        <w:rPr>
          <w:rFonts w:ascii="Segoe UI Symbol" w:hAnsi="Segoe UI Symbol"/>
          <w:sz w:val="19"/>
        </w:rPr>
        <w:sectPr>
          <w:type w:val="continuous"/>
          <w:pgSz w:w="12240" w:h="15840"/>
          <w:pgMar w:top="1600" w:bottom="280" w:left="600" w:right="560"/>
        </w:sectPr>
      </w:pPr>
    </w:p>
    <w:p>
      <w:pPr>
        <w:spacing w:line="218" w:lineRule="auto" w:before="83"/>
        <w:ind w:left="100" w:right="21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emerging</w:t>
      </w:r>
      <w:r>
        <w:rPr>
          <w:spacing w:val="-3"/>
          <w:sz w:val="19"/>
        </w:rPr>
        <w:t> </w:t>
      </w:r>
      <w:r>
        <w:rPr>
          <w:sz w:val="19"/>
        </w:rPr>
        <w:t>growth</w:t>
      </w:r>
      <w:r>
        <w:rPr>
          <w:spacing w:val="-3"/>
          <w:sz w:val="19"/>
        </w:rPr>
        <w:t> </w:t>
      </w:r>
      <w:r>
        <w:rPr>
          <w:sz w:val="19"/>
        </w:rPr>
        <w:t>company,</w:t>
      </w:r>
      <w:r>
        <w:rPr>
          <w:spacing w:val="-3"/>
          <w:sz w:val="19"/>
        </w:rPr>
        <w:t> </w:t>
      </w:r>
      <w:r>
        <w:rPr>
          <w:sz w:val="19"/>
        </w:rPr>
        <w:t>indicate</w:t>
      </w:r>
      <w:r>
        <w:rPr>
          <w:spacing w:val="-3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check</w:t>
      </w:r>
      <w:r>
        <w:rPr>
          <w:spacing w:val="-3"/>
          <w:sz w:val="19"/>
        </w:rPr>
        <w:t> </w:t>
      </w:r>
      <w:r>
        <w:rPr>
          <w:sz w:val="19"/>
        </w:rPr>
        <w:t>mark</w:t>
      </w:r>
      <w:r>
        <w:rPr>
          <w:spacing w:val="-3"/>
          <w:sz w:val="19"/>
        </w:rPr>
        <w:t> </w:t>
      </w: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registrant</w:t>
      </w:r>
      <w:r>
        <w:rPr>
          <w:spacing w:val="-3"/>
          <w:sz w:val="19"/>
        </w:rPr>
        <w:t> </w:t>
      </w:r>
      <w:r>
        <w:rPr>
          <w:sz w:val="19"/>
        </w:rPr>
        <w:t>has</w:t>
      </w:r>
      <w:r>
        <w:rPr>
          <w:spacing w:val="-3"/>
          <w:sz w:val="19"/>
        </w:rPr>
        <w:t> </w:t>
      </w:r>
      <w:r>
        <w:rPr>
          <w:sz w:val="19"/>
        </w:rPr>
        <w:t>elected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extended</w:t>
      </w:r>
      <w:r>
        <w:rPr>
          <w:spacing w:val="-3"/>
          <w:sz w:val="19"/>
        </w:rPr>
        <w:t> </w:t>
      </w:r>
      <w:r>
        <w:rPr>
          <w:sz w:val="19"/>
        </w:rPr>
        <w:t>transition</w:t>
      </w:r>
      <w:r>
        <w:rPr>
          <w:spacing w:val="-3"/>
          <w:sz w:val="19"/>
        </w:rPr>
        <w:t> </w:t>
      </w:r>
      <w:r>
        <w:rPr>
          <w:sz w:val="19"/>
        </w:rPr>
        <w:t>period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complying with any new or revised financial accounting standards provided pursuant to Section 13(a) of the Exchange</w:t>
      </w:r>
      <w:r>
        <w:rPr>
          <w:spacing w:val="-4"/>
          <w:sz w:val="19"/>
        </w:rPr>
        <w:t> </w:t>
      </w:r>
      <w:r>
        <w:rPr>
          <w:sz w:val="19"/>
        </w:rPr>
        <w:t>Act. </w:t>
      </w:r>
      <w:r>
        <w:rPr>
          <w:rFonts w:ascii="Segoe UI Symbol" w:hAnsi="Segoe UI Symbol"/>
          <w:sz w:val="19"/>
        </w:rPr>
        <w:t>☐</w: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2"/>
        <w:rPr>
          <w:rFonts w:ascii="Segoe UI Symbol"/>
          <w:sz w:val="13"/>
        </w:rPr>
      </w:pPr>
      <w:r>
        <w:rPr/>
        <w:pict>
          <v:group style="position:absolute;margin-left:35pt;margin-top:9.945508pt;width:543pt;height:1.5pt;mso-position-horizontal-relative:page;mso-position-vertical-relative:paragraph;z-index:-15726080;mso-wrap-distance-left:0;mso-wrap-distance-right:0" id="docshapegroup6" coordorigin="700,199" coordsize="10860,30">
            <v:rect style="position:absolute;left:700;top:198;width:10860;height:15" id="docshape7" filled="true" fillcolor="#999999" stroked="false">
              <v:fill type="solid"/>
            </v:rect>
            <v:shape style="position:absolute;left:700;top:198;width:10860;height:30" id="docshape8" coordorigin="700,199" coordsize="10860,30" path="m11560,199l11545,214,700,214,700,229,11545,229,11560,229,11560,214,11560,199xe" filled="true" fillcolor="#ededed" stroked="false">
              <v:path arrowok="t"/>
              <v:fill type="solid"/>
            </v:shape>
            <v:shape style="position:absolute;left:700;top:198;width:15;height:30" id="docshape9" coordorigin="700,199" coordsize="15,30" path="m700,229l700,199,715,199,715,214,700,22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Segoe UI Symbol"/>
          <w:sz w:val="13"/>
        </w:rPr>
        <w:sectPr>
          <w:pgSz w:w="12240" w:h="15840"/>
          <w:pgMar w:top="500" w:bottom="280" w:left="600" w:right="560"/>
        </w:sectPr>
      </w:pPr>
    </w:p>
    <w:p>
      <w:pPr>
        <w:pStyle w:val="Heading2"/>
        <w:tabs>
          <w:tab w:pos="1428" w:val="left" w:leader="none"/>
        </w:tabs>
        <w:spacing w:before="78"/>
        <w:ind w:left="119"/>
      </w:pPr>
      <w:r>
        <w:rPr/>
        <w:t>Item</w:t>
      </w:r>
      <w:r>
        <w:rPr>
          <w:spacing w:val="-1"/>
        </w:rPr>
        <w:t> </w:t>
      </w:r>
      <w:r>
        <w:rPr>
          <w:spacing w:val="-4"/>
        </w:rPr>
        <w:t>2.02</w:t>
      </w:r>
      <w:r>
        <w:rPr/>
        <w:tab/>
        <w:t>Results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>
          <w:spacing w:val="-2"/>
        </w:rPr>
        <w:t>Condition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3" w:lineRule="auto" w:before="132"/>
        <w:ind w:left="100" w:right="153" w:firstLine="199"/>
      </w:pPr>
      <w:r>
        <w:rPr/>
        <w:t>On May 3, 2022, Varex Imaging Corporation (the “Company”) issued a press release announcing its preliminary results of operations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month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ended</w:t>
      </w:r>
      <w:r>
        <w:rPr>
          <w:spacing w:val="-13"/>
        </w:rPr>
        <w:t> </w:t>
      </w:r>
      <w:r>
        <w:rPr/>
        <w:t>April</w:t>
      </w:r>
      <w:r>
        <w:rPr>
          <w:spacing w:val="-4"/>
        </w:rPr>
        <w:t> </w:t>
      </w:r>
      <w:r>
        <w:rPr/>
        <w:t>1,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entitled:</w:t>
      </w:r>
      <w:r>
        <w:rPr>
          <w:spacing w:val="-5"/>
        </w:rPr>
        <w:t> </w:t>
      </w:r>
      <w:r>
        <w:rPr/>
        <w:t>“Varex</w:t>
      </w:r>
      <w:r>
        <w:rPr>
          <w:spacing w:val="-13"/>
        </w:rPr>
        <w:t> </w:t>
      </w:r>
      <w:r>
        <w:rPr/>
        <w:t>Announces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Quarter</w:t>
      </w:r>
      <w:r>
        <w:rPr>
          <w:spacing w:val="-5"/>
        </w:rPr>
        <w:t> </w:t>
      </w:r>
      <w:r>
        <w:rPr/>
        <w:t>Fiscal</w:t>
      </w:r>
      <w:r>
        <w:rPr>
          <w:spacing w:val="-11"/>
        </w:rPr>
        <w:t> </w:t>
      </w:r>
      <w:r>
        <w:rPr/>
        <w:t>Year 2022.” A</w:t>
      </w:r>
      <w:r>
        <w:rPr>
          <w:spacing w:val="-6"/>
        </w:rPr>
        <w:t> </w:t>
      </w:r>
      <w:r>
        <w:rPr/>
        <w:t>copy of the press release is furnished as Exhibit 99.1 and incorporated by reference into this item.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100" w:right="219" w:firstLine="256"/>
      </w:pPr>
      <w:r>
        <w:rPr/>
        <w:t>This information shall not be deemed “filed” for purposes of Section 18 of the Exchange Act or incorporated by reference in </w:t>
      </w:r>
      <w:r>
        <w:rPr/>
        <w:t>any</w:t>
      </w:r>
      <w:r>
        <w:rPr>
          <w:spacing w:val="80"/>
        </w:rPr>
        <w:t> </w:t>
      </w:r>
      <w:r>
        <w:rPr/>
        <w:t>filing under the Securities</w:t>
      </w:r>
      <w:r>
        <w:rPr>
          <w:spacing w:val="-7"/>
        </w:rPr>
        <w:t> </w:t>
      </w:r>
      <w:r>
        <w:rPr/>
        <w:t>Act or the Exchange</w:t>
      </w:r>
      <w:r>
        <w:rPr>
          <w:spacing w:val="-7"/>
        </w:rPr>
        <w:t> </w:t>
      </w:r>
      <w:r>
        <w:rPr/>
        <w:t>Act, except as shall be expressly set forth by specific reference in such a filing.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tabs>
          <w:tab w:pos="1421" w:val="left" w:leader="none"/>
        </w:tabs>
        <w:ind w:left="119"/>
      </w:pPr>
      <w:r>
        <w:rPr/>
        <w:t>Item</w:t>
      </w:r>
      <w:r>
        <w:rPr>
          <w:spacing w:val="-1"/>
        </w:rPr>
        <w:t> </w:t>
      </w:r>
      <w:r>
        <w:rPr>
          <w:spacing w:val="-4"/>
        </w:rPr>
        <w:t>9.01</w:t>
      </w:r>
      <w:r>
        <w:rPr/>
        <w:tab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Exhibits</w:t>
      </w:r>
    </w:p>
    <w:p>
      <w:pPr>
        <w:pStyle w:val="BodyText"/>
        <w:tabs>
          <w:tab w:pos="783" w:val="left" w:leader="none"/>
        </w:tabs>
        <w:spacing w:before="115"/>
        <w:ind w:left="299"/>
      </w:pPr>
      <w:r>
        <w:rPr>
          <w:spacing w:val="-5"/>
        </w:rPr>
        <w:t>(d)</w:t>
      </w:r>
      <w:r>
        <w:rPr/>
        <w:tab/>
      </w:r>
      <w:r>
        <w:rPr>
          <w:spacing w:val="-2"/>
          <w:u w:val="single"/>
        </w:rPr>
        <w:t>Exhibits</w:t>
      </w:r>
    </w:p>
    <w:p>
      <w:pPr>
        <w:pStyle w:val="BodyText"/>
        <w:spacing w:before="4"/>
      </w:pPr>
    </w:p>
    <w:p>
      <w:pPr>
        <w:pStyle w:val="Heading2"/>
        <w:tabs>
          <w:tab w:pos="1426" w:val="left" w:leader="none"/>
        </w:tabs>
        <w:spacing w:before="91"/>
        <w:ind w:left="119"/>
      </w:pPr>
      <w:r>
        <w:rPr/>
        <w:pict>
          <v:rect style="position:absolute;margin-left:131.620605pt;margin-top:14.635968pt;width:19.12549pt;height:.75pt;mso-position-horizontal-relative:page;mso-position-vertical-relative:paragraph;z-index:15732224" id="docshape10" filled="true" fillcolor="#000000" stroked="false">
            <v:fill type="solid"/>
            <w10:wrap type="none"/>
          </v:rect>
        </w:pict>
      </w:r>
      <w:r>
        <w:rPr>
          <w:u w:val="single"/>
        </w:rPr>
        <w:t>Exhibit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No.</w:t>
      </w:r>
      <w:r>
        <w:rPr/>
        <w:tab/>
      </w:r>
      <w:r>
        <w:rPr>
          <w:spacing w:val="-2"/>
          <w:u w:val="single"/>
        </w:rPr>
        <w:t>Descri</w:t>
      </w:r>
      <w:r>
        <w:rPr>
          <w:spacing w:val="-2"/>
        </w:rPr>
        <w:t>ption</w:t>
      </w:r>
    </w:p>
    <w:p>
      <w:pPr>
        <w:pStyle w:val="BodyText"/>
        <w:tabs>
          <w:tab w:pos="1426" w:val="left" w:leader="none"/>
        </w:tabs>
        <w:spacing w:before="25"/>
        <w:ind w:left="119"/>
      </w:pPr>
      <w:r>
        <w:rPr/>
        <w:pict>
          <v:shape style="position:absolute;margin-left:199.267014pt;margin-top:11.335913pt;width:269.6pt;height:.8pt;mso-position-horizontal-relative:page;mso-position-vertical-relative:paragraph;z-index:15732736" id="docshape11" coordorigin="3985,227" coordsize="5392,16" path="m4170,227l4070,227,4070,227,3985,227,3985,242,4070,242,4070,242,4170,242,4170,227xm9377,227l9261,227,9261,227,8672,227,8672,227,4718,227,4218,227,4218,242,4718,242,8672,242,8672,242,9261,242,9261,242,9377,242,9377,227xe" filled="true" fillcolor="#0000ff" stroked="false">
            <v:path arrowok="t"/>
            <v:fill type="solid"/>
            <w10:wrap type="none"/>
          </v:shape>
        </w:pict>
      </w:r>
      <w:r>
        <w:rPr>
          <w:spacing w:val="-4"/>
        </w:rPr>
        <w:t>99.1</w:t>
      </w:r>
      <w:r>
        <w:rPr/>
        <w:tab/>
      </w:r>
      <w:hyperlink r:id="rId5">
        <w:r>
          <w:rPr>
            <w:color w:val="0000FF"/>
            <w:u w:val="single" w:color="0000FF"/>
          </w:rPr>
          <w:t>Press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Release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dated</w:t>
        </w:r>
      </w:hyperlink>
      <w:r>
        <w:rPr>
          <w:color w:val="0000FF"/>
          <w:spacing w:val="-3"/>
          <w:u w:val="single" w:color="0000FF"/>
        </w:rPr>
        <w:t> </w:t>
      </w:r>
      <w:hyperlink r:id="rId5">
        <w:r>
          <w:rPr>
            <w:color w:val="0000FF"/>
            <w:u w:val="single" w:color="0000FF"/>
          </w:rPr>
          <w:t>Ma</w:t>
        </w:r>
        <w:r>
          <w:rPr>
            <w:color w:val="0000FF"/>
          </w:rPr>
          <w:t>y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</w:rPr>
          <w:t>3</w:t>
        </w:r>
      </w:hyperlink>
      <w:hyperlink r:id="rId5">
        <w:r>
          <w:rPr>
            <w:color w:val="0000FF"/>
          </w:rPr>
          <w:t>,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2022,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entitled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"Varex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Announces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Financial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Results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for</w:t>
        </w:r>
      </w:hyperlink>
      <w:r>
        <w:rPr>
          <w:color w:val="0000FF"/>
          <w:spacing w:val="-3"/>
        </w:rPr>
        <w:t> </w:t>
      </w:r>
      <w:hyperlink r:id="rId5">
        <w:r>
          <w:rPr>
            <w:color w:val="0000FF"/>
          </w:rPr>
          <w:t>Second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</w:rPr>
          <w:t>Q</w:t>
        </w:r>
        <w:r>
          <w:rPr>
            <w:color w:val="0000FF"/>
            <w:u w:val="single" w:color="0000FF"/>
          </w:rPr>
          <w:t>uarter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Fiscal</w:t>
        </w:r>
        <w:r>
          <w:rPr>
            <w:color w:val="0000FF"/>
            <w:spacing w:val="-11"/>
            <w:u w:val="single" w:color="0000FF"/>
          </w:rPr>
          <w:t> </w:t>
        </w:r>
        <w:r>
          <w:rPr>
            <w:color w:val="0000FF"/>
            <w:u w:val="single" w:color="0000FF"/>
          </w:rPr>
          <w:t>Year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2022"</w:t>
        </w:r>
      </w:hyperlink>
    </w:p>
    <w:p>
      <w:pPr>
        <w:pStyle w:val="BodyText"/>
        <w:tabs>
          <w:tab w:pos="1426" w:val="left" w:leader="none"/>
        </w:tabs>
        <w:spacing w:before="25"/>
        <w:ind w:left="119"/>
      </w:pPr>
      <w:r>
        <w:rPr>
          <w:spacing w:val="-5"/>
        </w:rPr>
        <w:t>104</w:t>
      </w:r>
      <w:r>
        <w:rPr/>
        <w:tab/>
        <w:t>Cover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(embedded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Inline</w:t>
      </w:r>
      <w:r>
        <w:rPr>
          <w:spacing w:val="-1"/>
        </w:rPr>
        <w:t> </w:t>
      </w:r>
      <w:r>
        <w:rPr/>
        <w:t>XBRL</w:t>
      </w:r>
      <w:r>
        <w:rPr>
          <w:spacing w:val="-8"/>
        </w:rPr>
        <w:t> </w:t>
      </w:r>
      <w:r>
        <w:rPr>
          <w:spacing w:val="-2"/>
        </w:rPr>
        <w:t>document)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group style="position:absolute;margin-left:35pt;margin-top:15.098828pt;width:543pt;height:1.5pt;mso-position-horizontal-relative:page;mso-position-vertical-relative:paragraph;z-index:-15725568;mso-wrap-distance-left:0;mso-wrap-distance-right:0" id="docshapegroup12" coordorigin="700,302" coordsize="10860,30">
            <v:rect style="position:absolute;left:700;top:301;width:10860;height:15" id="docshape13" filled="true" fillcolor="#999999" stroked="false">
              <v:fill type="solid"/>
            </v:rect>
            <v:shape style="position:absolute;left:700;top:301;width:10860;height:30" id="docshape14" coordorigin="700,302" coordsize="10860,30" path="m11560,302l11545,317,700,317,700,332,11545,332,11560,332,11560,317,11560,302xe" filled="true" fillcolor="#ededed" stroked="false">
              <v:path arrowok="t"/>
              <v:fill type="solid"/>
            </v:shape>
            <v:shape style="position:absolute;left:700;top:301;width:15;height:30" id="docshape15" coordorigin="700,302" coordsize="15,30" path="m700,332l700,302,715,302,715,317,700,332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pgSz w:w="12240" w:h="15840"/>
          <w:pgMar w:top="1560" w:bottom="280" w:left="600" w:right="560"/>
        </w:sectPr>
      </w:pPr>
    </w:p>
    <w:p>
      <w:pPr>
        <w:pStyle w:val="Heading2"/>
        <w:spacing w:before="68"/>
        <w:ind w:right="53"/>
        <w:jc w:val="center"/>
      </w:pPr>
      <w:r>
        <w:rPr>
          <w:spacing w:val="-2"/>
        </w:rPr>
        <w:t>SIGNATURES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49" w:lineRule="auto"/>
        <w:ind w:left="100" w:firstLine="720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 its behalf by the undersigned hereunto duly authorized.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ind w:left="4753"/>
      </w:pPr>
      <w:r>
        <w:rPr>
          <w:spacing w:val="-2"/>
        </w:rPr>
        <w:t>VAREX IMAGING CORPORATION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4424" w:val="left" w:leader="none"/>
        </w:tabs>
        <w:spacing w:line="280" w:lineRule="auto"/>
        <w:ind w:left="4753" w:right="4147" w:hanging="4626"/>
      </w:pPr>
      <w:r>
        <w:rPr/>
        <w:pict>
          <v:shape style="position:absolute;margin-left:320.571014pt;margin-top:10.086091pt;width:55.95pt;height:.75pt;mso-position-horizontal-relative:page;mso-position-vertical-relative:paragraph;z-index:15733248" id="docshape16" coordorigin="6411,202" coordsize="1119,15" path="m7530,202l7217,202,6411,202,6411,217,7217,217,7530,217,7530,202xe" filled="true" fillcolor="#000000" stroked="false">
            <v:path arrowok="t"/>
            <v:fill type="solid"/>
            <w10:wrap type="none"/>
          </v:shape>
        </w:pict>
      </w:r>
      <w:r>
        <w:rPr/>
        <w:t>Dated: May 3, 2022</w:t>
        <w:tab/>
        <w:t>By:</w:t>
      </w:r>
      <w:r>
        <w:rPr>
          <w:spacing w:val="-13"/>
        </w:rPr>
        <w:t> </w:t>
      </w:r>
      <w:r>
        <w:rPr>
          <w:u w:val="single"/>
        </w:rPr>
        <w:t>/s/</w:t>
      </w:r>
      <w:r>
        <w:rPr>
          <w:spacing w:val="-12"/>
          <w:u w:val="single"/>
        </w:rPr>
        <w:t> </w:t>
      </w:r>
      <w:r>
        <w:rPr>
          <w:u w:val="single"/>
        </w:rPr>
        <w:t>Kimberle</w:t>
      </w:r>
      <w:r>
        <w:rPr/>
        <w:t>y</w:t>
      </w:r>
      <w:r>
        <w:rPr>
          <w:spacing w:val="-13"/>
        </w:rPr>
        <w:t> </w:t>
      </w:r>
      <w:r>
        <w:rPr/>
        <w:t>E.</w:t>
      </w:r>
      <w:r>
        <w:rPr>
          <w:spacing w:val="-10"/>
        </w:rPr>
        <w:t> </w:t>
      </w:r>
      <w:r>
        <w:rPr/>
        <w:t>Honeysett Kimberley E. Honeysett</w:t>
      </w:r>
    </w:p>
    <w:p>
      <w:pPr>
        <w:pStyle w:val="BodyText"/>
        <w:spacing w:line="217" w:lineRule="exact"/>
        <w:ind w:left="4753"/>
      </w:pPr>
      <w:r>
        <w:rPr/>
        <w:t>Senior</w:t>
      </w:r>
      <w:r>
        <w:rPr>
          <w:spacing w:val="-6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President,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Counsel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Secretary</w:t>
      </w:r>
    </w:p>
    <w:sectPr>
      <w:pgSz w:w="12240" w:h="15840"/>
      <w:pgMar w:top="136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00" w:hanging="40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35" w:right="53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5" w:right="53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522" w:hanging="4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27" w:lineRule="exact"/>
      <w:ind w:left="318" w:right="29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681622/000168162222000047/exhibit991-q222earningsrel.ht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2023-02-13T21:02:30Z</dcterms:created>
  <dcterms:modified xsi:type="dcterms:W3CDTF">2023-02-13T21:02:30Z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