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2" w:lineRule="exact" w:before="82"/>
        <w:ind w:left="101" w:right="0" w:firstLine="0"/>
        <w:jc w:val="left"/>
        <w:rPr>
          <w:sz w:val="22"/>
        </w:rPr>
      </w:pPr>
      <w:r>
        <w:rPr>
          <w:sz w:val="22"/>
        </w:rPr>
        <w:t>DEF</w:t>
      </w:r>
      <w:r>
        <w:rPr>
          <w:spacing w:val="7"/>
          <w:sz w:val="22"/>
        </w:rPr>
        <w:t> </w:t>
      </w:r>
      <w:r>
        <w:rPr>
          <w:sz w:val="22"/>
        </w:rPr>
        <w:t>14A</w:t>
      </w:r>
      <w:r>
        <w:rPr>
          <w:spacing w:val="-6"/>
          <w:sz w:val="22"/>
        </w:rPr>
        <w:t> </w:t>
      </w:r>
      <w:r>
        <w:rPr>
          <w:sz w:val="22"/>
        </w:rPr>
        <w:t>1</w:t>
      </w:r>
      <w:r>
        <w:rPr>
          <w:spacing w:val="8"/>
          <w:sz w:val="22"/>
        </w:rPr>
        <w:t> </w:t>
      </w:r>
      <w:r>
        <w:rPr>
          <w:sz w:val="22"/>
        </w:rPr>
        <w:t>tm2225010-1_def14a.htm</w:t>
      </w:r>
      <w:r>
        <w:rPr>
          <w:spacing w:val="7"/>
          <w:sz w:val="22"/>
        </w:rPr>
        <w:t> </w:t>
      </w:r>
      <w:r>
        <w:rPr>
          <w:sz w:val="22"/>
        </w:rPr>
        <w:t>DEF</w:t>
      </w:r>
      <w:r>
        <w:rPr>
          <w:spacing w:val="8"/>
          <w:sz w:val="22"/>
        </w:rPr>
        <w:t> </w:t>
      </w:r>
      <w:r>
        <w:rPr>
          <w:spacing w:val="-5"/>
          <w:sz w:val="22"/>
        </w:rPr>
        <w:t>14A</w:t>
      </w:r>
    </w:p>
    <w:p>
      <w:pPr>
        <w:spacing w:line="172" w:lineRule="exact" w:before="0"/>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14"/>
        </w:rPr>
      </w:pPr>
    </w:p>
    <w:p>
      <w:pPr>
        <w:pStyle w:val="BodyText"/>
        <w:rPr>
          <w:rFonts w:ascii="Calibri"/>
          <w:sz w:val="14"/>
        </w:rPr>
      </w:pPr>
    </w:p>
    <w:p>
      <w:pPr>
        <w:pStyle w:val="BodyText"/>
        <w:spacing w:before="6"/>
        <w:rPr>
          <w:rFonts w:ascii="Calibri"/>
          <w:sz w:val="14"/>
        </w:rPr>
      </w:pPr>
    </w:p>
    <w:p>
      <w:pPr>
        <w:pStyle w:val="Heading1"/>
        <w:spacing w:before="0"/>
      </w:pPr>
      <w:r>
        <w:rPr/>
        <w:t>UNITED</w:t>
      </w:r>
      <w:r>
        <w:rPr>
          <w:spacing w:val="-5"/>
        </w:rPr>
        <w:t> </w:t>
      </w:r>
      <w:r>
        <w:rPr>
          <w:spacing w:val="-2"/>
        </w:rPr>
        <w:t>STATES</w:t>
      </w:r>
    </w:p>
    <w:p>
      <w:pPr>
        <w:spacing w:before="16"/>
        <w:ind w:left="4" w:right="1" w:firstLine="0"/>
        <w:jc w:val="center"/>
        <w:rPr>
          <w:b/>
          <w:sz w:val="18"/>
        </w:rPr>
      </w:pPr>
      <w:r>
        <w:rPr>
          <w:b/>
          <w:sz w:val="18"/>
        </w:rPr>
        <w:t>SECURITIES</w:t>
      </w:r>
      <w:r>
        <w:rPr>
          <w:b/>
          <w:spacing w:val="-17"/>
          <w:sz w:val="18"/>
        </w:rPr>
        <w:t> </w:t>
      </w:r>
      <w:r>
        <w:rPr>
          <w:b/>
          <w:sz w:val="18"/>
        </w:rPr>
        <w:t>AND</w:t>
      </w:r>
      <w:r>
        <w:rPr>
          <w:b/>
          <w:spacing w:val="-4"/>
          <w:sz w:val="18"/>
        </w:rPr>
        <w:t> </w:t>
      </w:r>
      <w:r>
        <w:rPr>
          <w:b/>
          <w:sz w:val="18"/>
        </w:rPr>
        <w:t>EXCHANGE</w:t>
      </w:r>
      <w:r>
        <w:rPr>
          <w:b/>
          <w:spacing w:val="-5"/>
          <w:sz w:val="18"/>
        </w:rPr>
        <w:t> </w:t>
      </w:r>
      <w:r>
        <w:rPr>
          <w:b/>
          <w:spacing w:val="-2"/>
          <w:sz w:val="18"/>
        </w:rPr>
        <w:t>COMMISSION</w:t>
      </w:r>
    </w:p>
    <w:p>
      <w:pPr>
        <w:pStyle w:val="Heading2"/>
        <w:spacing w:before="17"/>
        <w:ind w:left="4" w:right="1"/>
        <w:jc w:val="center"/>
      </w:pPr>
      <w:r>
        <w:rPr>
          <w:spacing w:val="-2"/>
        </w:rPr>
        <w:t>Washington,</w:t>
      </w:r>
      <w:r>
        <w:rPr>
          <w:spacing w:val="-3"/>
        </w:rPr>
        <w:t> </w:t>
      </w:r>
      <w:r>
        <w:rPr>
          <w:spacing w:val="-2"/>
        </w:rPr>
        <w:t>D.C.</w:t>
      </w:r>
      <w:r>
        <w:rPr>
          <w:spacing w:val="-3"/>
        </w:rPr>
        <w:t> </w:t>
      </w:r>
      <w:r>
        <w:rPr>
          <w:spacing w:val="-2"/>
        </w:rPr>
        <w:t>20549</w:t>
      </w:r>
    </w:p>
    <w:p>
      <w:pPr>
        <w:pStyle w:val="BodyText"/>
        <w:spacing w:before="10"/>
        <w:rPr>
          <w:b/>
          <w:sz w:val="16"/>
        </w:rPr>
      </w:pPr>
    </w:p>
    <w:p>
      <w:pPr>
        <w:pStyle w:val="Title"/>
      </w:pPr>
      <w:r>
        <w:rPr>
          <w:spacing w:val="-6"/>
        </w:rPr>
        <w:t>SCHEDULE</w:t>
      </w:r>
      <w:r>
        <w:rPr>
          <w:spacing w:val="-5"/>
        </w:rPr>
        <w:t> 14A</w:t>
      </w:r>
    </w:p>
    <w:p>
      <w:pPr>
        <w:pStyle w:val="BodyText"/>
        <w:spacing w:before="153"/>
        <w:ind w:right="1"/>
        <w:jc w:val="center"/>
      </w:pPr>
      <w:r>
        <w:rPr>
          <w:w w:val="105"/>
        </w:rPr>
        <w:t>Proxy</w:t>
      </w:r>
      <w:r>
        <w:rPr>
          <w:spacing w:val="12"/>
          <w:w w:val="105"/>
        </w:rPr>
        <w:t> </w:t>
      </w:r>
      <w:r>
        <w:rPr>
          <w:w w:val="105"/>
        </w:rPr>
        <w:t>Statement</w:t>
      </w:r>
      <w:r>
        <w:rPr>
          <w:spacing w:val="12"/>
          <w:w w:val="105"/>
        </w:rPr>
        <w:t> </w:t>
      </w:r>
      <w:r>
        <w:rPr>
          <w:w w:val="105"/>
        </w:rPr>
        <w:t>Pursuant</w:t>
      </w:r>
      <w:r>
        <w:rPr>
          <w:spacing w:val="12"/>
          <w:w w:val="105"/>
        </w:rPr>
        <w:t> </w:t>
      </w:r>
      <w:r>
        <w:rPr>
          <w:w w:val="105"/>
        </w:rPr>
        <w:t>to</w:t>
      </w:r>
      <w:r>
        <w:rPr>
          <w:spacing w:val="13"/>
          <w:w w:val="105"/>
        </w:rPr>
        <w:t> </w:t>
      </w:r>
      <w:r>
        <w:rPr>
          <w:w w:val="105"/>
        </w:rPr>
        <w:t>Section</w:t>
      </w:r>
      <w:r>
        <w:rPr>
          <w:spacing w:val="12"/>
          <w:w w:val="105"/>
        </w:rPr>
        <w:t> </w:t>
      </w:r>
      <w:r>
        <w:rPr>
          <w:w w:val="105"/>
        </w:rPr>
        <w:t>14(a)</w:t>
      </w:r>
      <w:r>
        <w:rPr>
          <w:spacing w:val="12"/>
          <w:w w:val="105"/>
        </w:rPr>
        <w:t> </w:t>
      </w:r>
      <w:r>
        <w:rPr>
          <w:spacing w:val="-5"/>
          <w:w w:val="105"/>
        </w:rPr>
        <w:t>of</w:t>
      </w:r>
    </w:p>
    <w:p>
      <w:pPr>
        <w:pStyle w:val="BodyText"/>
        <w:tabs>
          <w:tab w:pos="4594" w:val="left" w:leader="none"/>
        </w:tabs>
        <w:spacing w:before="17"/>
        <w:ind w:right="1"/>
        <w:jc w:val="center"/>
      </w:pPr>
      <w:r>
        <w:rPr>
          <w:w w:val="105"/>
        </w:rPr>
        <w:t>the</w:t>
      </w:r>
      <w:r>
        <w:rPr>
          <w:spacing w:val="11"/>
          <w:w w:val="105"/>
        </w:rPr>
        <w:t> </w:t>
      </w:r>
      <w:r>
        <w:rPr>
          <w:w w:val="105"/>
        </w:rPr>
        <w:t>Securities</w:t>
      </w:r>
      <w:r>
        <w:rPr>
          <w:spacing w:val="11"/>
          <w:w w:val="105"/>
        </w:rPr>
        <w:t> </w:t>
      </w:r>
      <w:r>
        <w:rPr>
          <w:w w:val="105"/>
        </w:rPr>
        <w:t>Exchange Act</w:t>
      </w:r>
      <w:r>
        <w:rPr>
          <w:spacing w:val="11"/>
          <w:w w:val="105"/>
        </w:rPr>
        <w:t> </w:t>
      </w:r>
      <w:r>
        <w:rPr>
          <w:w w:val="105"/>
        </w:rPr>
        <w:t>of</w:t>
      </w:r>
      <w:r>
        <w:rPr>
          <w:spacing w:val="12"/>
          <w:w w:val="105"/>
        </w:rPr>
        <w:t> </w:t>
      </w:r>
      <w:r>
        <w:rPr>
          <w:w w:val="105"/>
        </w:rPr>
        <w:t>1934</w:t>
      </w:r>
      <w:r>
        <w:rPr>
          <w:spacing w:val="11"/>
          <w:w w:val="105"/>
        </w:rPr>
        <w:t> </w:t>
      </w:r>
      <w:r>
        <w:rPr>
          <w:w w:val="105"/>
        </w:rPr>
        <w:t>(Amendment</w:t>
      </w:r>
      <w:r>
        <w:rPr>
          <w:spacing w:val="12"/>
          <w:w w:val="105"/>
        </w:rPr>
        <w:t> </w:t>
      </w:r>
      <w:r>
        <w:rPr>
          <w:spacing w:val="-5"/>
          <w:w w:val="105"/>
        </w:rPr>
        <w:t>No.</w:t>
      </w:r>
      <w:r>
        <w:rPr/>
        <w:tab/>
      </w:r>
      <w:r>
        <w:rPr>
          <w:spacing w:val="-10"/>
          <w:w w:val="105"/>
        </w:rPr>
        <w:t>)</w:t>
      </w:r>
    </w:p>
    <w:p>
      <w:pPr>
        <w:pStyle w:val="BodyText"/>
        <w:spacing w:before="144"/>
        <w:ind w:left="1400"/>
        <w:rPr>
          <w:rFonts w:ascii="Segoe UI Symbol" w:hAnsi="Segoe UI Symbol"/>
        </w:rPr>
      </w:pPr>
      <w:r>
        <w:rPr>
          <w:w w:val="105"/>
        </w:rPr>
        <w:t>Filed</w:t>
      </w:r>
      <w:r>
        <w:rPr>
          <w:spacing w:val="11"/>
          <w:w w:val="105"/>
        </w:rPr>
        <w:t> </w:t>
      </w:r>
      <w:r>
        <w:rPr>
          <w:w w:val="105"/>
        </w:rPr>
        <w:t>by</w:t>
      </w:r>
      <w:r>
        <w:rPr>
          <w:spacing w:val="11"/>
          <w:w w:val="105"/>
        </w:rPr>
        <w:t> </w:t>
      </w:r>
      <w:r>
        <w:rPr>
          <w:w w:val="105"/>
        </w:rPr>
        <w:t>the</w:t>
      </w:r>
      <w:r>
        <w:rPr>
          <w:spacing w:val="11"/>
          <w:w w:val="105"/>
        </w:rPr>
        <w:t> </w:t>
      </w:r>
      <w:r>
        <w:rPr>
          <w:w w:val="105"/>
        </w:rPr>
        <w:t>Registrant</w:t>
      </w:r>
      <w:r>
        <w:rPr>
          <w:spacing w:val="11"/>
          <w:w w:val="105"/>
        </w:rPr>
        <w:t> </w:t>
      </w:r>
      <w:r>
        <w:rPr>
          <w:rFonts w:ascii="Segoe UI Symbol" w:hAnsi="Segoe UI Symbol"/>
          <w:spacing w:val="-10"/>
          <w:w w:val="105"/>
        </w:rPr>
        <w:t>☒</w:t>
      </w:r>
    </w:p>
    <w:p>
      <w:pPr>
        <w:pStyle w:val="BodyText"/>
        <w:spacing w:before="40"/>
        <w:ind w:left="1400"/>
        <w:rPr>
          <w:rFonts w:ascii="Segoe UI Symbol" w:hAnsi="Segoe UI Symbol"/>
        </w:rPr>
      </w:pPr>
      <w:r>
        <w:rPr>
          <w:w w:val="105"/>
        </w:rPr>
        <w:t>Filed</w:t>
      </w:r>
      <w:r>
        <w:rPr>
          <w:spacing w:val="10"/>
          <w:w w:val="105"/>
        </w:rPr>
        <w:t> </w:t>
      </w:r>
      <w:r>
        <w:rPr>
          <w:w w:val="105"/>
        </w:rPr>
        <w:t>by</w:t>
      </w:r>
      <w:r>
        <w:rPr>
          <w:spacing w:val="10"/>
          <w:w w:val="105"/>
        </w:rPr>
        <w:t> </w:t>
      </w:r>
      <w:r>
        <w:rPr>
          <w:w w:val="105"/>
        </w:rPr>
        <w:t>a</w:t>
      </w:r>
      <w:r>
        <w:rPr>
          <w:spacing w:val="10"/>
          <w:w w:val="105"/>
        </w:rPr>
        <w:t> </w:t>
      </w:r>
      <w:r>
        <w:rPr>
          <w:w w:val="105"/>
        </w:rPr>
        <w:t>Party</w:t>
      </w:r>
      <w:r>
        <w:rPr>
          <w:spacing w:val="11"/>
          <w:w w:val="105"/>
        </w:rPr>
        <w:t> </w:t>
      </w:r>
      <w:r>
        <w:rPr>
          <w:w w:val="105"/>
        </w:rPr>
        <w:t>other</w:t>
      </w:r>
      <w:r>
        <w:rPr>
          <w:spacing w:val="10"/>
          <w:w w:val="105"/>
        </w:rPr>
        <w:t> </w:t>
      </w:r>
      <w:r>
        <w:rPr>
          <w:w w:val="105"/>
        </w:rPr>
        <w:t>than</w:t>
      </w:r>
      <w:r>
        <w:rPr>
          <w:spacing w:val="10"/>
          <w:w w:val="105"/>
        </w:rPr>
        <w:t> </w:t>
      </w:r>
      <w:r>
        <w:rPr>
          <w:w w:val="105"/>
        </w:rPr>
        <w:t>the</w:t>
      </w:r>
      <w:r>
        <w:rPr>
          <w:spacing w:val="10"/>
          <w:w w:val="105"/>
        </w:rPr>
        <w:t> </w:t>
      </w:r>
      <w:r>
        <w:rPr>
          <w:w w:val="105"/>
        </w:rPr>
        <w:t>Registrant</w:t>
      </w:r>
      <w:r>
        <w:rPr>
          <w:spacing w:val="11"/>
          <w:w w:val="105"/>
        </w:rPr>
        <w:t> </w:t>
      </w:r>
      <w:r>
        <w:rPr>
          <w:rFonts w:ascii="Segoe UI Symbol" w:hAnsi="Segoe UI Symbol"/>
          <w:spacing w:val="-10"/>
          <w:w w:val="105"/>
        </w:rPr>
        <w:t>☐</w:t>
      </w:r>
    </w:p>
    <w:p>
      <w:pPr>
        <w:pStyle w:val="BodyText"/>
        <w:spacing w:before="67"/>
        <w:ind w:left="1400"/>
      </w:pPr>
      <w:r>
        <w:rPr>
          <w:w w:val="105"/>
        </w:rPr>
        <w:t>Check</w:t>
      </w:r>
      <w:r>
        <w:rPr>
          <w:spacing w:val="12"/>
          <w:w w:val="105"/>
        </w:rPr>
        <w:t> </w:t>
      </w:r>
      <w:r>
        <w:rPr>
          <w:w w:val="105"/>
        </w:rPr>
        <w:t>the</w:t>
      </w:r>
      <w:r>
        <w:rPr>
          <w:spacing w:val="13"/>
          <w:w w:val="105"/>
        </w:rPr>
        <w:t> </w:t>
      </w:r>
      <w:r>
        <w:rPr>
          <w:w w:val="105"/>
        </w:rPr>
        <w:t>appropriate</w:t>
      </w:r>
      <w:r>
        <w:rPr>
          <w:spacing w:val="13"/>
          <w:w w:val="105"/>
        </w:rPr>
        <w:t> </w:t>
      </w:r>
      <w:r>
        <w:rPr>
          <w:spacing w:val="-4"/>
          <w:w w:val="105"/>
        </w:rPr>
        <w:t>box:</w:t>
      </w:r>
    </w:p>
    <w:p>
      <w:pPr>
        <w:pStyle w:val="ListParagraph"/>
        <w:numPr>
          <w:ilvl w:val="0"/>
          <w:numId w:val="1"/>
        </w:numPr>
        <w:tabs>
          <w:tab w:pos="1772" w:val="left" w:leader="none"/>
          <w:tab w:pos="1773" w:val="left" w:leader="none"/>
        </w:tabs>
        <w:spacing w:line="240" w:lineRule="auto" w:before="60" w:after="0"/>
        <w:ind w:left="1772" w:right="0" w:hanging="373"/>
        <w:jc w:val="left"/>
        <w:rPr>
          <w:sz w:val="18"/>
        </w:rPr>
      </w:pPr>
      <w:r>
        <w:rPr>
          <w:w w:val="105"/>
          <w:sz w:val="18"/>
        </w:rPr>
        <w:t>Preliminary</w:t>
      </w:r>
      <w:r>
        <w:rPr>
          <w:spacing w:val="14"/>
          <w:w w:val="105"/>
          <w:sz w:val="18"/>
        </w:rPr>
        <w:t> </w:t>
      </w:r>
      <w:r>
        <w:rPr>
          <w:w w:val="105"/>
          <w:sz w:val="18"/>
        </w:rPr>
        <w:t>Proxy</w:t>
      </w:r>
      <w:r>
        <w:rPr>
          <w:spacing w:val="15"/>
          <w:w w:val="105"/>
          <w:sz w:val="18"/>
        </w:rPr>
        <w:t> </w:t>
      </w:r>
      <w:r>
        <w:rPr>
          <w:spacing w:val="-2"/>
          <w:w w:val="105"/>
          <w:sz w:val="18"/>
        </w:rPr>
        <w:t>Statement</w:t>
      </w:r>
    </w:p>
    <w:p>
      <w:pPr>
        <w:pStyle w:val="Heading2"/>
        <w:numPr>
          <w:ilvl w:val="0"/>
          <w:numId w:val="1"/>
        </w:numPr>
        <w:tabs>
          <w:tab w:pos="1772" w:val="left" w:leader="none"/>
          <w:tab w:pos="1773" w:val="left" w:leader="none"/>
        </w:tabs>
        <w:spacing w:line="240" w:lineRule="auto" w:before="54" w:after="0"/>
        <w:ind w:left="1772" w:right="0" w:hanging="373"/>
        <w:jc w:val="left"/>
      </w:pPr>
      <w:r>
        <w:rPr/>
        <w:t>Confidential,</w:t>
      </w:r>
      <w:r>
        <w:rPr>
          <w:spacing w:val="-12"/>
        </w:rPr>
        <w:t> </w:t>
      </w:r>
      <w:r>
        <w:rPr/>
        <w:t>for</w:t>
      </w:r>
      <w:r>
        <w:rPr>
          <w:spacing w:val="-11"/>
        </w:rPr>
        <w:t> </w:t>
      </w:r>
      <w:r>
        <w:rPr/>
        <w:t>Use</w:t>
      </w:r>
      <w:r>
        <w:rPr>
          <w:spacing w:val="-11"/>
        </w:rPr>
        <w:t> </w:t>
      </w:r>
      <w:r>
        <w:rPr/>
        <w:t>of</w:t>
      </w:r>
      <w:r>
        <w:rPr>
          <w:spacing w:val="-10"/>
        </w:rPr>
        <w:t> </w:t>
      </w:r>
      <w:r>
        <w:rPr/>
        <w:t>the</w:t>
      </w:r>
      <w:r>
        <w:rPr>
          <w:spacing w:val="-10"/>
        </w:rPr>
        <w:t> </w:t>
      </w:r>
      <w:r>
        <w:rPr/>
        <w:t>Commission</w:t>
      </w:r>
      <w:r>
        <w:rPr>
          <w:spacing w:val="-10"/>
        </w:rPr>
        <w:t> </w:t>
      </w:r>
      <w:r>
        <w:rPr/>
        <w:t>Only</w:t>
      </w:r>
      <w:r>
        <w:rPr>
          <w:spacing w:val="-10"/>
        </w:rPr>
        <w:t> </w:t>
      </w:r>
      <w:r>
        <w:rPr/>
        <w:t>(as</w:t>
      </w:r>
      <w:r>
        <w:rPr>
          <w:spacing w:val="-10"/>
        </w:rPr>
        <w:t> </w:t>
      </w:r>
      <w:r>
        <w:rPr/>
        <w:t>permitted</w:t>
      </w:r>
      <w:r>
        <w:rPr>
          <w:spacing w:val="-10"/>
        </w:rPr>
        <w:t> </w:t>
      </w:r>
      <w:r>
        <w:rPr/>
        <w:t>by</w:t>
      </w:r>
      <w:r>
        <w:rPr>
          <w:spacing w:val="-10"/>
        </w:rPr>
        <w:t> </w:t>
      </w:r>
      <w:r>
        <w:rPr/>
        <w:t>Rule</w:t>
      </w:r>
      <w:r>
        <w:rPr>
          <w:spacing w:val="-10"/>
        </w:rPr>
        <w:t> </w:t>
      </w:r>
      <w:r>
        <w:rPr/>
        <w:t>14a-</w:t>
      </w:r>
      <w:r>
        <w:rPr>
          <w:spacing w:val="-2"/>
        </w:rPr>
        <w:t>6(e)(2))</w:t>
      </w:r>
    </w:p>
    <w:p>
      <w:pPr>
        <w:pStyle w:val="BodyText"/>
        <w:tabs>
          <w:tab w:pos="1772" w:val="left" w:leader="none"/>
        </w:tabs>
        <w:spacing w:before="68"/>
        <w:ind w:left="1400"/>
      </w:pPr>
      <w:r>
        <w:rPr>
          <w:rFonts w:ascii="Segoe UI Symbol" w:hAnsi="Segoe UI Symbol"/>
          <w:spacing w:val="-10"/>
          <w:w w:val="105"/>
        </w:rPr>
        <w:t>☒</w:t>
      </w:r>
      <w:r>
        <w:rPr>
          <w:rFonts w:ascii="Segoe UI Symbol" w:hAnsi="Segoe UI Symbol"/>
        </w:rPr>
        <w:tab/>
      </w:r>
      <w:r>
        <w:rPr>
          <w:w w:val="105"/>
        </w:rPr>
        <w:t>Definitive</w:t>
      </w:r>
      <w:r>
        <w:rPr>
          <w:spacing w:val="14"/>
          <w:w w:val="105"/>
        </w:rPr>
        <w:t> </w:t>
      </w:r>
      <w:r>
        <w:rPr>
          <w:w w:val="105"/>
        </w:rPr>
        <w:t>Proxy</w:t>
      </w:r>
      <w:r>
        <w:rPr>
          <w:spacing w:val="15"/>
          <w:w w:val="105"/>
        </w:rPr>
        <w:t> </w:t>
      </w:r>
      <w:r>
        <w:rPr>
          <w:spacing w:val="-2"/>
          <w:w w:val="105"/>
        </w:rPr>
        <w:t>Statement</w:t>
      </w:r>
    </w:p>
    <w:p>
      <w:pPr>
        <w:pStyle w:val="ListParagraph"/>
        <w:numPr>
          <w:ilvl w:val="0"/>
          <w:numId w:val="1"/>
        </w:numPr>
        <w:tabs>
          <w:tab w:pos="1772" w:val="left" w:leader="none"/>
          <w:tab w:pos="1773" w:val="left" w:leader="none"/>
        </w:tabs>
        <w:spacing w:line="240" w:lineRule="auto" w:before="54" w:after="0"/>
        <w:ind w:left="1772" w:right="0" w:hanging="373"/>
        <w:jc w:val="left"/>
        <w:rPr>
          <w:sz w:val="18"/>
        </w:rPr>
      </w:pPr>
      <w:r>
        <w:rPr>
          <w:sz w:val="18"/>
        </w:rPr>
        <w:t>Definitive</w:t>
      </w:r>
      <w:r>
        <w:rPr>
          <w:spacing w:val="39"/>
          <w:sz w:val="18"/>
        </w:rPr>
        <w:t> </w:t>
      </w:r>
      <w:r>
        <w:rPr>
          <w:sz w:val="18"/>
        </w:rPr>
        <w:t>Additional</w:t>
      </w:r>
      <w:r>
        <w:rPr>
          <w:spacing w:val="65"/>
          <w:sz w:val="18"/>
        </w:rPr>
        <w:t> </w:t>
      </w:r>
      <w:r>
        <w:rPr>
          <w:spacing w:val="-2"/>
          <w:sz w:val="18"/>
        </w:rPr>
        <w:t>Materials</w:t>
      </w:r>
    </w:p>
    <w:p>
      <w:pPr>
        <w:pStyle w:val="ListParagraph"/>
        <w:numPr>
          <w:ilvl w:val="0"/>
          <w:numId w:val="1"/>
        </w:numPr>
        <w:tabs>
          <w:tab w:pos="1772" w:val="left" w:leader="none"/>
          <w:tab w:pos="1773" w:val="left" w:leader="none"/>
        </w:tabs>
        <w:spacing w:line="240" w:lineRule="auto" w:before="55" w:after="0"/>
        <w:ind w:left="1772" w:right="0" w:hanging="373"/>
        <w:jc w:val="left"/>
        <w:rPr>
          <w:sz w:val="18"/>
        </w:rPr>
      </w:pPr>
      <w:r>
        <w:rPr>
          <w:w w:val="105"/>
          <w:sz w:val="18"/>
        </w:rPr>
        <w:t>Soliciting</w:t>
      </w:r>
      <w:r>
        <w:rPr>
          <w:spacing w:val="19"/>
          <w:w w:val="105"/>
          <w:sz w:val="18"/>
        </w:rPr>
        <w:t> </w:t>
      </w:r>
      <w:r>
        <w:rPr>
          <w:w w:val="105"/>
          <w:sz w:val="18"/>
        </w:rPr>
        <w:t>Material</w:t>
      </w:r>
      <w:r>
        <w:rPr>
          <w:spacing w:val="19"/>
          <w:w w:val="105"/>
          <w:sz w:val="18"/>
        </w:rPr>
        <w:t> </w:t>
      </w:r>
      <w:r>
        <w:rPr>
          <w:w w:val="105"/>
          <w:sz w:val="18"/>
        </w:rPr>
        <w:t>under</w:t>
      </w:r>
      <w:r>
        <w:rPr>
          <w:spacing w:val="20"/>
          <w:w w:val="105"/>
          <w:sz w:val="18"/>
        </w:rPr>
        <w:t> </w:t>
      </w:r>
      <w:r>
        <w:rPr>
          <w:w w:val="105"/>
          <w:sz w:val="18"/>
        </w:rPr>
        <w:t>§240.14a-</w:t>
      </w:r>
      <w:r>
        <w:rPr>
          <w:spacing w:val="-5"/>
          <w:w w:val="105"/>
          <w:sz w:val="18"/>
        </w:rPr>
        <w:t>12</w:t>
      </w:r>
    </w:p>
    <w:p>
      <w:pPr>
        <w:pStyle w:val="BodyText"/>
        <w:spacing w:before="10"/>
        <w:rPr>
          <w:sz w:val="19"/>
        </w:rPr>
      </w:pPr>
    </w:p>
    <w:p>
      <w:pPr>
        <w:pStyle w:val="Title"/>
      </w:pPr>
      <w:r>
        <w:rPr/>
        <w:pict>
          <v:rect style="position:absolute;margin-left:94.006287pt;margin-top:16.330662pt;width:424.987362pt;height:.698992pt;mso-position-horizontal-relative:page;mso-position-vertical-relative:paragraph;z-index:-15728640;mso-wrap-distance-left:0;mso-wrap-distance-right:0" id="docshape5" filled="true" fillcolor="#000000" stroked="false">
            <v:fill type="solid"/>
            <w10:wrap type="topAndBottom"/>
          </v:rect>
        </w:pict>
      </w:r>
      <w:r>
        <w:rPr>
          <w:spacing w:val="-8"/>
        </w:rPr>
        <w:t>VAREX</w:t>
      </w:r>
      <w:r>
        <w:rPr>
          <w:spacing w:val="-10"/>
        </w:rPr>
        <w:t> </w:t>
      </w:r>
      <w:r>
        <w:rPr>
          <w:spacing w:val="-8"/>
        </w:rPr>
        <w:t>IMAGING</w:t>
      </w:r>
      <w:r>
        <w:rPr>
          <w:spacing w:val="-9"/>
        </w:rPr>
        <w:t> </w:t>
      </w:r>
      <w:r>
        <w:rPr>
          <w:spacing w:val="-8"/>
        </w:rPr>
        <w:t>CORPORATION</w:t>
      </w:r>
    </w:p>
    <w:p>
      <w:pPr>
        <w:pStyle w:val="BodyText"/>
        <w:spacing w:before="83"/>
        <w:ind w:right="1"/>
        <w:jc w:val="center"/>
      </w:pPr>
      <w:r>
        <w:rPr>
          <w:w w:val="105"/>
        </w:rPr>
        <w:t>(Name</w:t>
      </w:r>
      <w:r>
        <w:rPr>
          <w:spacing w:val="10"/>
          <w:w w:val="105"/>
        </w:rPr>
        <w:t> </w:t>
      </w:r>
      <w:r>
        <w:rPr>
          <w:w w:val="105"/>
        </w:rPr>
        <w:t>of</w:t>
      </w:r>
      <w:r>
        <w:rPr>
          <w:spacing w:val="11"/>
          <w:w w:val="105"/>
        </w:rPr>
        <w:t> </w:t>
      </w:r>
      <w:r>
        <w:rPr>
          <w:w w:val="105"/>
        </w:rPr>
        <w:t>Registrant</w:t>
      </w:r>
      <w:r>
        <w:rPr>
          <w:spacing w:val="10"/>
          <w:w w:val="105"/>
        </w:rPr>
        <w:t> </w:t>
      </w:r>
      <w:r>
        <w:rPr>
          <w:w w:val="105"/>
        </w:rPr>
        <w:t>as</w:t>
      </w:r>
      <w:r>
        <w:rPr>
          <w:spacing w:val="11"/>
          <w:w w:val="105"/>
        </w:rPr>
        <w:t> </w:t>
      </w:r>
      <w:r>
        <w:rPr>
          <w:w w:val="105"/>
        </w:rPr>
        <w:t>Specified</w:t>
      </w:r>
      <w:r>
        <w:rPr>
          <w:spacing w:val="11"/>
          <w:w w:val="105"/>
        </w:rPr>
        <w:t> </w:t>
      </w:r>
      <w:r>
        <w:rPr>
          <w:w w:val="105"/>
        </w:rPr>
        <w:t>In</w:t>
      </w:r>
      <w:r>
        <w:rPr>
          <w:spacing w:val="10"/>
          <w:w w:val="105"/>
        </w:rPr>
        <w:t> </w:t>
      </w:r>
      <w:r>
        <w:rPr>
          <w:w w:val="105"/>
        </w:rPr>
        <w:t>Its</w:t>
      </w:r>
      <w:r>
        <w:rPr>
          <w:spacing w:val="11"/>
          <w:w w:val="105"/>
        </w:rPr>
        <w:t> </w:t>
      </w:r>
      <w:r>
        <w:rPr>
          <w:spacing w:val="-2"/>
          <w:w w:val="105"/>
        </w:rPr>
        <w:t>Charter)</w:t>
      </w:r>
    </w:p>
    <w:p>
      <w:pPr>
        <w:pStyle w:val="BodyText"/>
        <w:rPr>
          <w:sz w:val="20"/>
        </w:rPr>
      </w:pPr>
    </w:p>
    <w:p>
      <w:pPr>
        <w:pStyle w:val="BodyText"/>
        <w:spacing w:before="10"/>
        <w:rPr>
          <w:sz w:val="15"/>
        </w:rPr>
      </w:pPr>
      <w:r>
        <w:rPr/>
        <w:pict>
          <v:rect style="position:absolute;margin-left:94.006287pt;margin-top:10.349459pt;width:424.987362pt;height:.698992pt;mso-position-horizontal-relative:page;mso-position-vertical-relative:paragraph;z-index:-15728128;mso-wrap-distance-left:0;mso-wrap-distance-right:0" id="docshape6" filled="true" fillcolor="#000000" stroked="false">
            <v:fill type="solid"/>
            <w10:wrap type="topAndBottom"/>
          </v:rect>
        </w:pict>
      </w:r>
    </w:p>
    <w:p>
      <w:pPr>
        <w:pStyle w:val="BodyText"/>
        <w:spacing w:before="83"/>
        <w:ind w:right="1"/>
        <w:jc w:val="center"/>
      </w:pPr>
      <w:r>
        <w:rPr>
          <w:w w:val="105"/>
        </w:rPr>
        <w:t>(Name</w:t>
      </w:r>
      <w:r>
        <w:rPr>
          <w:spacing w:val="11"/>
          <w:w w:val="105"/>
        </w:rPr>
        <w:t> </w:t>
      </w:r>
      <w:r>
        <w:rPr>
          <w:w w:val="105"/>
        </w:rPr>
        <w:t>of</w:t>
      </w:r>
      <w:r>
        <w:rPr>
          <w:spacing w:val="11"/>
          <w:w w:val="105"/>
        </w:rPr>
        <w:t> </w:t>
      </w:r>
      <w:r>
        <w:rPr>
          <w:w w:val="105"/>
        </w:rPr>
        <w:t>Person(s)</w:t>
      </w:r>
      <w:r>
        <w:rPr>
          <w:spacing w:val="11"/>
          <w:w w:val="105"/>
        </w:rPr>
        <w:t> </w:t>
      </w:r>
      <w:r>
        <w:rPr>
          <w:w w:val="105"/>
        </w:rPr>
        <w:t>Filing</w:t>
      </w:r>
      <w:r>
        <w:rPr>
          <w:spacing w:val="11"/>
          <w:w w:val="105"/>
        </w:rPr>
        <w:t> </w:t>
      </w:r>
      <w:r>
        <w:rPr>
          <w:w w:val="105"/>
        </w:rPr>
        <w:t>Proxy</w:t>
      </w:r>
      <w:r>
        <w:rPr>
          <w:spacing w:val="11"/>
          <w:w w:val="105"/>
        </w:rPr>
        <w:t> </w:t>
      </w:r>
      <w:r>
        <w:rPr>
          <w:w w:val="105"/>
        </w:rPr>
        <w:t>Statement,</w:t>
      </w:r>
      <w:r>
        <w:rPr>
          <w:spacing w:val="11"/>
          <w:w w:val="105"/>
        </w:rPr>
        <w:t> </w:t>
      </w:r>
      <w:r>
        <w:rPr>
          <w:w w:val="105"/>
        </w:rPr>
        <w:t>if</w:t>
      </w:r>
      <w:r>
        <w:rPr>
          <w:spacing w:val="12"/>
          <w:w w:val="105"/>
        </w:rPr>
        <w:t> </w:t>
      </w:r>
      <w:r>
        <w:rPr>
          <w:w w:val="105"/>
        </w:rPr>
        <w:t>other</w:t>
      </w:r>
      <w:r>
        <w:rPr>
          <w:spacing w:val="11"/>
          <w:w w:val="105"/>
        </w:rPr>
        <w:t> </w:t>
      </w:r>
      <w:r>
        <w:rPr>
          <w:w w:val="105"/>
        </w:rPr>
        <w:t>than</w:t>
      </w:r>
      <w:r>
        <w:rPr>
          <w:spacing w:val="11"/>
          <w:w w:val="105"/>
        </w:rPr>
        <w:t> </w:t>
      </w:r>
      <w:r>
        <w:rPr>
          <w:w w:val="105"/>
        </w:rPr>
        <w:t>the</w:t>
      </w:r>
      <w:r>
        <w:rPr>
          <w:spacing w:val="11"/>
          <w:w w:val="105"/>
        </w:rPr>
        <w:t> </w:t>
      </w:r>
      <w:r>
        <w:rPr>
          <w:spacing w:val="-2"/>
          <w:w w:val="105"/>
        </w:rPr>
        <w:t>Registrant)</w:t>
      </w:r>
    </w:p>
    <w:p>
      <w:pPr>
        <w:pStyle w:val="BodyText"/>
        <w:spacing w:before="171"/>
        <w:ind w:left="1400"/>
      </w:pPr>
      <w:r>
        <w:rPr>
          <w:w w:val="105"/>
        </w:rPr>
        <w:t>Payment</w:t>
      </w:r>
      <w:r>
        <w:rPr>
          <w:spacing w:val="11"/>
          <w:w w:val="105"/>
        </w:rPr>
        <w:t> </w:t>
      </w:r>
      <w:r>
        <w:rPr>
          <w:w w:val="105"/>
        </w:rPr>
        <w:t>of</w:t>
      </w:r>
      <w:r>
        <w:rPr>
          <w:spacing w:val="11"/>
          <w:w w:val="105"/>
        </w:rPr>
        <w:t> </w:t>
      </w:r>
      <w:r>
        <w:rPr>
          <w:w w:val="105"/>
        </w:rPr>
        <w:t>Filing</w:t>
      </w:r>
      <w:r>
        <w:rPr>
          <w:spacing w:val="12"/>
          <w:w w:val="105"/>
        </w:rPr>
        <w:t> </w:t>
      </w:r>
      <w:r>
        <w:rPr>
          <w:w w:val="105"/>
        </w:rPr>
        <w:t>Fee</w:t>
      </w:r>
      <w:r>
        <w:rPr>
          <w:spacing w:val="11"/>
          <w:w w:val="105"/>
        </w:rPr>
        <w:t> </w:t>
      </w:r>
      <w:r>
        <w:rPr>
          <w:w w:val="105"/>
        </w:rPr>
        <w:t>(Check</w:t>
      </w:r>
      <w:r>
        <w:rPr>
          <w:spacing w:val="11"/>
          <w:w w:val="105"/>
        </w:rPr>
        <w:t> </w:t>
      </w:r>
      <w:r>
        <w:rPr>
          <w:w w:val="105"/>
        </w:rPr>
        <w:t>the</w:t>
      </w:r>
      <w:r>
        <w:rPr>
          <w:spacing w:val="12"/>
          <w:w w:val="105"/>
        </w:rPr>
        <w:t> </w:t>
      </w:r>
      <w:r>
        <w:rPr>
          <w:w w:val="105"/>
        </w:rPr>
        <w:t>appropriate</w:t>
      </w:r>
      <w:r>
        <w:rPr>
          <w:spacing w:val="11"/>
          <w:w w:val="105"/>
        </w:rPr>
        <w:t> </w:t>
      </w:r>
      <w:r>
        <w:rPr>
          <w:spacing w:val="-4"/>
          <w:w w:val="105"/>
        </w:rPr>
        <w:t>box):</w:t>
      </w:r>
    </w:p>
    <w:p>
      <w:pPr>
        <w:pStyle w:val="BodyText"/>
        <w:tabs>
          <w:tab w:pos="1772" w:val="left" w:leader="none"/>
        </w:tabs>
        <w:spacing w:before="88"/>
        <w:ind w:left="1400"/>
      </w:pPr>
      <w:r>
        <w:rPr>
          <w:rFonts w:ascii="Segoe UI Symbol" w:hAnsi="Segoe UI Symbol"/>
          <w:spacing w:val="-10"/>
          <w:w w:val="105"/>
        </w:rPr>
        <w:t>☒</w:t>
      </w:r>
      <w:r>
        <w:rPr>
          <w:rFonts w:ascii="Segoe UI Symbol" w:hAnsi="Segoe UI Symbol"/>
        </w:rPr>
        <w:tab/>
      </w:r>
      <w:r>
        <w:rPr>
          <w:w w:val="105"/>
        </w:rPr>
        <w:t>No</w:t>
      </w:r>
      <w:r>
        <w:rPr>
          <w:spacing w:val="6"/>
          <w:w w:val="105"/>
        </w:rPr>
        <w:t> </w:t>
      </w:r>
      <w:r>
        <w:rPr>
          <w:w w:val="105"/>
        </w:rPr>
        <w:t>fee</w:t>
      </w:r>
      <w:r>
        <w:rPr>
          <w:spacing w:val="7"/>
          <w:w w:val="105"/>
        </w:rPr>
        <w:t> </w:t>
      </w:r>
      <w:r>
        <w:rPr>
          <w:spacing w:val="-2"/>
          <w:w w:val="105"/>
        </w:rPr>
        <w:t>required.</w:t>
      </w:r>
    </w:p>
    <w:p>
      <w:pPr>
        <w:pStyle w:val="ListParagraph"/>
        <w:numPr>
          <w:ilvl w:val="0"/>
          <w:numId w:val="1"/>
        </w:numPr>
        <w:tabs>
          <w:tab w:pos="1772" w:val="left" w:leader="none"/>
          <w:tab w:pos="1773" w:val="left" w:leader="none"/>
        </w:tabs>
        <w:spacing w:line="240" w:lineRule="auto" w:before="124" w:after="0"/>
        <w:ind w:left="1772" w:right="0" w:hanging="373"/>
        <w:jc w:val="left"/>
        <w:rPr>
          <w:sz w:val="18"/>
        </w:rPr>
      </w:pPr>
      <w:r>
        <w:rPr>
          <w:w w:val="105"/>
          <w:sz w:val="18"/>
        </w:rPr>
        <w:t>Fee</w:t>
      </w:r>
      <w:r>
        <w:rPr>
          <w:spacing w:val="13"/>
          <w:w w:val="105"/>
          <w:sz w:val="18"/>
        </w:rPr>
        <w:t> </w:t>
      </w:r>
      <w:r>
        <w:rPr>
          <w:w w:val="105"/>
          <w:sz w:val="18"/>
        </w:rPr>
        <w:t>paid</w:t>
      </w:r>
      <w:r>
        <w:rPr>
          <w:spacing w:val="12"/>
          <w:w w:val="105"/>
          <w:sz w:val="18"/>
        </w:rPr>
        <w:t> </w:t>
      </w:r>
      <w:r>
        <w:rPr>
          <w:w w:val="105"/>
          <w:sz w:val="18"/>
        </w:rPr>
        <w:t>previously</w:t>
      </w:r>
      <w:r>
        <w:rPr>
          <w:spacing w:val="13"/>
          <w:w w:val="105"/>
          <w:sz w:val="18"/>
        </w:rPr>
        <w:t> </w:t>
      </w:r>
      <w:r>
        <w:rPr>
          <w:w w:val="105"/>
          <w:sz w:val="18"/>
        </w:rPr>
        <w:t>with</w:t>
      </w:r>
      <w:r>
        <w:rPr>
          <w:spacing w:val="13"/>
          <w:w w:val="105"/>
          <w:sz w:val="18"/>
        </w:rPr>
        <w:t> </w:t>
      </w:r>
      <w:r>
        <w:rPr>
          <w:w w:val="105"/>
          <w:sz w:val="18"/>
        </w:rPr>
        <w:t>preliminary</w:t>
      </w:r>
      <w:r>
        <w:rPr>
          <w:spacing w:val="13"/>
          <w:w w:val="105"/>
          <w:sz w:val="18"/>
        </w:rPr>
        <w:t> </w:t>
      </w:r>
      <w:r>
        <w:rPr>
          <w:spacing w:val="-2"/>
          <w:w w:val="105"/>
          <w:sz w:val="18"/>
        </w:rPr>
        <w:t>materials.</w:t>
      </w:r>
    </w:p>
    <w:p>
      <w:pPr>
        <w:pStyle w:val="ListParagraph"/>
        <w:numPr>
          <w:ilvl w:val="0"/>
          <w:numId w:val="1"/>
        </w:numPr>
        <w:tabs>
          <w:tab w:pos="1772" w:val="left" w:leader="none"/>
          <w:tab w:pos="1773" w:val="left" w:leader="none"/>
        </w:tabs>
        <w:spacing w:line="240" w:lineRule="auto" w:before="138" w:after="0"/>
        <w:ind w:left="1772" w:right="0" w:hanging="373"/>
        <w:jc w:val="left"/>
        <w:rPr>
          <w:sz w:val="18"/>
        </w:rPr>
      </w:pPr>
      <w:r>
        <w:rPr>
          <w:w w:val="105"/>
          <w:sz w:val="18"/>
        </w:rPr>
        <w:t>Fee</w:t>
      </w:r>
      <w:r>
        <w:rPr>
          <w:spacing w:val="10"/>
          <w:w w:val="105"/>
          <w:sz w:val="18"/>
        </w:rPr>
        <w:t> </w:t>
      </w:r>
      <w:r>
        <w:rPr>
          <w:w w:val="105"/>
          <w:sz w:val="18"/>
        </w:rPr>
        <w:t>computed</w:t>
      </w:r>
      <w:r>
        <w:rPr>
          <w:spacing w:val="11"/>
          <w:w w:val="105"/>
          <w:sz w:val="18"/>
        </w:rPr>
        <w:t> </w:t>
      </w:r>
      <w:r>
        <w:rPr>
          <w:w w:val="105"/>
          <w:sz w:val="18"/>
        </w:rPr>
        <w:t>on</w:t>
      </w:r>
      <w:r>
        <w:rPr>
          <w:spacing w:val="11"/>
          <w:w w:val="105"/>
          <w:sz w:val="18"/>
        </w:rPr>
        <w:t> </w:t>
      </w:r>
      <w:r>
        <w:rPr>
          <w:w w:val="105"/>
          <w:sz w:val="18"/>
        </w:rPr>
        <w:t>table</w:t>
      </w:r>
      <w:r>
        <w:rPr>
          <w:spacing w:val="11"/>
          <w:w w:val="105"/>
          <w:sz w:val="18"/>
        </w:rPr>
        <w:t> </w:t>
      </w:r>
      <w:r>
        <w:rPr>
          <w:w w:val="105"/>
          <w:sz w:val="18"/>
        </w:rPr>
        <w:t>in</w:t>
      </w:r>
      <w:r>
        <w:rPr>
          <w:spacing w:val="11"/>
          <w:w w:val="105"/>
          <w:sz w:val="18"/>
        </w:rPr>
        <w:t> </w:t>
      </w:r>
      <w:r>
        <w:rPr>
          <w:w w:val="105"/>
          <w:sz w:val="18"/>
        </w:rPr>
        <w:t>exhibit</w:t>
      </w:r>
      <w:r>
        <w:rPr>
          <w:spacing w:val="11"/>
          <w:w w:val="105"/>
          <w:sz w:val="18"/>
        </w:rPr>
        <w:t> </w:t>
      </w:r>
      <w:r>
        <w:rPr>
          <w:w w:val="105"/>
          <w:sz w:val="18"/>
        </w:rPr>
        <w:t>required</w:t>
      </w:r>
      <w:r>
        <w:rPr>
          <w:spacing w:val="11"/>
          <w:w w:val="105"/>
          <w:sz w:val="18"/>
        </w:rPr>
        <w:t> </w:t>
      </w:r>
      <w:r>
        <w:rPr>
          <w:w w:val="105"/>
          <w:sz w:val="18"/>
        </w:rPr>
        <w:t>by</w:t>
      </w:r>
      <w:r>
        <w:rPr>
          <w:spacing w:val="11"/>
          <w:w w:val="105"/>
          <w:sz w:val="18"/>
        </w:rPr>
        <w:t> </w:t>
      </w:r>
      <w:r>
        <w:rPr>
          <w:w w:val="105"/>
          <w:sz w:val="18"/>
        </w:rPr>
        <w:t>Item</w:t>
      </w:r>
      <w:r>
        <w:rPr>
          <w:spacing w:val="11"/>
          <w:w w:val="105"/>
          <w:sz w:val="18"/>
        </w:rPr>
        <w:t> </w:t>
      </w:r>
      <w:r>
        <w:rPr>
          <w:w w:val="105"/>
          <w:sz w:val="18"/>
        </w:rPr>
        <w:t>25(b)</w:t>
      </w:r>
      <w:r>
        <w:rPr>
          <w:spacing w:val="11"/>
          <w:w w:val="105"/>
          <w:sz w:val="18"/>
        </w:rPr>
        <w:t> </w:t>
      </w:r>
      <w:r>
        <w:rPr>
          <w:w w:val="105"/>
          <w:sz w:val="18"/>
        </w:rPr>
        <w:t>per</w:t>
      </w:r>
      <w:r>
        <w:rPr>
          <w:spacing w:val="11"/>
          <w:w w:val="105"/>
          <w:sz w:val="18"/>
        </w:rPr>
        <w:t> </w:t>
      </w:r>
      <w:r>
        <w:rPr>
          <w:w w:val="105"/>
          <w:sz w:val="18"/>
        </w:rPr>
        <w:t>Exchange</w:t>
      </w:r>
      <w:r>
        <w:rPr>
          <w:spacing w:val="-1"/>
          <w:w w:val="105"/>
          <w:sz w:val="18"/>
        </w:rPr>
        <w:t> </w:t>
      </w:r>
      <w:r>
        <w:rPr>
          <w:w w:val="105"/>
          <w:sz w:val="18"/>
        </w:rPr>
        <w:t>Act</w:t>
      </w:r>
      <w:r>
        <w:rPr>
          <w:spacing w:val="11"/>
          <w:w w:val="105"/>
          <w:sz w:val="18"/>
        </w:rPr>
        <w:t> </w:t>
      </w:r>
      <w:r>
        <w:rPr>
          <w:w w:val="105"/>
          <w:sz w:val="18"/>
        </w:rPr>
        <w:t>Rules</w:t>
      </w:r>
      <w:r>
        <w:rPr>
          <w:spacing w:val="11"/>
          <w:w w:val="105"/>
          <w:sz w:val="18"/>
        </w:rPr>
        <w:t> </w:t>
      </w:r>
      <w:r>
        <w:rPr>
          <w:w w:val="105"/>
          <w:sz w:val="18"/>
        </w:rPr>
        <w:t>14a-6(i)(1)</w:t>
      </w:r>
      <w:r>
        <w:rPr>
          <w:spacing w:val="11"/>
          <w:w w:val="105"/>
          <w:sz w:val="18"/>
        </w:rPr>
        <w:t> </w:t>
      </w:r>
      <w:r>
        <w:rPr>
          <w:w w:val="105"/>
          <w:sz w:val="18"/>
        </w:rPr>
        <w:t>and</w:t>
      </w:r>
      <w:r>
        <w:rPr>
          <w:spacing w:val="11"/>
          <w:w w:val="105"/>
          <w:sz w:val="18"/>
        </w:rPr>
        <w:t> </w:t>
      </w:r>
      <w:r>
        <w:rPr>
          <w:w w:val="105"/>
          <w:sz w:val="18"/>
        </w:rPr>
        <w:t>0-</w:t>
      </w:r>
      <w:r>
        <w:rPr>
          <w:spacing w:val="-5"/>
          <w:w w:val="105"/>
          <w:sz w:val="18"/>
        </w:rPr>
        <w:t>11</w:t>
      </w:r>
    </w:p>
    <w:p>
      <w:pPr>
        <w:spacing w:after="0" w:line="240" w:lineRule="auto"/>
        <w:jc w:val="left"/>
        <w:rPr>
          <w:sz w:val="18"/>
        </w:rPr>
        <w:sectPr>
          <w:footerReference w:type="default" r:id="rId5"/>
          <w:type w:val="continuous"/>
          <w:pgSz w:w="12240" w:h="15840"/>
          <w:pgMar w:footer="773" w:header="0" w:top="600" w:bottom="960" w:left="480" w:right="460"/>
          <w:pgNumType w:start="1"/>
        </w:sectPr>
      </w:pPr>
    </w:p>
    <w:p>
      <w:pPr>
        <w:pStyle w:val="BodyText"/>
        <w:rPr>
          <w:sz w:val="20"/>
        </w:rPr>
      </w:pPr>
    </w:p>
    <w:p>
      <w:pPr>
        <w:pStyle w:val="BodyText"/>
        <w:rPr>
          <w:sz w:val="20"/>
        </w:rPr>
      </w:pPr>
    </w:p>
    <w:p>
      <w:pPr>
        <w:pStyle w:val="BodyText"/>
        <w:rPr>
          <w:sz w:val="20"/>
        </w:rPr>
      </w:pPr>
    </w:p>
    <w:p>
      <w:pPr>
        <w:pStyle w:val="BodyText"/>
        <w:spacing w:before="1"/>
        <w:rPr>
          <w:sz w:val="13"/>
        </w:rPr>
      </w:pPr>
    </w:p>
    <w:p>
      <w:pPr>
        <w:pStyle w:val="BodyText"/>
        <w:ind w:left="4472"/>
        <w:rPr>
          <w:sz w:val="20"/>
        </w:rPr>
      </w:pPr>
      <w:r>
        <w:rPr>
          <w:sz w:val="20"/>
        </w:rPr>
        <w:drawing>
          <wp:inline distT="0" distB="0" distL="0" distR="0">
            <wp:extent cx="1503713" cy="1664207"/>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1503713" cy="1664207"/>
                    </a:xfrm>
                    <a:prstGeom prst="rect">
                      <a:avLst/>
                    </a:prstGeom>
                  </pic:spPr>
                </pic:pic>
              </a:graphicData>
            </a:graphic>
          </wp:inline>
        </w:drawing>
      </w:r>
      <w:r>
        <w:rPr>
          <w:sz w:val="20"/>
        </w:rPr>
      </w:r>
    </w:p>
    <w:p>
      <w:pPr>
        <w:pStyle w:val="BodyText"/>
        <w:rPr>
          <w:sz w:val="20"/>
        </w:rPr>
      </w:pPr>
    </w:p>
    <w:p>
      <w:pPr>
        <w:pStyle w:val="BodyText"/>
        <w:spacing w:before="7"/>
        <w:rPr>
          <w:sz w:val="17"/>
        </w:rPr>
      </w:pPr>
      <w:r>
        <w:rPr/>
        <w:pict>
          <v:rect style="position:absolute;margin-left:256.172516pt;margin-top:11.37289pt;width:100.654902pt;height:.698992pt;mso-position-horizontal-relative:page;mso-position-vertical-relative:paragraph;z-index:-15727616;mso-wrap-distance-left:0;mso-wrap-distance-right:0" id="docshape8" filled="true" fillcolor="#000000" stroked="false">
            <v:fill type="solid"/>
            <w10:wrap type="topAndBottom"/>
          </v:rect>
        </w:pict>
      </w:r>
    </w:p>
    <w:p>
      <w:pPr>
        <w:pStyle w:val="BodyText"/>
        <w:spacing w:before="10"/>
        <w:rPr>
          <w:sz w:val="10"/>
        </w:rPr>
      </w:pPr>
    </w:p>
    <w:p>
      <w:pPr>
        <w:pStyle w:val="BodyText"/>
        <w:spacing w:before="98"/>
        <w:ind w:right="1402"/>
        <w:jc w:val="right"/>
      </w:pPr>
      <w:r>
        <w:rPr>
          <w:w w:val="105"/>
        </w:rPr>
        <w:t>December</w:t>
      </w:r>
      <w:r>
        <w:rPr>
          <w:spacing w:val="10"/>
          <w:w w:val="105"/>
        </w:rPr>
        <w:t> </w:t>
      </w:r>
      <w:r>
        <w:rPr>
          <w:w w:val="105"/>
        </w:rPr>
        <w:t>28,</w:t>
      </w:r>
      <w:r>
        <w:rPr>
          <w:spacing w:val="11"/>
          <w:w w:val="105"/>
        </w:rPr>
        <w:t> </w:t>
      </w:r>
      <w:r>
        <w:rPr>
          <w:spacing w:val="-4"/>
          <w:w w:val="105"/>
        </w:rPr>
        <w:t>2022</w:t>
      </w:r>
    </w:p>
    <w:p>
      <w:pPr>
        <w:pStyle w:val="BodyText"/>
        <w:spacing w:before="171"/>
        <w:ind w:left="1400"/>
      </w:pPr>
      <w:r>
        <w:rPr>
          <w:w w:val="105"/>
        </w:rPr>
        <w:t>Dear</w:t>
      </w:r>
      <w:r>
        <w:rPr>
          <w:spacing w:val="8"/>
          <w:w w:val="105"/>
        </w:rPr>
        <w:t> </w:t>
      </w:r>
      <w:r>
        <w:rPr>
          <w:spacing w:val="-2"/>
          <w:w w:val="105"/>
        </w:rPr>
        <w:t>Stockholder:</w:t>
      </w:r>
    </w:p>
    <w:p>
      <w:pPr>
        <w:pStyle w:val="BodyText"/>
        <w:spacing w:line="259" w:lineRule="auto" w:before="170"/>
        <w:ind w:left="1400" w:right="1551" w:firstLine="372"/>
      </w:pPr>
      <w:r>
        <w:rPr>
          <w:w w:val="105"/>
        </w:rPr>
        <w:t>You are cordially invited to attend Varex Imaging Corporation’s 2023 Annual Meeting of Stockholders</w:t>
      </w:r>
      <w:r>
        <w:rPr>
          <w:spacing w:val="40"/>
          <w:w w:val="105"/>
        </w:rPr>
        <w:t> </w:t>
      </w:r>
      <w:r>
        <w:rPr>
          <w:w w:val="105"/>
        </w:rPr>
        <w:t>on Thursday, February 9, 2023 at 5:30 p.m. Mountain Time. The meeting will be a virtual meeting of stockholders,</w:t>
      </w:r>
      <w:r>
        <w:rPr>
          <w:spacing w:val="21"/>
          <w:w w:val="105"/>
        </w:rPr>
        <w:t> </w:t>
      </w:r>
      <w:r>
        <w:rPr>
          <w:w w:val="105"/>
        </w:rPr>
        <w:t>which</w:t>
      </w:r>
      <w:r>
        <w:rPr>
          <w:spacing w:val="21"/>
          <w:w w:val="105"/>
        </w:rPr>
        <w:t> </w:t>
      </w:r>
      <w:r>
        <w:rPr>
          <w:w w:val="105"/>
        </w:rPr>
        <w:t>will</w:t>
      </w:r>
      <w:r>
        <w:rPr>
          <w:spacing w:val="21"/>
          <w:w w:val="105"/>
        </w:rPr>
        <w:t> </w:t>
      </w:r>
      <w:r>
        <w:rPr>
          <w:w w:val="105"/>
        </w:rPr>
        <w:t>be</w:t>
      </w:r>
      <w:r>
        <w:rPr>
          <w:spacing w:val="21"/>
          <w:w w:val="105"/>
        </w:rPr>
        <w:t> </w:t>
      </w:r>
      <w:r>
        <w:rPr>
          <w:w w:val="105"/>
        </w:rPr>
        <w:t>conducted</w:t>
      </w:r>
      <w:r>
        <w:rPr>
          <w:spacing w:val="21"/>
          <w:w w:val="105"/>
        </w:rPr>
        <w:t> </w:t>
      </w:r>
      <w:r>
        <w:rPr>
          <w:w w:val="105"/>
        </w:rPr>
        <w:t>via</w:t>
      </w:r>
      <w:r>
        <w:rPr>
          <w:spacing w:val="21"/>
          <w:w w:val="105"/>
        </w:rPr>
        <w:t> </w:t>
      </w:r>
      <w:r>
        <w:rPr>
          <w:w w:val="105"/>
        </w:rPr>
        <w:t>a</w:t>
      </w:r>
      <w:r>
        <w:rPr>
          <w:spacing w:val="21"/>
          <w:w w:val="105"/>
        </w:rPr>
        <w:t> </w:t>
      </w:r>
      <w:r>
        <w:rPr>
          <w:w w:val="105"/>
        </w:rPr>
        <w:t>live</w:t>
      </w:r>
      <w:r>
        <w:rPr>
          <w:spacing w:val="21"/>
          <w:w w:val="105"/>
        </w:rPr>
        <w:t> </w:t>
      </w:r>
      <w:r>
        <w:rPr>
          <w:w w:val="105"/>
        </w:rPr>
        <w:t>audio</w:t>
      </w:r>
      <w:r>
        <w:rPr>
          <w:spacing w:val="21"/>
          <w:w w:val="105"/>
        </w:rPr>
        <w:t> </w:t>
      </w:r>
      <w:r>
        <w:rPr>
          <w:w w:val="105"/>
        </w:rPr>
        <w:t>webcast. You</w:t>
      </w:r>
      <w:r>
        <w:rPr>
          <w:spacing w:val="21"/>
          <w:w w:val="105"/>
        </w:rPr>
        <w:t> </w:t>
      </w:r>
      <w:r>
        <w:rPr>
          <w:w w:val="105"/>
        </w:rPr>
        <w:t>will</w:t>
      </w:r>
      <w:r>
        <w:rPr>
          <w:spacing w:val="21"/>
          <w:w w:val="105"/>
        </w:rPr>
        <w:t> </w:t>
      </w:r>
      <w:r>
        <w:rPr>
          <w:w w:val="105"/>
        </w:rPr>
        <w:t>be</w:t>
      </w:r>
      <w:r>
        <w:rPr>
          <w:spacing w:val="21"/>
          <w:w w:val="105"/>
        </w:rPr>
        <w:t> </w:t>
      </w:r>
      <w:r>
        <w:rPr>
          <w:w w:val="105"/>
        </w:rPr>
        <w:t>able</w:t>
      </w:r>
      <w:r>
        <w:rPr>
          <w:spacing w:val="21"/>
          <w:w w:val="105"/>
        </w:rPr>
        <w:t> </w:t>
      </w:r>
      <w:r>
        <w:rPr>
          <w:w w:val="105"/>
        </w:rPr>
        <w:t>to</w:t>
      </w:r>
      <w:r>
        <w:rPr>
          <w:spacing w:val="21"/>
          <w:w w:val="105"/>
        </w:rPr>
        <w:t> </w:t>
      </w:r>
      <w:r>
        <w:rPr>
          <w:w w:val="105"/>
        </w:rPr>
        <w:t>attend</w:t>
      </w:r>
      <w:r>
        <w:rPr>
          <w:spacing w:val="21"/>
          <w:w w:val="105"/>
        </w:rPr>
        <w:t> </w:t>
      </w:r>
      <w:r>
        <w:rPr>
          <w:w w:val="105"/>
        </w:rPr>
        <w:t>the</w:t>
      </w:r>
      <w:r>
        <w:rPr>
          <w:spacing w:val="21"/>
          <w:w w:val="105"/>
        </w:rPr>
        <w:t> </w:t>
      </w:r>
      <w:r>
        <w:rPr>
          <w:w w:val="105"/>
        </w:rPr>
        <w:t>meeting, submit your questions and vote online during the meeting by visiting </w:t>
      </w:r>
      <w:hyperlink r:id="rId9">
        <w:r>
          <w:rPr>
            <w:i/>
            <w:w w:val="105"/>
          </w:rPr>
          <w:t>www.virtualshareholdermeeting.com/VREX2023</w:t>
        </w:r>
        <w:r>
          <w:rPr>
            <w:w w:val="105"/>
          </w:rPr>
          <w:t>.</w:t>
        </w:r>
      </w:hyperlink>
      <w:r>
        <w:rPr>
          <w:w w:val="105"/>
        </w:rPr>
        <w:t> Specific instructions for accessing and participating in the meeting are provided in the notice, proxy card, or voting instruction form you received. The Secretary’s</w:t>
      </w:r>
      <w:r>
        <w:rPr>
          <w:spacing w:val="80"/>
          <w:w w:val="105"/>
        </w:rPr>
        <w:t> </w:t>
      </w:r>
      <w:r>
        <w:rPr>
          <w:w w:val="105"/>
        </w:rPr>
        <w:t>formal</w:t>
      </w:r>
      <w:r>
        <w:rPr>
          <w:spacing w:val="23"/>
          <w:w w:val="105"/>
        </w:rPr>
        <w:t> </w:t>
      </w:r>
      <w:r>
        <w:rPr>
          <w:w w:val="105"/>
        </w:rPr>
        <w:t>notice</w:t>
      </w:r>
      <w:r>
        <w:rPr>
          <w:spacing w:val="23"/>
          <w:w w:val="105"/>
        </w:rPr>
        <w:t> </w:t>
      </w:r>
      <w:r>
        <w:rPr>
          <w:w w:val="105"/>
        </w:rPr>
        <w:t>of</w:t>
      </w:r>
      <w:r>
        <w:rPr>
          <w:spacing w:val="23"/>
          <w:w w:val="105"/>
        </w:rPr>
        <w:t> </w:t>
      </w:r>
      <w:r>
        <w:rPr>
          <w:w w:val="105"/>
        </w:rPr>
        <w:t>the</w:t>
      </w:r>
      <w:r>
        <w:rPr>
          <w:spacing w:val="23"/>
          <w:w w:val="105"/>
        </w:rPr>
        <w:t> </w:t>
      </w:r>
      <w:r>
        <w:rPr>
          <w:w w:val="105"/>
        </w:rPr>
        <w:t>meeting</w:t>
      </w:r>
      <w:r>
        <w:rPr>
          <w:spacing w:val="23"/>
          <w:w w:val="105"/>
        </w:rPr>
        <w:t> </w:t>
      </w:r>
      <w:r>
        <w:rPr>
          <w:w w:val="105"/>
        </w:rPr>
        <w:t>and</w:t>
      </w:r>
      <w:r>
        <w:rPr>
          <w:spacing w:val="23"/>
          <w:w w:val="105"/>
        </w:rPr>
        <w:t> </w:t>
      </w:r>
      <w:r>
        <w:rPr>
          <w:w w:val="105"/>
        </w:rPr>
        <w:t>the</w:t>
      </w:r>
      <w:r>
        <w:rPr>
          <w:spacing w:val="23"/>
          <w:w w:val="105"/>
        </w:rPr>
        <w:t> </w:t>
      </w:r>
      <w:r>
        <w:rPr>
          <w:w w:val="105"/>
        </w:rPr>
        <w:t>Proxy</w:t>
      </w:r>
      <w:r>
        <w:rPr>
          <w:spacing w:val="23"/>
          <w:w w:val="105"/>
        </w:rPr>
        <w:t> </w:t>
      </w:r>
      <w:r>
        <w:rPr>
          <w:w w:val="105"/>
        </w:rPr>
        <w:t>Statement</w:t>
      </w:r>
      <w:r>
        <w:rPr>
          <w:spacing w:val="23"/>
          <w:w w:val="105"/>
        </w:rPr>
        <w:t> </w:t>
      </w:r>
      <w:r>
        <w:rPr>
          <w:w w:val="105"/>
        </w:rPr>
        <w:t>appear</w:t>
      </w:r>
      <w:r>
        <w:rPr>
          <w:spacing w:val="23"/>
          <w:w w:val="105"/>
        </w:rPr>
        <w:t> </w:t>
      </w:r>
      <w:r>
        <w:rPr>
          <w:w w:val="105"/>
        </w:rPr>
        <w:t>on</w:t>
      </w:r>
      <w:r>
        <w:rPr>
          <w:spacing w:val="23"/>
          <w:w w:val="105"/>
        </w:rPr>
        <w:t> </w:t>
      </w:r>
      <w:r>
        <w:rPr>
          <w:w w:val="105"/>
        </w:rPr>
        <w:t>the</w:t>
      </w:r>
      <w:r>
        <w:rPr>
          <w:spacing w:val="23"/>
          <w:w w:val="105"/>
        </w:rPr>
        <w:t> </w:t>
      </w:r>
      <w:r>
        <w:rPr>
          <w:w w:val="105"/>
        </w:rPr>
        <w:t>following</w:t>
      </w:r>
      <w:r>
        <w:rPr>
          <w:spacing w:val="23"/>
          <w:w w:val="105"/>
        </w:rPr>
        <w:t> </w:t>
      </w:r>
      <w:r>
        <w:rPr>
          <w:w w:val="105"/>
        </w:rPr>
        <w:t>pages</w:t>
      </w:r>
      <w:r>
        <w:rPr>
          <w:spacing w:val="23"/>
          <w:w w:val="105"/>
        </w:rPr>
        <w:t> </w:t>
      </w:r>
      <w:r>
        <w:rPr>
          <w:w w:val="105"/>
        </w:rPr>
        <w:t>and</w:t>
      </w:r>
      <w:r>
        <w:rPr>
          <w:spacing w:val="23"/>
          <w:w w:val="105"/>
        </w:rPr>
        <w:t> </w:t>
      </w:r>
      <w:r>
        <w:rPr>
          <w:w w:val="105"/>
        </w:rPr>
        <w:t>describe</w:t>
      </w:r>
      <w:r>
        <w:rPr>
          <w:spacing w:val="23"/>
          <w:w w:val="105"/>
        </w:rPr>
        <w:t> </w:t>
      </w:r>
      <w:r>
        <w:rPr>
          <w:w w:val="105"/>
        </w:rPr>
        <w:t>the matters to be acted upon at the Annual Meeting.</w:t>
      </w:r>
    </w:p>
    <w:p>
      <w:pPr>
        <w:pStyle w:val="BodyText"/>
        <w:spacing w:line="259" w:lineRule="auto" w:before="141"/>
        <w:ind w:left="1400" w:right="1551" w:firstLine="372"/>
      </w:pPr>
      <w:r>
        <w:rPr>
          <w:w w:val="105"/>
        </w:rPr>
        <w:t>We hope that you can join us. However, whether or not you plan to attend, please vote your shares as soon as possible so that your vote will be counted.</w:t>
      </w:r>
    </w:p>
    <w:p>
      <w:pPr>
        <w:pStyle w:val="BodyText"/>
        <w:rPr>
          <w:sz w:val="17"/>
        </w:rPr>
      </w:pPr>
    </w:p>
    <w:p>
      <w:pPr>
        <w:pStyle w:val="BodyText"/>
        <w:ind w:left="5761"/>
      </w:pPr>
      <w:r>
        <w:rPr>
          <w:spacing w:val="-2"/>
          <w:w w:val="105"/>
        </w:rPr>
        <w:t>Sincerely,</w:t>
      </w:r>
    </w:p>
    <w:p>
      <w:pPr>
        <w:pStyle w:val="BodyText"/>
        <w:spacing w:before="6"/>
        <w:rPr>
          <w:sz w:val="5"/>
        </w:rPr>
      </w:pPr>
      <w:r>
        <w:rPr/>
        <w:drawing>
          <wp:anchor distT="0" distB="0" distL="0" distR="0" allowOverlap="1" layoutInCell="1" locked="0" behindDoc="0" simplePos="0" relativeHeight="3">
            <wp:simplePos x="0" y="0"/>
            <wp:positionH relativeFrom="page">
              <wp:posOffset>3963567</wp:posOffset>
            </wp:positionH>
            <wp:positionV relativeFrom="paragraph">
              <wp:posOffset>55643</wp:posOffset>
            </wp:positionV>
            <wp:extent cx="1542287" cy="25412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1542287" cy="254126"/>
                    </a:xfrm>
                    <a:prstGeom prst="rect">
                      <a:avLst/>
                    </a:prstGeom>
                  </pic:spPr>
                </pic:pic>
              </a:graphicData>
            </a:graphic>
          </wp:anchor>
        </w:drawing>
      </w:r>
    </w:p>
    <w:p>
      <w:pPr>
        <w:pStyle w:val="BodyText"/>
        <w:spacing w:before="61"/>
        <w:ind w:left="5761"/>
      </w:pPr>
      <w:r>
        <w:rPr/>
        <w:t>Ruediger</w:t>
      </w:r>
      <w:r>
        <w:rPr>
          <w:spacing w:val="72"/>
        </w:rPr>
        <w:t> </w:t>
      </w:r>
      <w:r>
        <w:rPr/>
        <w:t>Naumann-Etienne,</w:t>
      </w:r>
      <w:r>
        <w:rPr>
          <w:spacing w:val="72"/>
        </w:rPr>
        <w:t> </w:t>
      </w:r>
      <w:r>
        <w:rPr>
          <w:spacing w:val="-5"/>
        </w:rPr>
        <w:t>PhD</w:t>
      </w:r>
    </w:p>
    <w:p>
      <w:pPr>
        <w:spacing w:before="16"/>
        <w:ind w:left="5761" w:right="0" w:firstLine="0"/>
        <w:jc w:val="left"/>
        <w:rPr>
          <w:i/>
          <w:sz w:val="18"/>
        </w:rPr>
      </w:pPr>
      <w:r>
        <w:rPr>
          <w:i/>
          <w:w w:val="105"/>
          <w:sz w:val="18"/>
        </w:rPr>
        <w:t>Chairman</w:t>
      </w:r>
      <w:r>
        <w:rPr>
          <w:i/>
          <w:spacing w:val="9"/>
          <w:w w:val="105"/>
          <w:sz w:val="18"/>
        </w:rPr>
        <w:t> </w:t>
      </w:r>
      <w:r>
        <w:rPr>
          <w:i/>
          <w:w w:val="105"/>
          <w:sz w:val="18"/>
        </w:rPr>
        <w:t>of</w:t>
      </w:r>
      <w:r>
        <w:rPr>
          <w:i/>
          <w:spacing w:val="9"/>
          <w:w w:val="105"/>
          <w:sz w:val="18"/>
        </w:rPr>
        <w:t> </w:t>
      </w:r>
      <w:r>
        <w:rPr>
          <w:i/>
          <w:w w:val="105"/>
          <w:sz w:val="18"/>
        </w:rPr>
        <w:t>the</w:t>
      </w:r>
      <w:r>
        <w:rPr>
          <w:i/>
          <w:spacing w:val="10"/>
          <w:w w:val="105"/>
          <w:sz w:val="18"/>
        </w:rPr>
        <w:t> </w:t>
      </w:r>
      <w:r>
        <w:rPr>
          <w:i/>
          <w:spacing w:val="-2"/>
          <w:w w:val="105"/>
          <w:sz w:val="18"/>
        </w:rPr>
        <w:t>Board</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1"/>
        </w:rPr>
      </w:pPr>
      <w:r>
        <w:rPr/>
        <w:pict>
          <v:group style="position:absolute;margin-left:28.999998pt;margin-top:7.574463pt;width:555pt;height:1.4pt;mso-position-horizontal-relative:page;mso-position-vertical-relative:paragraph;z-index:-15726592;mso-wrap-distance-left:0;mso-wrap-distance-right:0" id="docshapegroup9" coordorigin="580,151" coordsize="11100,28">
            <v:rect style="position:absolute;left:580;top:151;width:11100;height:14" id="docshape10" filled="true" fillcolor="#999999" stroked="false">
              <v:fill type="solid"/>
            </v:rect>
            <v:shape style="position:absolute;left:579;top:151;width:11100;height:28" id="docshape11" coordorigin="580,152" coordsize="11100,28" path="m11680,152l11666,165,580,165,580,179,11666,179,11680,179,11680,165,11680,152xe" filled="true" fillcolor="#ededed" stroked="false">
              <v:path arrowok="t"/>
              <v:fill type="solid"/>
            </v:shape>
            <v:shape style="position:absolute;left:580;top:151;width:14;height:28" id="docshape12" coordorigin="580,151" coordsize="14,28" path="m580,179l580,151,594,151,594,165,580,179xe" filled="true" fillcolor="#999999" stroked="false">
              <v:path arrowok="t"/>
              <v:fill type="solid"/>
            </v:shape>
            <w10:wrap type="topAndBottom"/>
          </v:group>
        </w:pict>
      </w:r>
    </w:p>
    <w:p>
      <w:pPr>
        <w:spacing w:after="0"/>
        <w:rPr>
          <w:sz w:val="11"/>
        </w:rPr>
        <w:sectPr>
          <w:headerReference w:type="default" r:id="rId6"/>
          <w:footerReference w:type="default" r:id="rId7"/>
          <w:pgSz w:w="12240" w:h="15840"/>
          <w:pgMar w:header="529" w:footer="0" w:top="720" w:bottom="280" w:left="480" w:right="460"/>
        </w:sectPr>
      </w:pPr>
    </w:p>
    <w:p>
      <w:pPr>
        <w:pStyle w:val="BodyText"/>
        <w:rPr>
          <w:i/>
          <w:sz w:val="20"/>
        </w:rPr>
      </w:pPr>
    </w:p>
    <w:p>
      <w:pPr>
        <w:pStyle w:val="BodyText"/>
        <w:rPr>
          <w:i/>
          <w:sz w:val="20"/>
        </w:rPr>
      </w:pPr>
    </w:p>
    <w:p>
      <w:pPr>
        <w:pStyle w:val="BodyText"/>
        <w:spacing w:before="2"/>
        <w:rPr>
          <w:i/>
          <w:sz w:val="27"/>
        </w:rPr>
      </w:pPr>
    </w:p>
    <w:p>
      <w:pPr>
        <w:pStyle w:val="Heading2"/>
        <w:spacing w:line="259" w:lineRule="auto" w:before="98"/>
        <w:ind w:left="4471" w:right="4466"/>
        <w:jc w:val="center"/>
      </w:pPr>
      <w:r>
        <w:rPr>
          <w:spacing w:val="-2"/>
        </w:rPr>
        <w:t>Varex</w:t>
      </w:r>
      <w:r>
        <w:rPr>
          <w:spacing w:val="-10"/>
        </w:rPr>
        <w:t> </w:t>
      </w:r>
      <w:r>
        <w:rPr>
          <w:spacing w:val="-2"/>
        </w:rPr>
        <w:t>Imaging</w:t>
      </w:r>
      <w:r>
        <w:rPr>
          <w:spacing w:val="-9"/>
        </w:rPr>
        <w:t> </w:t>
      </w:r>
      <w:r>
        <w:rPr>
          <w:spacing w:val="-2"/>
        </w:rPr>
        <w:t>Corporation </w:t>
      </w:r>
      <w:r>
        <w:rPr>
          <w:w w:val="105"/>
        </w:rPr>
        <w:t>1678 S. Pioneer Road</w:t>
      </w:r>
    </w:p>
    <w:p>
      <w:pPr>
        <w:spacing w:before="1"/>
        <w:ind w:left="4" w:right="1" w:firstLine="0"/>
        <w:jc w:val="center"/>
        <w:rPr>
          <w:b/>
          <w:sz w:val="18"/>
        </w:rPr>
      </w:pPr>
      <w:r>
        <w:rPr>
          <w:b/>
          <w:sz w:val="18"/>
        </w:rPr>
        <w:t>Salt</w:t>
      </w:r>
      <w:r>
        <w:rPr>
          <w:b/>
          <w:spacing w:val="-11"/>
          <w:sz w:val="18"/>
        </w:rPr>
        <w:t> </w:t>
      </w:r>
      <w:r>
        <w:rPr>
          <w:b/>
          <w:sz w:val="18"/>
        </w:rPr>
        <w:t>Lake</w:t>
      </w:r>
      <w:r>
        <w:rPr>
          <w:b/>
          <w:spacing w:val="-11"/>
          <w:sz w:val="18"/>
        </w:rPr>
        <w:t> </w:t>
      </w:r>
      <w:r>
        <w:rPr>
          <w:b/>
          <w:sz w:val="18"/>
        </w:rPr>
        <w:t>City,</w:t>
      </w:r>
      <w:r>
        <w:rPr>
          <w:b/>
          <w:spacing w:val="-11"/>
          <w:sz w:val="18"/>
        </w:rPr>
        <w:t> </w:t>
      </w:r>
      <w:r>
        <w:rPr>
          <w:b/>
          <w:sz w:val="18"/>
        </w:rPr>
        <w:t>Utah</w:t>
      </w:r>
      <w:r>
        <w:rPr>
          <w:b/>
          <w:spacing w:val="-11"/>
          <w:sz w:val="18"/>
        </w:rPr>
        <w:t> </w:t>
      </w:r>
      <w:r>
        <w:rPr>
          <w:b/>
          <w:spacing w:val="-2"/>
          <w:sz w:val="18"/>
        </w:rPr>
        <w:t>84104</w:t>
      </w:r>
    </w:p>
    <w:p>
      <w:pPr>
        <w:pStyle w:val="BodyText"/>
        <w:spacing w:before="100"/>
        <w:ind w:left="6968" w:right="1"/>
        <w:jc w:val="center"/>
      </w:pPr>
      <w:r>
        <w:rPr>
          <w:w w:val="105"/>
        </w:rPr>
        <w:t>December</w:t>
      </w:r>
      <w:r>
        <w:rPr>
          <w:spacing w:val="10"/>
          <w:w w:val="105"/>
        </w:rPr>
        <w:t> </w:t>
      </w:r>
      <w:r>
        <w:rPr>
          <w:w w:val="105"/>
        </w:rPr>
        <w:t>28,</w:t>
      </w:r>
      <w:r>
        <w:rPr>
          <w:spacing w:val="11"/>
          <w:w w:val="105"/>
        </w:rPr>
        <w:t> </w:t>
      </w:r>
      <w:r>
        <w:rPr>
          <w:spacing w:val="-4"/>
          <w:w w:val="105"/>
        </w:rPr>
        <w:t>2022</w:t>
      </w:r>
    </w:p>
    <w:p>
      <w:pPr>
        <w:pStyle w:val="BodyText"/>
        <w:spacing w:before="4"/>
        <w:rPr>
          <w:sz w:val="12"/>
        </w:rPr>
      </w:pPr>
    </w:p>
    <w:p>
      <w:pPr>
        <w:pStyle w:val="Heading1"/>
        <w:spacing w:line="259" w:lineRule="auto" w:before="99"/>
        <w:ind w:left="4537" w:right="2815" w:hanging="1369"/>
        <w:jc w:val="left"/>
      </w:pPr>
      <w:r>
        <w:rPr/>
        <w:t>NOTICE</w:t>
      </w:r>
      <w:r>
        <w:rPr>
          <w:spacing w:val="-4"/>
        </w:rPr>
        <w:t> </w:t>
      </w:r>
      <w:r>
        <w:rPr/>
        <w:t>OF</w:t>
      </w:r>
      <w:r>
        <w:rPr>
          <w:spacing w:val="-12"/>
        </w:rPr>
        <w:t> </w:t>
      </w:r>
      <w:r>
        <w:rPr/>
        <w:t>2023</w:t>
      </w:r>
      <w:r>
        <w:rPr>
          <w:spacing w:val="-16"/>
        </w:rPr>
        <w:t> </w:t>
      </w:r>
      <w:r>
        <w:rPr/>
        <w:t>ANNUAL</w:t>
      </w:r>
      <w:r>
        <w:rPr>
          <w:spacing w:val="-16"/>
        </w:rPr>
        <w:t> </w:t>
      </w:r>
      <w:r>
        <w:rPr/>
        <w:t>MEETING</w:t>
      </w:r>
      <w:r>
        <w:rPr>
          <w:spacing w:val="-4"/>
        </w:rPr>
        <w:t> </w:t>
      </w:r>
      <w:r>
        <w:rPr/>
        <w:t>OF</w:t>
      </w:r>
      <w:r>
        <w:rPr>
          <w:spacing w:val="-12"/>
        </w:rPr>
        <w:t> </w:t>
      </w:r>
      <w:r>
        <w:rPr/>
        <w:t>STOCKHOLDERS </w:t>
      </w:r>
      <w:r>
        <w:rPr>
          <w:w w:val="105"/>
        </w:rPr>
        <w:t>AND PROXY</w:t>
      </w:r>
      <w:r>
        <w:rPr>
          <w:spacing w:val="-2"/>
          <w:w w:val="105"/>
        </w:rPr>
        <w:t> </w:t>
      </w:r>
      <w:r>
        <w:rPr>
          <w:w w:val="105"/>
        </w:rPr>
        <w:t>STATEMENT</w:t>
      </w:r>
    </w:p>
    <w:p>
      <w:pPr>
        <w:pStyle w:val="BodyText"/>
        <w:spacing w:before="140"/>
        <w:ind w:left="1772"/>
      </w:pPr>
      <w:r>
        <w:rPr>
          <w:w w:val="105"/>
        </w:rPr>
        <w:t>Varex</w:t>
      </w:r>
      <w:r>
        <w:rPr>
          <w:spacing w:val="9"/>
          <w:w w:val="105"/>
        </w:rPr>
        <w:t> </w:t>
      </w:r>
      <w:r>
        <w:rPr>
          <w:w w:val="105"/>
        </w:rPr>
        <w:t>Imaging</w:t>
      </w:r>
      <w:r>
        <w:rPr>
          <w:spacing w:val="10"/>
          <w:w w:val="105"/>
        </w:rPr>
        <w:t> </w:t>
      </w:r>
      <w:r>
        <w:rPr>
          <w:w w:val="105"/>
        </w:rPr>
        <w:t>Corporation</w:t>
      </w:r>
      <w:r>
        <w:rPr>
          <w:spacing w:val="10"/>
          <w:w w:val="105"/>
        </w:rPr>
        <w:t> </w:t>
      </w:r>
      <w:r>
        <w:rPr>
          <w:w w:val="105"/>
        </w:rPr>
        <w:t>will</w:t>
      </w:r>
      <w:r>
        <w:rPr>
          <w:spacing w:val="10"/>
          <w:w w:val="105"/>
        </w:rPr>
        <w:t> </w:t>
      </w:r>
      <w:r>
        <w:rPr>
          <w:w w:val="105"/>
        </w:rPr>
        <w:t>hold</w:t>
      </w:r>
      <w:r>
        <w:rPr>
          <w:spacing w:val="10"/>
          <w:w w:val="105"/>
        </w:rPr>
        <w:t> </w:t>
      </w:r>
      <w:r>
        <w:rPr>
          <w:w w:val="105"/>
        </w:rPr>
        <w:t>its</w:t>
      </w:r>
      <w:r>
        <w:rPr>
          <w:spacing w:val="10"/>
          <w:w w:val="105"/>
        </w:rPr>
        <w:t> </w:t>
      </w:r>
      <w:r>
        <w:rPr>
          <w:w w:val="105"/>
        </w:rPr>
        <w:t>2023</w:t>
      </w:r>
      <w:r>
        <w:rPr>
          <w:spacing w:val="-2"/>
          <w:w w:val="105"/>
        </w:rPr>
        <w:t> </w:t>
      </w:r>
      <w:r>
        <w:rPr>
          <w:w w:val="105"/>
        </w:rPr>
        <w:t>Annual</w:t>
      </w:r>
      <w:r>
        <w:rPr>
          <w:spacing w:val="10"/>
          <w:w w:val="105"/>
        </w:rPr>
        <w:t> </w:t>
      </w:r>
      <w:r>
        <w:rPr>
          <w:w w:val="105"/>
        </w:rPr>
        <w:t>Meeting</w:t>
      </w:r>
      <w:r>
        <w:rPr>
          <w:spacing w:val="9"/>
          <w:w w:val="105"/>
        </w:rPr>
        <w:t> </w:t>
      </w:r>
      <w:r>
        <w:rPr>
          <w:w w:val="105"/>
        </w:rPr>
        <w:t>of</w:t>
      </w:r>
      <w:r>
        <w:rPr>
          <w:spacing w:val="10"/>
          <w:w w:val="105"/>
        </w:rPr>
        <w:t> </w:t>
      </w:r>
      <w:r>
        <w:rPr>
          <w:w w:val="105"/>
        </w:rPr>
        <w:t>Stockholders</w:t>
      </w:r>
      <w:r>
        <w:rPr>
          <w:spacing w:val="10"/>
          <w:w w:val="105"/>
        </w:rPr>
        <w:t> </w:t>
      </w:r>
      <w:r>
        <w:rPr>
          <w:w w:val="105"/>
        </w:rPr>
        <w:t>on</w:t>
      </w:r>
      <w:r>
        <w:rPr>
          <w:spacing w:val="6"/>
          <w:w w:val="105"/>
        </w:rPr>
        <w:t> </w:t>
      </w:r>
      <w:r>
        <w:rPr>
          <w:spacing w:val="-2"/>
          <w:w w:val="105"/>
        </w:rPr>
        <w:t>Thursday,</w:t>
      </w:r>
    </w:p>
    <w:p>
      <w:pPr>
        <w:pStyle w:val="BodyText"/>
        <w:spacing w:line="259" w:lineRule="auto" w:before="16"/>
        <w:ind w:left="1400" w:right="1551"/>
      </w:pPr>
      <w:r>
        <w:rPr>
          <w:w w:val="105"/>
        </w:rPr>
        <w:t>February 9, 2023 at 5:30 p.m. Mountain Time. The meeting will be a virtual meeting of stockholders, which</w:t>
      </w:r>
      <w:r>
        <w:rPr>
          <w:spacing w:val="40"/>
          <w:w w:val="105"/>
        </w:rPr>
        <w:t> </w:t>
      </w:r>
      <w:r>
        <w:rPr>
          <w:w w:val="105"/>
        </w:rPr>
        <w:t>will</w:t>
      </w:r>
      <w:r>
        <w:rPr>
          <w:spacing w:val="20"/>
          <w:w w:val="105"/>
        </w:rPr>
        <w:t> </w:t>
      </w:r>
      <w:r>
        <w:rPr>
          <w:w w:val="105"/>
        </w:rPr>
        <w:t>be</w:t>
      </w:r>
      <w:r>
        <w:rPr>
          <w:spacing w:val="20"/>
          <w:w w:val="105"/>
        </w:rPr>
        <w:t> </w:t>
      </w:r>
      <w:r>
        <w:rPr>
          <w:w w:val="105"/>
        </w:rPr>
        <w:t>conducted</w:t>
      </w:r>
      <w:r>
        <w:rPr>
          <w:spacing w:val="20"/>
          <w:w w:val="105"/>
        </w:rPr>
        <w:t> </w:t>
      </w:r>
      <w:r>
        <w:rPr>
          <w:w w:val="105"/>
        </w:rPr>
        <w:t>via</w:t>
      </w:r>
      <w:r>
        <w:rPr>
          <w:spacing w:val="20"/>
          <w:w w:val="105"/>
        </w:rPr>
        <w:t> </w:t>
      </w:r>
      <w:r>
        <w:rPr>
          <w:w w:val="105"/>
        </w:rPr>
        <w:t>a</w:t>
      </w:r>
      <w:r>
        <w:rPr>
          <w:spacing w:val="20"/>
          <w:w w:val="105"/>
        </w:rPr>
        <w:t> </w:t>
      </w:r>
      <w:r>
        <w:rPr>
          <w:w w:val="105"/>
        </w:rPr>
        <w:t>live</w:t>
      </w:r>
      <w:r>
        <w:rPr>
          <w:spacing w:val="20"/>
          <w:w w:val="105"/>
        </w:rPr>
        <w:t> </w:t>
      </w:r>
      <w:r>
        <w:rPr>
          <w:w w:val="105"/>
        </w:rPr>
        <w:t>audio</w:t>
      </w:r>
      <w:r>
        <w:rPr>
          <w:spacing w:val="20"/>
          <w:w w:val="105"/>
        </w:rPr>
        <w:t> </w:t>
      </w:r>
      <w:r>
        <w:rPr>
          <w:w w:val="105"/>
        </w:rPr>
        <w:t>webcast.</w:t>
      </w:r>
      <w:r>
        <w:rPr>
          <w:spacing w:val="11"/>
          <w:w w:val="105"/>
        </w:rPr>
        <w:t> </w:t>
      </w:r>
      <w:r>
        <w:rPr>
          <w:w w:val="105"/>
        </w:rPr>
        <w:t>You</w:t>
      </w:r>
      <w:r>
        <w:rPr>
          <w:spacing w:val="20"/>
          <w:w w:val="105"/>
        </w:rPr>
        <w:t> </w:t>
      </w:r>
      <w:r>
        <w:rPr>
          <w:w w:val="105"/>
        </w:rPr>
        <w:t>will</w:t>
      </w:r>
      <w:r>
        <w:rPr>
          <w:spacing w:val="20"/>
          <w:w w:val="105"/>
        </w:rPr>
        <w:t> </w:t>
      </w:r>
      <w:r>
        <w:rPr>
          <w:w w:val="105"/>
        </w:rPr>
        <w:t>be</w:t>
      </w:r>
      <w:r>
        <w:rPr>
          <w:spacing w:val="20"/>
          <w:w w:val="105"/>
        </w:rPr>
        <w:t> </w:t>
      </w:r>
      <w:r>
        <w:rPr>
          <w:w w:val="105"/>
        </w:rPr>
        <w:t>able</w:t>
      </w:r>
      <w:r>
        <w:rPr>
          <w:spacing w:val="20"/>
          <w:w w:val="105"/>
        </w:rPr>
        <w:t> </w:t>
      </w:r>
      <w:r>
        <w:rPr>
          <w:w w:val="105"/>
        </w:rPr>
        <w:t>to</w:t>
      </w:r>
      <w:r>
        <w:rPr>
          <w:spacing w:val="20"/>
          <w:w w:val="105"/>
        </w:rPr>
        <w:t> </w:t>
      </w:r>
      <w:r>
        <w:rPr>
          <w:w w:val="105"/>
        </w:rPr>
        <w:t>attend</w:t>
      </w:r>
      <w:r>
        <w:rPr>
          <w:spacing w:val="20"/>
          <w:w w:val="105"/>
        </w:rPr>
        <w:t> </w:t>
      </w:r>
      <w:r>
        <w:rPr>
          <w:w w:val="105"/>
        </w:rPr>
        <w:t>the</w:t>
      </w:r>
      <w:r>
        <w:rPr>
          <w:spacing w:val="20"/>
          <w:w w:val="105"/>
        </w:rPr>
        <w:t> </w:t>
      </w:r>
      <w:r>
        <w:rPr>
          <w:w w:val="105"/>
        </w:rPr>
        <w:t>meeting,</w:t>
      </w:r>
      <w:r>
        <w:rPr>
          <w:spacing w:val="20"/>
          <w:w w:val="105"/>
        </w:rPr>
        <w:t> </w:t>
      </w:r>
      <w:r>
        <w:rPr>
          <w:w w:val="105"/>
        </w:rPr>
        <w:t>submit</w:t>
      </w:r>
      <w:r>
        <w:rPr>
          <w:spacing w:val="20"/>
          <w:w w:val="105"/>
        </w:rPr>
        <w:t> </w:t>
      </w:r>
      <w:r>
        <w:rPr>
          <w:w w:val="105"/>
        </w:rPr>
        <w:t>your</w:t>
      </w:r>
      <w:r>
        <w:rPr>
          <w:spacing w:val="20"/>
          <w:w w:val="105"/>
        </w:rPr>
        <w:t> </w:t>
      </w:r>
      <w:r>
        <w:rPr>
          <w:w w:val="105"/>
        </w:rPr>
        <w:t>questions and vote online during the meeting by visiting </w:t>
      </w:r>
      <w:hyperlink r:id="rId9">
        <w:r>
          <w:rPr>
            <w:i/>
            <w:w w:val="105"/>
          </w:rPr>
          <w:t>www.virtualshareholdermeeting.com/VREX2023</w:t>
        </w:r>
        <w:r>
          <w:rPr>
            <w:w w:val="105"/>
          </w:rPr>
          <w:t>.</w:t>
        </w:r>
      </w:hyperlink>
    </w:p>
    <w:p>
      <w:pPr>
        <w:pStyle w:val="BodyText"/>
        <w:spacing w:before="155"/>
        <w:ind w:left="1772"/>
      </w:pPr>
      <w:r>
        <w:rPr>
          <w:w w:val="105"/>
        </w:rPr>
        <w:t>This</w:t>
      </w:r>
      <w:r>
        <w:rPr>
          <w:spacing w:val="-2"/>
          <w:w w:val="105"/>
        </w:rPr>
        <w:t> </w:t>
      </w:r>
      <w:r>
        <w:rPr>
          <w:w w:val="105"/>
        </w:rPr>
        <w:t>Annual</w:t>
      </w:r>
      <w:r>
        <w:rPr>
          <w:spacing w:val="11"/>
          <w:w w:val="105"/>
        </w:rPr>
        <w:t> </w:t>
      </w:r>
      <w:r>
        <w:rPr>
          <w:w w:val="105"/>
        </w:rPr>
        <w:t>Meeting</w:t>
      </w:r>
      <w:r>
        <w:rPr>
          <w:spacing w:val="11"/>
          <w:w w:val="105"/>
        </w:rPr>
        <w:t> </w:t>
      </w:r>
      <w:r>
        <w:rPr>
          <w:w w:val="105"/>
        </w:rPr>
        <w:t>is</w:t>
      </w:r>
      <w:r>
        <w:rPr>
          <w:spacing w:val="10"/>
          <w:w w:val="105"/>
        </w:rPr>
        <w:t> </w:t>
      </w:r>
      <w:r>
        <w:rPr>
          <w:w w:val="105"/>
        </w:rPr>
        <w:t>being</w:t>
      </w:r>
      <w:r>
        <w:rPr>
          <w:spacing w:val="11"/>
          <w:w w:val="105"/>
        </w:rPr>
        <w:t> </w:t>
      </w:r>
      <w:r>
        <w:rPr>
          <w:w w:val="105"/>
        </w:rPr>
        <w:t>held</w:t>
      </w:r>
      <w:r>
        <w:rPr>
          <w:spacing w:val="10"/>
          <w:w w:val="105"/>
        </w:rPr>
        <w:t> </w:t>
      </w:r>
      <w:r>
        <w:rPr>
          <w:w w:val="105"/>
        </w:rPr>
        <w:t>for</w:t>
      </w:r>
      <w:r>
        <w:rPr>
          <w:spacing w:val="11"/>
          <w:w w:val="105"/>
        </w:rPr>
        <w:t> </w:t>
      </w:r>
      <w:r>
        <w:rPr>
          <w:w w:val="105"/>
        </w:rPr>
        <w:t>the</w:t>
      </w:r>
      <w:r>
        <w:rPr>
          <w:spacing w:val="10"/>
          <w:w w:val="105"/>
        </w:rPr>
        <w:t> </w:t>
      </w:r>
      <w:r>
        <w:rPr>
          <w:w w:val="105"/>
        </w:rPr>
        <w:t>following</w:t>
      </w:r>
      <w:r>
        <w:rPr>
          <w:spacing w:val="11"/>
          <w:w w:val="105"/>
        </w:rPr>
        <w:t> </w:t>
      </w:r>
      <w:r>
        <w:rPr>
          <w:spacing w:val="-2"/>
          <w:w w:val="105"/>
        </w:rPr>
        <w:t>purposes:</w:t>
      </w:r>
    </w:p>
    <w:p>
      <w:pPr>
        <w:pStyle w:val="ListParagraph"/>
        <w:numPr>
          <w:ilvl w:val="0"/>
          <w:numId w:val="2"/>
        </w:numPr>
        <w:tabs>
          <w:tab w:pos="2145" w:val="left" w:leader="none"/>
          <w:tab w:pos="2146" w:val="left" w:leader="none"/>
        </w:tabs>
        <w:spacing w:line="240" w:lineRule="auto" w:before="170" w:after="0"/>
        <w:ind w:left="2145" w:right="0" w:hanging="374"/>
        <w:jc w:val="left"/>
        <w:rPr>
          <w:sz w:val="18"/>
        </w:rPr>
      </w:pPr>
      <w:r>
        <w:rPr>
          <w:w w:val="105"/>
          <w:sz w:val="18"/>
        </w:rPr>
        <w:t>to</w:t>
      </w:r>
      <w:r>
        <w:rPr>
          <w:spacing w:val="10"/>
          <w:w w:val="105"/>
          <w:sz w:val="18"/>
        </w:rPr>
        <w:t> </w:t>
      </w:r>
      <w:r>
        <w:rPr>
          <w:w w:val="105"/>
          <w:sz w:val="18"/>
        </w:rPr>
        <w:t>elect</w:t>
      </w:r>
      <w:r>
        <w:rPr>
          <w:spacing w:val="11"/>
          <w:w w:val="105"/>
          <w:sz w:val="18"/>
        </w:rPr>
        <w:t> </w:t>
      </w:r>
      <w:r>
        <w:rPr>
          <w:w w:val="105"/>
          <w:sz w:val="18"/>
        </w:rPr>
        <w:t>seven</w:t>
      </w:r>
      <w:r>
        <w:rPr>
          <w:spacing w:val="10"/>
          <w:w w:val="105"/>
          <w:sz w:val="18"/>
        </w:rPr>
        <w:t> </w:t>
      </w:r>
      <w:r>
        <w:rPr>
          <w:w w:val="105"/>
          <w:sz w:val="18"/>
        </w:rPr>
        <w:t>directors</w:t>
      </w:r>
      <w:r>
        <w:rPr>
          <w:spacing w:val="11"/>
          <w:w w:val="105"/>
          <w:sz w:val="18"/>
        </w:rPr>
        <w:t> </w:t>
      </w:r>
      <w:r>
        <w:rPr>
          <w:w w:val="105"/>
          <w:sz w:val="18"/>
        </w:rPr>
        <w:t>to</w:t>
      </w:r>
      <w:r>
        <w:rPr>
          <w:spacing w:val="10"/>
          <w:w w:val="105"/>
          <w:sz w:val="18"/>
        </w:rPr>
        <w:t> </w:t>
      </w:r>
      <w:r>
        <w:rPr>
          <w:w w:val="105"/>
          <w:sz w:val="18"/>
        </w:rPr>
        <w:t>serve</w:t>
      </w:r>
      <w:r>
        <w:rPr>
          <w:spacing w:val="11"/>
          <w:w w:val="105"/>
          <w:sz w:val="18"/>
        </w:rPr>
        <w:t> </w:t>
      </w:r>
      <w:r>
        <w:rPr>
          <w:w w:val="105"/>
          <w:sz w:val="18"/>
        </w:rPr>
        <w:t>until</w:t>
      </w:r>
      <w:r>
        <w:rPr>
          <w:spacing w:val="10"/>
          <w:w w:val="105"/>
          <w:sz w:val="18"/>
        </w:rPr>
        <w:t> </w:t>
      </w:r>
      <w:r>
        <w:rPr>
          <w:w w:val="105"/>
          <w:sz w:val="18"/>
        </w:rPr>
        <w:t>the</w:t>
      </w:r>
      <w:r>
        <w:rPr>
          <w:spacing w:val="11"/>
          <w:w w:val="105"/>
          <w:sz w:val="18"/>
        </w:rPr>
        <w:t> </w:t>
      </w:r>
      <w:r>
        <w:rPr>
          <w:w w:val="105"/>
          <w:sz w:val="18"/>
        </w:rPr>
        <w:t>2024</w:t>
      </w:r>
      <w:r>
        <w:rPr>
          <w:spacing w:val="-2"/>
          <w:w w:val="105"/>
          <w:sz w:val="18"/>
        </w:rPr>
        <w:t> </w:t>
      </w:r>
      <w:r>
        <w:rPr>
          <w:w w:val="105"/>
          <w:sz w:val="18"/>
        </w:rPr>
        <w:t>Annual</w:t>
      </w:r>
      <w:r>
        <w:rPr>
          <w:spacing w:val="11"/>
          <w:w w:val="105"/>
          <w:sz w:val="18"/>
        </w:rPr>
        <w:t> </w:t>
      </w:r>
      <w:r>
        <w:rPr>
          <w:w w:val="105"/>
          <w:sz w:val="18"/>
        </w:rPr>
        <w:t>Meeting</w:t>
      </w:r>
      <w:r>
        <w:rPr>
          <w:spacing w:val="10"/>
          <w:w w:val="105"/>
          <w:sz w:val="18"/>
        </w:rPr>
        <w:t> </w:t>
      </w:r>
      <w:r>
        <w:rPr>
          <w:w w:val="105"/>
          <w:sz w:val="18"/>
        </w:rPr>
        <w:t>of</w:t>
      </w:r>
      <w:r>
        <w:rPr>
          <w:spacing w:val="11"/>
          <w:w w:val="105"/>
          <w:sz w:val="18"/>
        </w:rPr>
        <w:t> </w:t>
      </w:r>
      <w:r>
        <w:rPr>
          <w:spacing w:val="-2"/>
          <w:w w:val="105"/>
          <w:sz w:val="18"/>
        </w:rPr>
        <w:t>Stockholders;</w:t>
      </w:r>
    </w:p>
    <w:p>
      <w:pPr>
        <w:pStyle w:val="ListParagraph"/>
        <w:numPr>
          <w:ilvl w:val="0"/>
          <w:numId w:val="2"/>
        </w:numPr>
        <w:tabs>
          <w:tab w:pos="2145" w:val="left" w:leader="none"/>
          <w:tab w:pos="2146" w:val="left" w:leader="none"/>
        </w:tabs>
        <w:spacing w:line="259" w:lineRule="auto" w:before="157" w:after="0"/>
        <w:ind w:left="2145" w:right="1420" w:hanging="373"/>
        <w:jc w:val="left"/>
        <w:rPr>
          <w:sz w:val="18"/>
        </w:rPr>
      </w:pPr>
      <w:r>
        <w:rPr>
          <w:w w:val="105"/>
          <w:sz w:val="18"/>
        </w:rPr>
        <w:t>to approve, on an advisory basis, the compensation of our named executive officers as described in</w:t>
      </w:r>
      <w:r>
        <w:rPr>
          <w:spacing w:val="40"/>
          <w:w w:val="105"/>
          <w:sz w:val="18"/>
        </w:rPr>
        <w:t> </w:t>
      </w:r>
      <w:r>
        <w:rPr>
          <w:w w:val="105"/>
          <w:sz w:val="18"/>
        </w:rPr>
        <w:t>the accompanying Proxy Statement;</w:t>
      </w:r>
    </w:p>
    <w:p>
      <w:pPr>
        <w:pStyle w:val="ListParagraph"/>
        <w:numPr>
          <w:ilvl w:val="0"/>
          <w:numId w:val="2"/>
        </w:numPr>
        <w:tabs>
          <w:tab w:pos="2145" w:val="left" w:leader="none"/>
          <w:tab w:pos="2146" w:val="left" w:leader="none"/>
        </w:tabs>
        <w:spacing w:line="259" w:lineRule="auto" w:before="154" w:after="0"/>
        <w:ind w:left="2145" w:right="1828" w:hanging="373"/>
        <w:jc w:val="left"/>
        <w:rPr>
          <w:sz w:val="18"/>
        </w:rPr>
      </w:pPr>
      <w:r>
        <w:rPr>
          <w:w w:val="105"/>
          <w:sz w:val="18"/>
        </w:rPr>
        <w:t>to ratify the appointment of Deloitte &amp; Touche LLP (“</w:t>
      </w:r>
      <w:r>
        <w:rPr>
          <w:b/>
          <w:w w:val="105"/>
          <w:sz w:val="18"/>
        </w:rPr>
        <w:t>Deloitte</w:t>
      </w:r>
      <w:r>
        <w:rPr>
          <w:w w:val="105"/>
          <w:sz w:val="18"/>
        </w:rPr>
        <w:t>”) as our independent registered public accounting firm for fiscal year 2023; and</w:t>
      </w:r>
    </w:p>
    <w:p>
      <w:pPr>
        <w:pStyle w:val="ListParagraph"/>
        <w:numPr>
          <w:ilvl w:val="0"/>
          <w:numId w:val="2"/>
        </w:numPr>
        <w:tabs>
          <w:tab w:pos="2145" w:val="left" w:leader="none"/>
          <w:tab w:pos="2146" w:val="left" w:leader="none"/>
        </w:tabs>
        <w:spacing w:line="240" w:lineRule="auto" w:before="154" w:after="0"/>
        <w:ind w:left="2145" w:right="0" w:hanging="374"/>
        <w:jc w:val="left"/>
        <w:rPr>
          <w:sz w:val="18"/>
        </w:rPr>
      </w:pPr>
      <w:r>
        <w:rPr>
          <w:w w:val="105"/>
          <w:sz w:val="18"/>
        </w:rPr>
        <w:t>to</w:t>
      </w:r>
      <w:r>
        <w:rPr>
          <w:spacing w:val="11"/>
          <w:w w:val="105"/>
          <w:sz w:val="18"/>
        </w:rPr>
        <w:t> </w:t>
      </w:r>
      <w:r>
        <w:rPr>
          <w:w w:val="105"/>
          <w:sz w:val="18"/>
        </w:rPr>
        <w:t>transact</w:t>
      </w:r>
      <w:r>
        <w:rPr>
          <w:spacing w:val="12"/>
          <w:w w:val="105"/>
          <w:sz w:val="18"/>
        </w:rPr>
        <w:t> </w:t>
      </w:r>
      <w:r>
        <w:rPr>
          <w:w w:val="105"/>
          <w:sz w:val="18"/>
        </w:rPr>
        <w:t>any</w:t>
      </w:r>
      <w:r>
        <w:rPr>
          <w:spacing w:val="11"/>
          <w:w w:val="105"/>
          <w:sz w:val="18"/>
        </w:rPr>
        <w:t> </w:t>
      </w:r>
      <w:r>
        <w:rPr>
          <w:w w:val="105"/>
          <w:sz w:val="18"/>
        </w:rPr>
        <w:t>other</w:t>
      </w:r>
      <w:r>
        <w:rPr>
          <w:spacing w:val="11"/>
          <w:w w:val="105"/>
          <w:sz w:val="18"/>
        </w:rPr>
        <w:t> </w:t>
      </w:r>
      <w:r>
        <w:rPr>
          <w:w w:val="105"/>
          <w:sz w:val="18"/>
        </w:rPr>
        <w:t>business</w:t>
      </w:r>
      <w:r>
        <w:rPr>
          <w:spacing w:val="12"/>
          <w:w w:val="105"/>
          <w:sz w:val="18"/>
        </w:rPr>
        <w:t> </w:t>
      </w:r>
      <w:r>
        <w:rPr>
          <w:w w:val="105"/>
          <w:sz w:val="18"/>
        </w:rPr>
        <w:t>that</w:t>
      </w:r>
      <w:r>
        <w:rPr>
          <w:spacing w:val="11"/>
          <w:w w:val="105"/>
          <w:sz w:val="18"/>
        </w:rPr>
        <w:t> </w:t>
      </w:r>
      <w:r>
        <w:rPr>
          <w:w w:val="105"/>
          <w:sz w:val="18"/>
        </w:rPr>
        <w:t>properly</w:t>
      </w:r>
      <w:r>
        <w:rPr>
          <w:spacing w:val="12"/>
          <w:w w:val="105"/>
          <w:sz w:val="18"/>
        </w:rPr>
        <w:t> </w:t>
      </w:r>
      <w:r>
        <w:rPr>
          <w:w w:val="105"/>
          <w:sz w:val="18"/>
        </w:rPr>
        <w:t>comes</w:t>
      </w:r>
      <w:r>
        <w:rPr>
          <w:spacing w:val="11"/>
          <w:w w:val="105"/>
          <w:sz w:val="18"/>
        </w:rPr>
        <w:t> </w:t>
      </w:r>
      <w:r>
        <w:rPr>
          <w:w w:val="105"/>
          <w:sz w:val="18"/>
        </w:rPr>
        <w:t>before</w:t>
      </w:r>
      <w:r>
        <w:rPr>
          <w:spacing w:val="12"/>
          <w:w w:val="105"/>
          <w:sz w:val="18"/>
        </w:rPr>
        <w:t> </w:t>
      </w:r>
      <w:r>
        <w:rPr>
          <w:w w:val="105"/>
          <w:sz w:val="18"/>
        </w:rPr>
        <w:t>the</w:t>
      </w:r>
      <w:r>
        <w:rPr>
          <w:spacing w:val="-1"/>
          <w:w w:val="105"/>
          <w:sz w:val="18"/>
        </w:rPr>
        <w:t> </w:t>
      </w:r>
      <w:r>
        <w:rPr>
          <w:w w:val="105"/>
          <w:sz w:val="18"/>
        </w:rPr>
        <w:t>Annual</w:t>
      </w:r>
      <w:r>
        <w:rPr>
          <w:spacing w:val="12"/>
          <w:w w:val="105"/>
          <w:sz w:val="18"/>
        </w:rPr>
        <w:t> </w:t>
      </w:r>
      <w:r>
        <w:rPr>
          <w:spacing w:val="-2"/>
          <w:w w:val="105"/>
          <w:sz w:val="18"/>
        </w:rPr>
        <w:t>Meeting.</w:t>
      </w:r>
    </w:p>
    <w:p>
      <w:pPr>
        <w:pStyle w:val="BodyText"/>
        <w:spacing w:line="259" w:lineRule="auto" w:before="156"/>
        <w:ind w:left="1400" w:right="1423" w:firstLine="372"/>
      </w:pPr>
      <w:r>
        <w:rPr>
          <w:w w:val="105"/>
        </w:rPr>
        <w:t>The Board of Directors has selected December 12, 2022 as the record date for determining stockholders</w:t>
      </w:r>
      <w:r>
        <w:rPr>
          <w:spacing w:val="40"/>
          <w:w w:val="105"/>
        </w:rPr>
        <w:t> </w:t>
      </w:r>
      <w:r>
        <w:rPr>
          <w:w w:val="105"/>
        </w:rPr>
        <w:t>entitled to vote at the Annual Meeting. A list of stockholders as of that date will be available for inspection</w:t>
      </w:r>
      <w:r>
        <w:rPr>
          <w:spacing w:val="40"/>
          <w:w w:val="105"/>
        </w:rPr>
        <w:t> </w:t>
      </w:r>
      <w:r>
        <w:rPr>
          <w:w w:val="105"/>
        </w:rPr>
        <w:t>during</w:t>
      </w:r>
      <w:r>
        <w:rPr>
          <w:spacing w:val="23"/>
          <w:w w:val="105"/>
        </w:rPr>
        <w:t> </w:t>
      </w:r>
      <w:r>
        <w:rPr>
          <w:w w:val="105"/>
        </w:rPr>
        <w:t>ordinary</w:t>
      </w:r>
      <w:r>
        <w:rPr>
          <w:spacing w:val="23"/>
          <w:w w:val="105"/>
        </w:rPr>
        <w:t> </w:t>
      </w:r>
      <w:r>
        <w:rPr>
          <w:w w:val="105"/>
        </w:rPr>
        <w:t>business</w:t>
      </w:r>
      <w:r>
        <w:rPr>
          <w:spacing w:val="23"/>
          <w:w w:val="105"/>
        </w:rPr>
        <w:t> </w:t>
      </w:r>
      <w:r>
        <w:rPr>
          <w:w w:val="105"/>
        </w:rPr>
        <w:t>hours</w:t>
      </w:r>
      <w:r>
        <w:rPr>
          <w:spacing w:val="23"/>
          <w:w w:val="105"/>
        </w:rPr>
        <w:t> </w:t>
      </w:r>
      <w:r>
        <w:rPr>
          <w:w w:val="105"/>
        </w:rPr>
        <w:t>at</w:t>
      </w:r>
      <w:r>
        <w:rPr>
          <w:spacing w:val="23"/>
          <w:w w:val="105"/>
        </w:rPr>
        <w:t> </w:t>
      </w:r>
      <w:r>
        <w:rPr>
          <w:w w:val="105"/>
        </w:rPr>
        <w:t>our</w:t>
      </w:r>
      <w:r>
        <w:rPr>
          <w:spacing w:val="23"/>
          <w:w w:val="105"/>
        </w:rPr>
        <w:t> </w:t>
      </w:r>
      <w:r>
        <w:rPr>
          <w:w w:val="105"/>
        </w:rPr>
        <w:t>principal</w:t>
      </w:r>
      <w:r>
        <w:rPr>
          <w:spacing w:val="23"/>
          <w:w w:val="105"/>
        </w:rPr>
        <w:t> </w:t>
      </w:r>
      <w:r>
        <w:rPr>
          <w:w w:val="105"/>
        </w:rPr>
        <w:t>executive</w:t>
      </w:r>
      <w:r>
        <w:rPr>
          <w:spacing w:val="23"/>
          <w:w w:val="105"/>
        </w:rPr>
        <w:t> </w:t>
      </w:r>
      <w:r>
        <w:rPr>
          <w:w w:val="105"/>
        </w:rPr>
        <w:t>offices</w:t>
      </w:r>
      <w:r>
        <w:rPr>
          <w:spacing w:val="23"/>
          <w:w w:val="105"/>
        </w:rPr>
        <w:t> </w:t>
      </w:r>
      <w:r>
        <w:rPr>
          <w:w w:val="105"/>
        </w:rPr>
        <w:t>at</w:t>
      </w:r>
      <w:r>
        <w:rPr>
          <w:spacing w:val="23"/>
          <w:w w:val="105"/>
        </w:rPr>
        <w:t> </w:t>
      </w:r>
      <w:r>
        <w:rPr>
          <w:w w:val="105"/>
        </w:rPr>
        <w:t>1678</w:t>
      </w:r>
      <w:r>
        <w:rPr>
          <w:spacing w:val="23"/>
          <w:w w:val="105"/>
        </w:rPr>
        <w:t> </w:t>
      </w:r>
      <w:r>
        <w:rPr>
          <w:w w:val="105"/>
        </w:rPr>
        <w:t>S.</w:t>
      </w:r>
      <w:r>
        <w:rPr>
          <w:spacing w:val="23"/>
          <w:w w:val="105"/>
        </w:rPr>
        <w:t> </w:t>
      </w:r>
      <w:r>
        <w:rPr>
          <w:w w:val="105"/>
        </w:rPr>
        <w:t>Pioneer</w:t>
      </w:r>
      <w:r>
        <w:rPr>
          <w:spacing w:val="23"/>
          <w:w w:val="105"/>
        </w:rPr>
        <w:t> </w:t>
      </w:r>
      <w:r>
        <w:rPr>
          <w:w w:val="105"/>
        </w:rPr>
        <w:t>Road,</w:t>
      </w:r>
      <w:r>
        <w:rPr>
          <w:spacing w:val="23"/>
          <w:w w:val="105"/>
        </w:rPr>
        <w:t> </w:t>
      </w:r>
      <w:r>
        <w:rPr>
          <w:w w:val="105"/>
        </w:rPr>
        <w:t>Salt</w:t>
      </w:r>
      <w:r>
        <w:rPr>
          <w:spacing w:val="23"/>
          <w:w w:val="105"/>
        </w:rPr>
        <w:t> </w:t>
      </w:r>
      <w:r>
        <w:rPr>
          <w:w w:val="105"/>
        </w:rPr>
        <w:t>Lake</w:t>
      </w:r>
      <w:r>
        <w:rPr>
          <w:spacing w:val="23"/>
          <w:w w:val="105"/>
        </w:rPr>
        <w:t> </w:t>
      </w:r>
      <w:r>
        <w:rPr>
          <w:w w:val="105"/>
        </w:rPr>
        <w:t>City, Utah 84104 for 10 days before the Annual Meeting. If you would like to view the list, please contact us to</w:t>
      </w:r>
      <w:r>
        <w:rPr>
          <w:spacing w:val="40"/>
          <w:w w:val="105"/>
        </w:rPr>
        <w:t> </w:t>
      </w:r>
      <w:r>
        <w:rPr>
          <w:w w:val="105"/>
        </w:rPr>
        <w:t>schedule an appointment by calling (801) 978-5447 and leave a message.</w:t>
      </w:r>
    </w:p>
    <w:p>
      <w:pPr>
        <w:pStyle w:val="BodyText"/>
        <w:spacing w:line="259" w:lineRule="auto" w:before="155"/>
        <w:ind w:left="1400" w:right="1551" w:firstLine="372"/>
      </w:pPr>
      <w:r>
        <w:rPr>
          <w:w w:val="105"/>
        </w:rPr>
        <w:t>Except for those stockholders that have already requested printed copies of our proxy materials, we are</w:t>
      </w:r>
      <w:r>
        <w:rPr>
          <w:spacing w:val="40"/>
          <w:w w:val="105"/>
        </w:rPr>
        <w:t> </w:t>
      </w:r>
      <w:r>
        <w:rPr>
          <w:w w:val="105"/>
        </w:rPr>
        <w:t>furnishing</w:t>
      </w:r>
      <w:r>
        <w:rPr>
          <w:spacing w:val="24"/>
          <w:w w:val="105"/>
        </w:rPr>
        <w:t> </w:t>
      </w:r>
      <w:r>
        <w:rPr>
          <w:w w:val="105"/>
        </w:rPr>
        <w:t>our</w:t>
      </w:r>
      <w:r>
        <w:rPr>
          <w:spacing w:val="24"/>
          <w:w w:val="105"/>
        </w:rPr>
        <w:t> </w:t>
      </w:r>
      <w:r>
        <w:rPr>
          <w:w w:val="105"/>
        </w:rPr>
        <w:t>proxy</w:t>
      </w:r>
      <w:r>
        <w:rPr>
          <w:spacing w:val="24"/>
          <w:w w:val="105"/>
        </w:rPr>
        <w:t> </w:t>
      </w:r>
      <w:r>
        <w:rPr>
          <w:w w:val="105"/>
        </w:rPr>
        <w:t>materials</w:t>
      </w:r>
      <w:r>
        <w:rPr>
          <w:spacing w:val="24"/>
          <w:w w:val="105"/>
        </w:rPr>
        <w:t> </w:t>
      </w:r>
      <w:r>
        <w:rPr>
          <w:w w:val="105"/>
        </w:rPr>
        <w:t>for</w:t>
      </w:r>
      <w:r>
        <w:rPr>
          <w:spacing w:val="24"/>
          <w:w w:val="105"/>
        </w:rPr>
        <w:t> </w:t>
      </w:r>
      <w:r>
        <w:rPr>
          <w:w w:val="105"/>
        </w:rPr>
        <w:t>this Annual</w:t>
      </w:r>
      <w:r>
        <w:rPr>
          <w:spacing w:val="24"/>
          <w:w w:val="105"/>
        </w:rPr>
        <w:t> </w:t>
      </w:r>
      <w:r>
        <w:rPr>
          <w:w w:val="105"/>
        </w:rPr>
        <w:t>Meeting</w:t>
      </w:r>
      <w:r>
        <w:rPr>
          <w:spacing w:val="24"/>
          <w:w w:val="105"/>
        </w:rPr>
        <w:t> </w:t>
      </w:r>
      <w:r>
        <w:rPr>
          <w:w w:val="105"/>
        </w:rPr>
        <w:t>to</w:t>
      </w:r>
      <w:r>
        <w:rPr>
          <w:spacing w:val="24"/>
          <w:w w:val="105"/>
        </w:rPr>
        <w:t> </w:t>
      </w:r>
      <w:r>
        <w:rPr>
          <w:w w:val="105"/>
        </w:rPr>
        <w:t>you</w:t>
      </w:r>
      <w:r>
        <w:rPr>
          <w:spacing w:val="24"/>
          <w:w w:val="105"/>
        </w:rPr>
        <w:t> </w:t>
      </w:r>
      <w:r>
        <w:rPr>
          <w:w w:val="105"/>
        </w:rPr>
        <w:t>through</w:t>
      </w:r>
      <w:r>
        <w:rPr>
          <w:spacing w:val="24"/>
          <w:w w:val="105"/>
        </w:rPr>
        <w:t> </w:t>
      </w:r>
      <w:r>
        <w:rPr>
          <w:w w:val="105"/>
        </w:rPr>
        <w:t>the</w:t>
      </w:r>
      <w:r>
        <w:rPr>
          <w:spacing w:val="24"/>
          <w:w w:val="105"/>
        </w:rPr>
        <w:t> </w:t>
      </w:r>
      <w:r>
        <w:rPr>
          <w:w w:val="105"/>
        </w:rPr>
        <w:t>Internet.</w:t>
      </w:r>
      <w:r>
        <w:rPr>
          <w:spacing w:val="24"/>
          <w:w w:val="105"/>
        </w:rPr>
        <w:t> </w:t>
      </w:r>
      <w:r>
        <w:rPr>
          <w:w w:val="105"/>
        </w:rPr>
        <w:t>On</w:t>
      </w:r>
      <w:r>
        <w:rPr>
          <w:spacing w:val="24"/>
          <w:w w:val="105"/>
        </w:rPr>
        <w:t> </w:t>
      </w:r>
      <w:r>
        <w:rPr>
          <w:w w:val="105"/>
        </w:rPr>
        <w:t>or</w:t>
      </w:r>
      <w:r>
        <w:rPr>
          <w:spacing w:val="24"/>
          <w:w w:val="105"/>
        </w:rPr>
        <w:t> </w:t>
      </w:r>
      <w:r>
        <w:rPr>
          <w:w w:val="105"/>
        </w:rPr>
        <w:t>about</w:t>
      </w:r>
    </w:p>
    <w:p>
      <w:pPr>
        <w:pStyle w:val="BodyText"/>
        <w:spacing w:line="259" w:lineRule="auto"/>
        <w:ind w:left="1400" w:right="1423"/>
      </w:pPr>
      <w:r>
        <w:rPr>
          <w:w w:val="105"/>
        </w:rPr>
        <w:t>December 28, 2022, we mailed or emailed to stockholders as of the record date a Notice of Internet</w:t>
      </w:r>
      <w:r>
        <w:rPr>
          <w:spacing w:val="80"/>
          <w:w w:val="105"/>
        </w:rPr>
        <w:t> </w:t>
      </w:r>
      <w:r>
        <w:rPr>
          <w:w w:val="105"/>
        </w:rPr>
        <w:t>Availability</w:t>
      </w:r>
      <w:r>
        <w:rPr>
          <w:spacing w:val="19"/>
          <w:w w:val="105"/>
        </w:rPr>
        <w:t> </w:t>
      </w:r>
      <w:r>
        <w:rPr>
          <w:w w:val="105"/>
        </w:rPr>
        <w:t>of</w:t>
      </w:r>
      <w:r>
        <w:rPr>
          <w:spacing w:val="19"/>
          <w:w w:val="105"/>
        </w:rPr>
        <w:t> </w:t>
      </w:r>
      <w:r>
        <w:rPr>
          <w:w w:val="105"/>
        </w:rPr>
        <w:t>Proxy</w:t>
      </w:r>
      <w:r>
        <w:rPr>
          <w:spacing w:val="19"/>
          <w:w w:val="105"/>
        </w:rPr>
        <w:t> </w:t>
      </w:r>
      <w:r>
        <w:rPr>
          <w:w w:val="105"/>
        </w:rPr>
        <w:t>Materials</w:t>
      </w:r>
      <w:r>
        <w:rPr>
          <w:spacing w:val="19"/>
          <w:w w:val="105"/>
        </w:rPr>
        <w:t> </w:t>
      </w:r>
      <w:r>
        <w:rPr>
          <w:w w:val="105"/>
        </w:rPr>
        <w:t>(the</w:t>
      </w:r>
      <w:r>
        <w:rPr>
          <w:spacing w:val="19"/>
          <w:w w:val="105"/>
        </w:rPr>
        <w:t> </w:t>
      </w:r>
      <w:r>
        <w:rPr>
          <w:w w:val="105"/>
        </w:rPr>
        <w:t>“</w:t>
      </w:r>
      <w:r>
        <w:rPr>
          <w:b/>
          <w:w w:val="105"/>
        </w:rPr>
        <w:t>Notice</w:t>
      </w:r>
      <w:r>
        <w:rPr>
          <w:w w:val="105"/>
        </w:rPr>
        <w:t>”).</w:t>
      </w:r>
      <w:r>
        <w:rPr>
          <w:spacing w:val="19"/>
          <w:w w:val="105"/>
        </w:rPr>
        <w:t> </w:t>
      </w:r>
      <w:r>
        <w:rPr>
          <w:w w:val="105"/>
        </w:rPr>
        <w:t>If</w:t>
      </w:r>
      <w:r>
        <w:rPr>
          <w:spacing w:val="19"/>
          <w:w w:val="105"/>
        </w:rPr>
        <w:t> </w:t>
      </w:r>
      <w:r>
        <w:rPr>
          <w:w w:val="105"/>
        </w:rPr>
        <w:t>you</w:t>
      </w:r>
      <w:r>
        <w:rPr>
          <w:spacing w:val="19"/>
          <w:w w:val="105"/>
        </w:rPr>
        <w:t> </w:t>
      </w:r>
      <w:r>
        <w:rPr>
          <w:w w:val="105"/>
        </w:rPr>
        <w:t>received</w:t>
      </w:r>
      <w:r>
        <w:rPr>
          <w:spacing w:val="19"/>
          <w:w w:val="105"/>
        </w:rPr>
        <w:t> </w:t>
      </w:r>
      <w:r>
        <w:rPr>
          <w:w w:val="105"/>
        </w:rPr>
        <w:t>a</w:t>
      </w:r>
      <w:r>
        <w:rPr>
          <w:spacing w:val="19"/>
          <w:w w:val="105"/>
        </w:rPr>
        <w:t> </w:t>
      </w:r>
      <w:r>
        <w:rPr>
          <w:w w:val="105"/>
        </w:rPr>
        <w:t>Notice</w:t>
      </w:r>
      <w:r>
        <w:rPr>
          <w:spacing w:val="19"/>
          <w:w w:val="105"/>
        </w:rPr>
        <w:t> </w:t>
      </w:r>
      <w:r>
        <w:rPr>
          <w:w w:val="105"/>
        </w:rPr>
        <w:t>by</w:t>
      </w:r>
      <w:r>
        <w:rPr>
          <w:spacing w:val="19"/>
          <w:w w:val="105"/>
        </w:rPr>
        <w:t> </w:t>
      </w:r>
      <w:r>
        <w:rPr>
          <w:w w:val="105"/>
        </w:rPr>
        <w:t>mail</w:t>
      </w:r>
      <w:r>
        <w:rPr>
          <w:spacing w:val="19"/>
          <w:w w:val="105"/>
        </w:rPr>
        <w:t> </w:t>
      </w:r>
      <w:r>
        <w:rPr>
          <w:w w:val="105"/>
        </w:rPr>
        <w:t>or</w:t>
      </w:r>
      <w:r>
        <w:rPr>
          <w:spacing w:val="19"/>
          <w:w w:val="105"/>
        </w:rPr>
        <w:t> </w:t>
      </w:r>
      <w:r>
        <w:rPr>
          <w:w w:val="105"/>
        </w:rPr>
        <w:t>email,</w:t>
      </w:r>
      <w:r>
        <w:rPr>
          <w:spacing w:val="19"/>
          <w:w w:val="105"/>
        </w:rPr>
        <w:t> </w:t>
      </w:r>
      <w:r>
        <w:rPr>
          <w:w w:val="105"/>
        </w:rPr>
        <w:t>you</w:t>
      </w:r>
      <w:r>
        <w:rPr>
          <w:spacing w:val="19"/>
          <w:w w:val="105"/>
        </w:rPr>
        <w:t> </w:t>
      </w:r>
      <w:r>
        <w:rPr>
          <w:w w:val="105"/>
        </w:rPr>
        <w:t>will</w:t>
      </w:r>
      <w:r>
        <w:rPr>
          <w:spacing w:val="19"/>
          <w:w w:val="105"/>
        </w:rPr>
        <w:t> </w:t>
      </w:r>
      <w:r>
        <w:rPr>
          <w:w w:val="105"/>
        </w:rPr>
        <w:t>not receive</w:t>
      </w:r>
      <w:r>
        <w:rPr>
          <w:spacing w:val="25"/>
          <w:w w:val="105"/>
        </w:rPr>
        <w:t> </w:t>
      </w:r>
      <w:r>
        <w:rPr>
          <w:w w:val="105"/>
        </w:rPr>
        <w:t>a</w:t>
      </w:r>
      <w:r>
        <w:rPr>
          <w:spacing w:val="25"/>
          <w:w w:val="105"/>
        </w:rPr>
        <w:t> </w:t>
      </w:r>
      <w:r>
        <w:rPr>
          <w:w w:val="105"/>
        </w:rPr>
        <w:t>printed</w:t>
      </w:r>
      <w:r>
        <w:rPr>
          <w:spacing w:val="25"/>
          <w:w w:val="105"/>
        </w:rPr>
        <w:t> </w:t>
      </w:r>
      <w:r>
        <w:rPr>
          <w:w w:val="105"/>
        </w:rPr>
        <w:t>copy</w:t>
      </w:r>
      <w:r>
        <w:rPr>
          <w:spacing w:val="25"/>
          <w:w w:val="105"/>
        </w:rPr>
        <w:t> </w:t>
      </w:r>
      <w:r>
        <w:rPr>
          <w:w w:val="105"/>
        </w:rPr>
        <w:t>of</w:t>
      </w:r>
      <w:r>
        <w:rPr>
          <w:spacing w:val="25"/>
          <w:w w:val="105"/>
        </w:rPr>
        <w:t> </w:t>
      </w:r>
      <w:r>
        <w:rPr>
          <w:w w:val="105"/>
        </w:rPr>
        <w:t>the</w:t>
      </w:r>
      <w:r>
        <w:rPr>
          <w:spacing w:val="25"/>
          <w:w w:val="105"/>
        </w:rPr>
        <w:t> </w:t>
      </w:r>
      <w:r>
        <w:rPr>
          <w:w w:val="105"/>
        </w:rPr>
        <w:t>proxy</w:t>
      </w:r>
      <w:r>
        <w:rPr>
          <w:spacing w:val="25"/>
          <w:w w:val="105"/>
        </w:rPr>
        <w:t> </w:t>
      </w:r>
      <w:r>
        <w:rPr>
          <w:w w:val="105"/>
        </w:rPr>
        <w:t>materials</w:t>
      </w:r>
      <w:r>
        <w:rPr>
          <w:spacing w:val="25"/>
          <w:w w:val="105"/>
        </w:rPr>
        <w:t> </w:t>
      </w:r>
      <w:r>
        <w:rPr>
          <w:w w:val="105"/>
        </w:rPr>
        <w:t>unless</w:t>
      </w:r>
      <w:r>
        <w:rPr>
          <w:spacing w:val="25"/>
          <w:w w:val="105"/>
        </w:rPr>
        <w:t> </w:t>
      </w:r>
      <w:r>
        <w:rPr>
          <w:w w:val="105"/>
        </w:rPr>
        <w:t>you</w:t>
      </w:r>
      <w:r>
        <w:rPr>
          <w:spacing w:val="25"/>
          <w:w w:val="105"/>
        </w:rPr>
        <w:t> </w:t>
      </w:r>
      <w:r>
        <w:rPr>
          <w:w w:val="105"/>
        </w:rPr>
        <w:t>specifically</w:t>
      </w:r>
      <w:r>
        <w:rPr>
          <w:spacing w:val="25"/>
          <w:w w:val="105"/>
        </w:rPr>
        <w:t> </w:t>
      </w:r>
      <w:r>
        <w:rPr>
          <w:w w:val="105"/>
        </w:rPr>
        <w:t>request</w:t>
      </w:r>
      <w:r>
        <w:rPr>
          <w:spacing w:val="25"/>
          <w:w w:val="105"/>
        </w:rPr>
        <w:t> </w:t>
      </w:r>
      <w:r>
        <w:rPr>
          <w:w w:val="105"/>
        </w:rPr>
        <w:t>one.</w:t>
      </w:r>
      <w:r>
        <w:rPr>
          <w:spacing w:val="25"/>
          <w:w w:val="105"/>
        </w:rPr>
        <w:t> </w:t>
      </w:r>
      <w:r>
        <w:rPr>
          <w:w w:val="105"/>
        </w:rPr>
        <w:t>Instead,</w:t>
      </w:r>
      <w:r>
        <w:rPr>
          <w:spacing w:val="25"/>
          <w:w w:val="105"/>
        </w:rPr>
        <w:t> </w:t>
      </w:r>
      <w:r>
        <w:rPr>
          <w:w w:val="105"/>
        </w:rPr>
        <w:t>the</w:t>
      </w:r>
      <w:r>
        <w:rPr>
          <w:spacing w:val="25"/>
          <w:w w:val="105"/>
        </w:rPr>
        <w:t> </w:t>
      </w:r>
      <w:r>
        <w:rPr>
          <w:w w:val="105"/>
        </w:rPr>
        <w:t>Notice explains how to access and review on the Internet all of the important information contained in our Proxy</w:t>
      </w:r>
      <w:r>
        <w:rPr>
          <w:spacing w:val="40"/>
          <w:w w:val="105"/>
        </w:rPr>
        <w:t> </w:t>
      </w:r>
      <w:r>
        <w:rPr>
          <w:w w:val="105"/>
        </w:rPr>
        <w:t>Statement and in our Annual Report on Form 10-K for the fiscal year ended September 30, 2022 (sometimes also referred to herein as the “</w:t>
      </w:r>
      <w:r>
        <w:rPr>
          <w:b/>
          <w:w w:val="105"/>
        </w:rPr>
        <w:t>Annual</w:t>
      </w:r>
      <w:r>
        <w:rPr>
          <w:b/>
          <w:spacing w:val="-2"/>
          <w:w w:val="105"/>
        </w:rPr>
        <w:t> </w:t>
      </w:r>
      <w:r>
        <w:rPr>
          <w:b/>
          <w:w w:val="105"/>
        </w:rPr>
        <w:t>Report</w:t>
      </w:r>
      <w:r>
        <w:rPr>
          <w:w w:val="105"/>
        </w:rPr>
        <w:t>”), as well as how to submit your proxy over the Internet. We believe</w:t>
      </w:r>
      <w:r>
        <w:rPr>
          <w:spacing w:val="21"/>
          <w:w w:val="105"/>
        </w:rPr>
        <w:t> </w:t>
      </w:r>
      <w:r>
        <w:rPr>
          <w:w w:val="105"/>
        </w:rPr>
        <w:t>that</w:t>
      </w:r>
      <w:r>
        <w:rPr>
          <w:spacing w:val="21"/>
          <w:w w:val="105"/>
        </w:rPr>
        <w:t> </w:t>
      </w:r>
      <w:r>
        <w:rPr>
          <w:w w:val="105"/>
        </w:rPr>
        <w:t>mailing</w:t>
      </w:r>
      <w:r>
        <w:rPr>
          <w:spacing w:val="21"/>
          <w:w w:val="105"/>
        </w:rPr>
        <w:t> </w:t>
      </w:r>
      <w:r>
        <w:rPr>
          <w:w w:val="105"/>
        </w:rPr>
        <w:t>or</w:t>
      </w:r>
      <w:r>
        <w:rPr>
          <w:spacing w:val="21"/>
          <w:w w:val="105"/>
        </w:rPr>
        <w:t> </w:t>
      </w:r>
      <w:r>
        <w:rPr>
          <w:w w:val="105"/>
        </w:rPr>
        <w:t>emailing</w:t>
      </w:r>
      <w:r>
        <w:rPr>
          <w:spacing w:val="21"/>
          <w:w w:val="105"/>
        </w:rPr>
        <w:t> </w:t>
      </w:r>
      <w:r>
        <w:rPr>
          <w:w w:val="105"/>
        </w:rPr>
        <w:t>the</w:t>
      </w:r>
      <w:r>
        <w:rPr>
          <w:spacing w:val="21"/>
          <w:w w:val="105"/>
        </w:rPr>
        <w:t> </w:t>
      </w:r>
      <w:r>
        <w:rPr>
          <w:w w:val="105"/>
        </w:rPr>
        <w:t>Notice</w:t>
      </w:r>
      <w:r>
        <w:rPr>
          <w:spacing w:val="21"/>
          <w:w w:val="105"/>
        </w:rPr>
        <w:t> </w:t>
      </w:r>
      <w:r>
        <w:rPr>
          <w:w w:val="105"/>
        </w:rPr>
        <w:t>and</w:t>
      </w:r>
      <w:r>
        <w:rPr>
          <w:spacing w:val="21"/>
          <w:w w:val="105"/>
        </w:rPr>
        <w:t> </w:t>
      </w:r>
      <w:r>
        <w:rPr>
          <w:w w:val="105"/>
        </w:rPr>
        <w:t>posting</w:t>
      </w:r>
      <w:r>
        <w:rPr>
          <w:spacing w:val="21"/>
          <w:w w:val="105"/>
        </w:rPr>
        <w:t> </w:t>
      </w:r>
      <w:r>
        <w:rPr>
          <w:w w:val="105"/>
        </w:rPr>
        <w:t>other</w:t>
      </w:r>
      <w:r>
        <w:rPr>
          <w:spacing w:val="21"/>
          <w:w w:val="105"/>
        </w:rPr>
        <w:t> </w:t>
      </w:r>
      <w:r>
        <w:rPr>
          <w:w w:val="105"/>
        </w:rPr>
        <w:t>materials</w:t>
      </w:r>
      <w:r>
        <w:rPr>
          <w:spacing w:val="21"/>
          <w:w w:val="105"/>
        </w:rPr>
        <w:t> </w:t>
      </w:r>
      <w:r>
        <w:rPr>
          <w:w w:val="105"/>
        </w:rPr>
        <w:t>on</w:t>
      </w:r>
      <w:r>
        <w:rPr>
          <w:spacing w:val="21"/>
          <w:w w:val="105"/>
        </w:rPr>
        <w:t> </w:t>
      </w:r>
      <w:r>
        <w:rPr>
          <w:w w:val="105"/>
        </w:rPr>
        <w:t>the</w:t>
      </w:r>
      <w:r>
        <w:rPr>
          <w:spacing w:val="21"/>
          <w:w w:val="105"/>
        </w:rPr>
        <w:t> </w:t>
      </w:r>
      <w:r>
        <w:rPr>
          <w:w w:val="105"/>
        </w:rPr>
        <w:t>Internet</w:t>
      </w:r>
      <w:r>
        <w:rPr>
          <w:spacing w:val="21"/>
          <w:w w:val="105"/>
        </w:rPr>
        <w:t> </w:t>
      </w:r>
      <w:r>
        <w:rPr>
          <w:w w:val="105"/>
        </w:rPr>
        <w:t>allows</w:t>
      </w:r>
      <w:r>
        <w:rPr>
          <w:spacing w:val="21"/>
          <w:w w:val="105"/>
        </w:rPr>
        <w:t> </w:t>
      </w:r>
      <w:r>
        <w:rPr>
          <w:w w:val="105"/>
        </w:rPr>
        <w:t>us</w:t>
      </w:r>
      <w:r>
        <w:rPr>
          <w:spacing w:val="21"/>
          <w:w w:val="105"/>
        </w:rPr>
        <w:t> </w:t>
      </w:r>
      <w:r>
        <w:rPr>
          <w:w w:val="105"/>
        </w:rPr>
        <w:t>to</w:t>
      </w:r>
      <w:r>
        <w:rPr>
          <w:spacing w:val="21"/>
          <w:w w:val="105"/>
        </w:rPr>
        <w:t> </w:t>
      </w:r>
      <w:r>
        <w:rPr>
          <w:w w:val="105"/>
        </w:rPr>
        <w:t>provide you with the information you need more quickly while lowering the costs of delivery and reducing the</w:t>
      </w:r>
      <w:r>
        <w:rPr>
          <w:spacing w:val="40"/>
          <w:w w:val="105"/>
        </w:rPr>
        <w:t> </w:t>
      </w:r>
      <w:r>
        <w:rPr>
          <w:w w:val="105"/>
        </w:rPr>
        <w:t>environmental impact of the Annual Meeting. If you received the Notice and would still like to receive a</w:t>
      </w:r>
      <w:r>
        <w:rPr>
          <w:spacing w:val="40"/>
          <w:w w:val="105"/>
        </w:rPr>
        <w:t> </w:t>
      </w:r>
      <w:r>
        <w:rPr>
          <w:w w:val="105"/>
        </w:rPr>
        <w:t>printed</w:t>
      </w:r>
      <w:r>
        <w:rPr>
          <w:spacing w:val="22"/>
          <w:w w:val="105"/>
        </w:rPr>
        <w:t> </w:t>
      </w:r>
      <w:r>
        <w:rPr>
          <w:w w:val="105"/>
        </w:rPr>
        <w:t>copy</w:t>
      </w:r>
      <w:r>
        <w:rPr>
          <w:spacing w:val="22"/>
          <w:w w:val="105"/>
        </w:rPr>
        <w:t> </w:t>
      </w:r>
      <w:r>
        <w:rPr>
          <w:w w:val="105"/>
        </w:rPr>
        <w:t>of</w:t>
      </w:r>
      <w:r>
        <w:rPr>
          <w:spacing w:val="22"/>
          <w:w w:val="105"/>
        </w:rPr>
        <w:t> </w:t>
      </w:r>
      <w:r>
        <w:rPr>
          <w:w w:val="105"/>
        </w:rPr>
        <w:t>our</w:t>
      </w:r>
      <w:r>
        <w:rPr>
          <w:spacing w:val="22"/>
          <w:w w:val="105"/>
        </w:rPr>
        <w:t> </w:t>
      </w:r>
      <w:r>
        <w:rPr>
          <w:w w:val="105"/>
        </w:rPr>
        <w:t>proxy</w:t>
      </w:r>
      <w:r>
        <w:rPr>
          <w:spacing w:val="22"/>
          <w:w w:val="105"/>
        </w:rPr>
        <w:t> </w:t>
      </w:r>
      <w:r>
        <w:rPr>
          <w:w w:val="105"/>
        </w:rPr>
        <w:t>materials,</w:t>
      </w:r>
      <w:r>
        <w:rPr>
          <w:spacing w:val="22"/>
          <w:w w:val="105"/>
        </w:rPr>
        <w:t> </w:t>
      </w:r>
      <w:r>
        <w:rPr>
          <w:w w:val="105"/>
        </w:rPr>
        <w:t>you</w:t>
      </w:r>
      <w:r>
        <w:rPr>
          <w:spacing w:val="22"/>
          <w:w w:val="105"/>
        </w:rPr>
        <w:t> </w:t>
      </w:r>
      <w:r>
        <w:rPr>
          <w:w w:val="105"/>
        </w:rPr>
        <w:t>may</w:t>
      </w:r>
      <w:r>
        <w:rPr>
          <w:spacing w:val="22"/>
          <w:w w:val="105"/>
        </w:rPr>
        <w:t> </w:t>
      </w:r>
      <w:r>
        <w:rPr>
          <w:w w:val="105"/>
        </w:rPr>
        <w:t>request</w:t>
      </w:r>
      <w:r>
        <w:rPr>
          <w:spacing w:val="22"/>
          <w:w w:val="105"/>
        </w:rPr>
        <w:t> </w:t>
      </w:r>
      <w:r>
        <w:rPr>
          <w:w w:val="105"/>
        </w:rPr>
        <w:t>a</w:t>
      </w:r>
      <w:r>
        <w:rPr>
          <w:spacing w:val="22"/>
          <w:w w:val="105"/>
        </w:rPr>
        <w:t> </w:t>
      </w:r>
      <w:r>
        <w:rPr>
          <w:w w:val="105"/>
        </w:rPr>
        <w:t>printed</w:t>
      </w:r>
      <w:r>
        <w:rPr>
          <w:spacing w:val="22"/>
          <w:w w:val="105"/>
        </w:rPr>
        <w:t> </w:t>
      </w:r>
      <w:r>
        <w:rPr>
          <w:w w:val="105"/>
        </w:rPr>
        <w:t>copy</w:t>
      </w:r>
      <w:r>
        <w:rPr>
          <w:spacing w:val="22"/>
          <w:w w:val="105"/>
        </w:rPr>
        <w:t> </w:t>
      </w:r>
      <w:r>
        <w:rPr>
          <w:w w:val="105"/>
        </w:rPr>
        <w:t>of</w:t>
      </w:r>
      <w:r>
        <w:rPr>
          <w:spacing w:val="22"/>
          <w:w w:val="105"/>
        </w:rPr>
        <w:t> </w:t>
      </w:r>
      <w:r>
        <w:rPr>
          <w:w w:val="105"/>
        </w:rPr>
        <w:t>the</w:t>
      </w:r>
      <w:r>
        <w:rPr>
          <w:spacing w:val="22"/>
          <w:w w:val="105"/>
        </w:rPr>
        <w:t> </w:t>
      </w:r>
      <w:r>
        <w:rPr>
          <w:w w:val="105"/>
        </w:rPr>
        <w:t>proxy</w:t>
      </w:r>
      <w:r>
        <w:rPr>
          <w:spacing w:val="22"/>
          <w:w w:val="105"/>
        </w:rPr>
        <w:t> </w:t>
      </w:r>
      <w:r>
        <w:rPr>
          <w:w w:val="105"/>
        </w:rPr>
        <w:t>materials</w:t>
      </w:r>
      <w:r>
        <w:rPr>
          <w:spacing w:val="22"/>
          <w:w w:val="105"/>
        </w:rPr>
        <w:t> </w:t>
      </w:r>
      <w:r>
        <w:rPr>
          <w:w w:val="105"/>
        </w:rPr>
        <w:t>through</w:t>
      </w:r>
      <w:r>
        <w:rPr>
          <w:spacing w:val="22"/>
          <w:w w:val="105"/>
        </w:rPr>
        <w:t> </w:t>
      </w:r>
      <w:r>
        <w:rPr>
          <w:w w:val="105"/>
        </w:rPr>
        <w:t>the Internet at </w:t>
      </w:r>
      <w:r>
        <w:rPr>
          <w:i/>
          <w:w w:val="105"/>
        </w:rPr>
        <w:t>www.proxyvote.com</w:t>
      </w:r>
      <w:r>
        <w:rPr>
          <w:w w:val="105"/>
        </w:rPr>
        <w:t>; by telephone at 1-800-579-1639; or by sending an email to </w:t>
      </w:r>
      <w:hyperlink r:id="rId13">
        <w:r>
          <w:rPr>
            <w:i/>
            <w:spacing w:val="-2"/>
            <w:w w:val="105"/>
          </w:rPr>
          <w:t>sendmaterial@proxyvote.com</w:t>
        </w:r>
        <w:r>
          <w:rPr>
            <w:spacing w:val="-2"/>
            <w:w w:val="105"/>
          </w:rPr>
          <w:t>.</w:t>
        </w:r>
      </w:hyperlink>
    </w:p>
    <w:p>
      <w:pPr>
        <w:spacing w:line="259" w:lineRule="auto" w:before="71"/>
        <w:ind w:left="1400" w:right="1423" w:firstLine="372"/>
        <w:jc w:val="left"/>
        <w:rPr>
          <w:i/>
          <w:sz w:val="18"/>
        </w:rPr>
      </w:pPr>
      <w:r>
        <w:rPr>
          <w:i/>
          <w:w w:val="105"/>
          <w:sz w:val="18"/>
        </w:rPr>
        <w:t>Whether or not you plan to attend the Annual Meeting, please vote your shares as soon as possible in</w:t>
      </w:r>
      <w:r>
        <w:rPr>
          <w:i/>
          <w:w w:val="105"/>
          <w:sz w:val="18"/>
        </w:rPr>
        <w:t> accordance</w:t>
      </w:r>
      <w:r>
        <w:rPr>
          <w:i/>
          <w:spacing w:val="13"/>
          <w:w w:val="105"/>
          <w:sz w:val="18"/>
        </w:rPr>
        <w:t> </w:t>
      </w:r>
      <w:r>
        <w:rPr>
          <w:i/>
          <w:w w:val="105"/>
          <w:sz w:val="18"/>
        </w:rPr>
        <w:t>with</w:t>
      </w:r>
      <w:r>
        <w:rPr>
          <w:i/>
          <w:spacing w:val="13"/>
          <w:w w:val="105"/>
          <w:sz w:val="18"/>
        </w:rPr>
        <w:t> </w:t>
      </w:r>
      <w:r>
        <w:rPr>
          <w:i/>
          <w:w w:val="105"/>
          <w:sz w:val="18"/>
        </w:rPr>
        <w:t>the</w:t>
      </w:r>
      <w:r>
        <w:rPr>
          <w:i/>
          <w:spacing w:val="13"/>
          <w:w w:val="105"/>
          <w:sz w:val="18"/>
        </w:rPr>
        <w:t> </w:t>
      </w:r>
      <w:r>
        <w:rPr>
          <w:i/>
          <w:w w:val="105"/>
          <w:sz w:val="18"/>
        </w:rPr>
        <w:t>instructions</w:t>
      </w:r>
      <w:r>
        <w:rPr>
          <w:i/>
          <w:spacing w:val="13"/>
          <w:w w:val="105"/>
          <w:sz w:val="18"/>
        </w:rPr>
        <w:t> </w:t>
      </w:r>
      <w:r>
        <w:rPr>
          <w:i/>
          <w:w w:val="105"/>
          <w:sz w:val="18"/>
        </w:rPr>
        <w:t>provided</w:t>
      </w:r>
      <w:r>
        <w:rPr>
          <w:i/>
          <w:spacing w:val="13"/>
          <w:w w:val="105"/>
          <w:sz w:val="18"/>
        </w:rPr>
        <w:t> </w:t>
      </w:r>
      <w:r>
        <w:rPr>
          <w:i/>
          <w:w w:val="105"/>
          <w:sz w:val="18"/>
        </w:rPr>
        <w:t>to</w:t>
      </w:r>
      <w:r>
        <w:rPr>
          <w:i/>
          <w:spacing w:val="13"/>
          <w:w w:val="105"/>
          <w:sz w:val="18"/>
        </w:rPr>
        <w:t> </w:t>
      </w:r>
      <w:r>
        <w:rPr>
          <w:i/>
          <w:w w:val="105"/>
          <w:sz w:val="18"/>
        </w:rPr>
        <w:t>you</w:t>
      </w:r>
      <w:r>
        <w:rPr>
          <w:i/>
          <w:spacing w:val="13"/>
          <w:w w:val="105"/>
          <w:sz w:val="18"/>
        </w:rPr>
        <w:t> </w:t>
      </w:r>
      <w:r>
        <w:rPr>
          <w:i/>
          <w:w w:val="105"/>
          <w:sz w:val="18"/>
        </w:rPr>
        <w:t>to</w:t>
      </w:r>
      <w:r>
        <w:rPr>
          <w:i/>
          <w:spacing w:val="13"/>
          <w:w w:val="105"/>
          <w:sz w:val="18"/>
        </w:rPr>
        <w:t> </w:t>
      </w:r>
      <w:r>
        <w:rPr>
          <w:i/>
          <w:w w:val="105"/>
          <w:sz w:val="18"/>
        </w:rPr>
        <w:t>ensure</w:t>
      </w:r>
      <w:r>
        <w:rPr>
          <w:i/>
          <w:spacing w:val="13"/>
          <w:w w:val="105"/>
          <w:sz w:val="18"/>
        </w:rPr>
        <w:t> </w:t>
      </w:r>
      <w:r>
        <w:rPr>
          <w:i/>
          <w:w w:val="105"/>
          <w:sz w:val="18"/>
        </w:rPr>
        <w:t>that</w:t>
      </w:r>
      <w:r>
        <w:rPr>
          <w:i/>
          <w:spacing w:val="13"/>
          <w:w w:val="105"/>
          <w:sz w:val="18"/>
        </w:rPr>
        <w:t> </w:t>
      </w:r>
      <w:r>
        <w:rPr>
          <w:i/>
          <w:w w:val="105"/>
          <w:sz w:val="18"/>
        </w:rPr>
        <w:t>your</w:t>
      </w:r>
      <w:r>
        <w:rPr>
          <w:i/>
          <w:spacing w:val="13"/>
          <w:w w:val="105"/>
          <w:sz w:val="18"/>
        </w:rPr>
        <w:t> </w:t>
      </w:r>
      <w:r>
        <w:rPr>
          <w:i/>
          <w:w w:val="105"/>
          <w:sz w:val="18"/>
        </w:rPr>
        <w:t>vote</w:t>
      </w:r>
      <w:r>
        <w:rPr>
          <w:i/>
          <w:spacing w:val="13"/>
          <w:w w:val="105"/>
          <w:sz w:val="18"/>
        </w:rPr>
        <w:t> </w:t>
      </w:r>
      <w:r>
        <w:rPr>
          <w:i/>
          <w:w w:val="105"/>
          <w:sz w:val="18"/>
        </w:rPr>
        <w:t>is</w:t>
      </w:r>
      <w:r>
        <w:rPr>
          <w:i/>
          <w:spacing w:val="13"/>
          <w:w w:val="105"/>
          <w:sz w:val="18"/>
        </w:rPr>
        <w:t> </w:t>
      </w:r>
      <w:r>
        <w:rPr>
          <w:i/>
          <w:w w:val="105"/>
          <w:sz w:val="18"/>
        </w:rPr>
        <w:t>counted</w:t>
      </w:r>
      <w:r>
        <w:rPr>
          <w:i/>
          <w:spacing w:val="13"/>
          <w:w w:val="105"/>
          <w:sz w:val="18"/>
        </w:rPr>
        <w:t> </w:t>
      </w:r>
      <w:r>
        <w:rPr>
          <w:i/>
          <w:w w:val="105"/>
          <w:sz w:val="18"/>
        </w:rPr>
        <w:t>at</w:t>
      </w:r>
      <w:r>
        <w:rPr>
          <w:i/>
          <w:spacing w:val="13"/>
          <w:w w:val="105"/>
          <w:sz w:val="18"/>
        </w:rPr>
        <w:t> </w:t>
      </w:r>
      <w:r>
        <w:rPr>
          <w:i/>
          <w:w w:val="105"/>
          <w:sz w:val="18"/>
        </w:rPr>
        <w:t>the Annual</w:t>
      </w:r>
      <w:r>
        <w:rPr>
          <w:i/>
          <w:spacing w:val="13"/>
          <w:w w:val="105"/>
          <w:sz w:val="18"/>
        </w:rPr>
        <w:t> </w:t>
      </w:r>
      <w:r>
        <w:rPr>
          <w:i/>
          <w:w w:val="105"/>
          <w:sz w:val="18"/>
        </w:rPr>
        <w:t>Meeting.</w:t>
      </w:r>
    </w:p>
    <w:p>
      <w:pPr>
        <w:pStyle w:val="BodyText"/>
        <w:spacing w:before="1"/>
        <w:rPr>
          <w:i/>
          <w:sz w:val="17"/>
        </w:rPr>
      </w:pPr>
    </w:p>
    <w:p>
      <w:pPr>
        <w:pStyle w:val="BodyText"/>
        <w:ind w:left="5761"/>
      </w:pPr>
      <w:r>
        <w:rPr/>
        <w:drawing>
          <wp:anchor distT="0" distB="0" distL="0" distR="0" allowOverlap="1" layoutInCell="1" locked="0" behindDoc="0" simplePos="0" relativeHeight="5">
            <wp:simplePos x="0" y="0"/>
            <wp:positionH relativeFrom="page">
              <wp:posOffset>3963567</wp:posOffset>
            </wp:positionH>
            <wp:positionV relativeFrom="paragraph">
              <wp:posOffset>159972</wp:posOffset>
            </wp:positionV>
            <wp:extent cx="1103233" cy="64579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4" cstate="print"/>
                    <a:stretch>
                      <a:fillRect/>
                    </a:stretch>
                  </pic:blipFill>
                  <pic:spPr>
                    <a:xfrm>
                      <a:off x="0" y="0"/>
                      <a:ext cx="1103233" cy="645794"/>
                    </a:xfrm>
                    <a:prstGeom prst="rect">
                      <a:avLst/>
                    </a:prstGeom>
                  </pic:spPr>
                </pic:pic>
              </a:graphicData>
            </a:graphic>
          </wp:anchor>
        </w:drawing>
      </w:r>
      <w:r>
        <w:rPr>
          <w:w w:val="105"/>
        </w:rPr>
        <w:t>By</w:t>
      </w:r>
      <w:r>
        <w:rPr>
          <w:spacing w:val="7"/>
          <w:w w:val="105"/>
        </w:rPr>
        <w:t> </w:t>
      </w:r>
      <w:r>
        <w:rPr>
          <w:w w:val="105"/>
        </w:rPr>
        <w:t>Order</w:t>
      </w:r>
      <w:r>
        <w:rPr>
          <w:spacing w:val="8"/>
          <w:w w:val="105"/>
        </w:rPr>
        <w:t> </w:t>
      </w:r>
      <w:r>
        <w:rPr>
          <w:w w:val="105"/>
        </w:rPr>
        <w:t>of</w:t>
      </w:r>
      <w:r>
        <w:rPr>
          <w:spacing w:val="8"/>
          <w:w w:val="105"/>
        </w:rPr>
        <w:t> </w:t>
      </w:r>
      <w:r>
        <w:rPr>
          <w:w w:val="105"/>
        </w:rPr>
        <w:t>the</w:t>
      </w:r>
      <w:r>
        <w:rPr>
          <w:spacing w:val="8"/>
          <w:w w:val="105"/>
        </w:rPr>
        <w:t> </w:t>
      </w:r>
      <w:r>
        <w:rPr>
          <w:w w:val="105"/>
        </w:rPr>
        <w:t>Board</w:t>
      </w:r>
      <w:r>
        <w:rPr>
          <w:spacing w:val="8"/>
          <w:w w:val="105"/>
        </w:rPr>
        <w:t> </w:t>
      </w:r>
      <w:r>
        <w:rPr>
          <w:w w:val="105"/>
        </w:rPr>
        <w:t>of</w:t>
      </w:r>
      <w:r>
        <w:rPr>
          <w:spacing w:val="8"/>
          <w:w w:val="105"/>
        </w:rPr>
        <w:t> </w:t>
      </w:r>
      <w:r>
        <w:rPr>
          <w:spacing w:val="-2"/>
          <w:w w:val="105"/>
        </w:rPr>
        <w:t>Directors,</w:t>
      </w:r>
    </w:p>
    <w:p>
      <w:pPr>
        <w:pStyle w:val="BodyText"/>
        <w:spacing w:before="87"/>
        <w:ind w:left="5761"/>
      </w:pPr>
      <w:r>
        <w:rPr>
          <w:w w:val="105"/>
        </w:rPr>
        <w:t>Kimberley</w:t>
      </w:r>
      <w:r>
        <w:rPr>
          <w:spacing w:val="11"/>
          <w:w w:val="105"/>
        </w:rPr>
        <w:t> </w:t>
      </w:r>
      <w:r>
        <w:rPr>
          <w:w w:val="105"/>
        </w:rPr>
        <w:t>E.</w:t>
      </w:r>
      <w:r>
        <w:rPr>
          <w:spacing w:val="11"/>
          <w:w w:val="105"/>
        </w:rPr>
        <w:t> </w:t>
      </w:r>
      <w:r>
        <w:rPr>
          <w:spacing w:val="-2"/>
          <w:w w:val="105"/>
        </w:rPr>
        <w:t>Honeysett</w:t>
      </w:r>
    </w:p>
    <w:p>
      <w:pPr>
        <w:spacing w:before="17"/>
        <w:ind w:left="5761" w:right="0" w:firstLine="0"/>
        <w:jc w:val="left"/>
        <w:rPr>
          <w:i/>
          <w:sz w:val="18"/>
        </w:rPr>
      </w:pPr>
      <w:r>
        <w:rPr>
          <w:i/>
          <w:w w:val="105"/>
          <w:sz w:val="18"/>
        </w:rPr>
        <w:t>Corporate</w:t>
      </w:r>
      <w:r>
        <w:rPr>
          <w:i/>
          <w:spacing w:val="15"/>
          <w:w w:val="105"/>
          <w:sz w:val="18"/>
        </w:rPr>
        <w:t> </w:t>
      </w:r>
      <w:r>
        <w:rPr>
          <w:i/>
          <w:spacing w:val="-2"/>
          <w:w w:val="105"/>
          <w:sz w:val="18"/>
        </w:rPr>
        <w:t>Secretary</w:t>
      </w:r>
    </w:p>
    <w:p>
      <w:pPr>
        <w:pStyle w:val="BodyText"/>
        <w:rPr>
          <w:i/>
          <w:sz w:val="20"/>
        </w:rPr>
      </w:pPr>
    </w:p>
    <w:p>
      <w:pPr>
        <w:pStyle w:val="BodyText"/>
        <w:rPr>
          <w:i/>
          <w:sz w:val="20"/>
        </w:rPr>
      </w:pPr>
    </w:p>
    <w:p>
      <w:pPr>
        <w:pStyle w:val="BodyText"/>
        <w:rPr>
          <w:i/>
          <w:sz w:val="20"/>
        </w:rPr>
      </w:pPr>
    </w:p>
    <w:p>
      <w:pPr>
        <w:pStyle w:val="BodyText"/>
        <w:spacing w:before="7"/>
        <w:rPr>
          <w:i/>
          <w:sz w:val="25"/>
        </w:rPr>
      </w:pPr>
      <w:r>
        <w:rPr/>
        <w:pict>
          <v:group style="position:absolute;margin-left:28.999998pt;margin-top:15.923779pt;width:555pt;height:1.4pt;mso-position-horizontal-relative:page;mso-position-vertical-relative:paragraph;z-index:-15725568;mso-wrap-distance-left:0;mso-wrap-distance-right:0" id="docshapegroup14" coordorigin="580,318" coordsize="11100,28">
            <v:rect style="position:absolute;left:580;top:318;width:11100;height:14" id="docshape15" filled="true" fillcolor="#999999" stroked="false">
              <v:fill type="solid"/>
            </v:rect>
            <v:shape style="position:absolute;left:579;top:318;width:11100;height:28" id="docshape16" coordorigin="580,318" coordsize="11100,28" path="m11680,318l11666,332,580,332,580,346,11666,346,11680,346,11680,332,11680,318xe" filled="true" fillcolor="#ededed" stroked="false">
              <v:path arrowok="t"/>
              <v:fill type="solid"/>
            </v:shape>
            <v:shape style="position:absolute;left:580;top:318;width:14;height:28" id="docshape17" coordorigin="580,318" coordsize="14,28" path="m580,346l580,318,594,318,594,332,580,346xe" filled="true" fillcolor="#999999" stroked="false">
              <v:path arrowok="t"/>
              <v:fill type="solid"/>
            </v:shape>
            <w10:wrap type="topAndBottom"/>
          </v:group>
        </w:pict>
      </w:r>
    </w:p>
    <w:p>
      <w:pPr>
        <w:spacing w:after="0"/>
        <w:rPr>
          <w:sz w:val="25"/>
        </w:rPr>
        <w:sectPr>
          <w:headerReference w:type="default" r:id="rId11"/>
          <w:footerReference w:type="default" r:id="rId12"/>
          <w:pgSz w:w="12240" w:h="15840"/>
          <w:pgMar w:header="529" w:footer="0" w:top="720" w:bottom="280" w:left="480" w:right="460"/>
        </w:sectPr>
      </w:pPr>
    </w:p>
    <w:p>
      <w:pPr>
        <w:pStyle w:val="BodyText"/>
        <w:rPr>
          <w:i/>
          <w:sz w:val="20"/>
        </w:rPr>
      </w:pPr>
    </w:p>
    <w:p>
      <w:pPr>
        <w:pStyle w:val="BodyText"/>
        <w:rPr>
          <w:i/>
          <w:sz w:val="20"/>
        </w:rPr>
      </w:pPr>
    </w:p>
    <w:p>
      <w:pPr>
        <w:pStyle w:val="BodyText"/>
        <w:spacing w:before="2"/>
        <w:rPr>
          <w:i/>
          <w:sz w:val="27"/>
        </w:rPr>
      </w:pPr>
    </w:p>
    <w:p>
      <w:pPr>
        <w:pStyle w:val="Heading1"/>
      </w:pPr>
      <w:r>
        <w:rPr>
          <w:spacing w:val="-2"/>
        </w:rPr>
        <w:t>TABLE</w:t>
      </w:r>
      <w:r>
        <w:rPr>
          <w:spacing w:val="-3"/>
        </w:rPr>
        <w:t> </w:t>
      </w:r>
      <w:r>
        <w:rPr>
          <w:spacing w:val="-2"/>
        </w:rPr>
        <w:t>OF</w:t>
      </w:r>
      <w:r>
        <w:rPr>
          <w:spacing w:val="-11"/>
        </w:rPr>
        <w:t> </w:t>
      </w:r>
      <w:r>
        <w:rPr>
          <w:spacing w:val="-2"/>
        </w:rPr>
        <w:t>CONTENTS</w:t>
      </w:r>
    </w:p>
    <w:p>
      <w:pPr>
        <w:pStyle w:val="BodyText"/>
        <w:spacing w:before="3"/>
        <w:rPr>
          <w:b/>
          <w:sz w:val="17"/>
        </w:rPr>
      </w:pPr>
    </w:p>
    <w:p>
      <w:pPr>
        <w:spacing w:before="0"/>
        <w:ind w:left="0" w:right="1408" w:firstLine="0"/>
        <w:jc w:val="right"/>
        <w:rPr>
          <w:b/>
          <w:sz w:val="15"/>
        </w:rPr>
      </w:pPr>
      <w:r>
        <w:rPr/>
        <w:pict>
          <v:shape style="position:absolute;margin-left:502.916016pt;margin-top:11.196812pt;width:16.1pt;height:.7pt;mso-position-horizontal-relative:page;mso-position-vertical-relative:paragraph;z-index:15732224" id="docshape23" coordorigin="10058,224" coordsize="322,14" path="m10380,224l10324,224,10128,224,10058,224,10058,238,10128,238,10324,238,10380,238,10380,224xe" filled="true" fillcolor="#000000" stroked="false">
            <v:path arrowok="t"/>
            <v:fill type="solid"/>
            <w10:wrap type="none"/>
          </v:shape>
        </w:pict>
      </w:r>
      <w:r>
        <w:rPr>
          <w:b/>
          <w:spacing w:val="-4"/>
          <w:sz w:val="15"/>
        </w:rPr>
        <w:t>Page</w:t>
      </w:r>
    </w:p>
    <w:p>
      <w:pPr>
        <w:spacing w:after="0"/>
        <w:jc w:val="right"/>
        <w:rPr>
          <w:sz w:val="15"/>
        </w:rPr>
        <w:sectPr>
          <w:headerReference w:type="default" r:id="rId15"/>
          <w:footerReference w:type="default" r:id="rId16"/>
          <w:pgSz w:w="12240" w:h="15840"/>
          <w:pgMar w:header="529" w:footer="856" w:top="720" w:bottom="916" w:left="480" w:right="460"/>
        </w:sectPr>
      </w:pPr>
    </w:p>
    <w:sdt>
      <w:sdtPr>
        <w:docPartObj>
          <w:docPartGallery w:val="Table of Contents"/>
          <w:docPartUnique/>
        </w:docPartObj>
      </w:sdtPr>
      <w:sdtEndPr/>
      <w:sdtContent>
        <w:p>
          <w:pPr>
            <w:pStyle w:val="TOC2"/>
            <w:tabs>
              <w:tab w:pos="9740" w:val="left" w:leader="none"/>
            </w:tabs>
            <w:spacing w:before="121"/>
            <w:rPr>
              <w:u w:val="none"/>
            </w:rPr>
          </w:pPr>
          <w:hyperlink w:history="true" w:anchor="_TOC_250042">
            <w:r>
              <w:rPr>
                <w:color w:val="0000ED"/>
                <w:u w:val="single" w:color="0000ED"/>
              </w:rPr>
              <w:t>PROXY</w:t>
            </w:r>
            <w:r>
              <w:rPr>
                <w:color w:val="0000ED"/>
                <w:spacing w:val="32"/>
                <w:u w:val="single" w:color="0000ED"/>
              </w:rPr>
              <w:t> </w:t>
            </w:r>
            <w:r>
              <w:rPr>
                <w:color w:val="0000ED"/>
                <w:spacing w:val="-2"/>
                <w:u w:val="single" w:color="0000ED"/>
              </w:rPr>
              <w:t>SUMMARY</w:t>
            </w:r>
            <w:r>
              <w:rPr>
                <w:color w:val="0000ED"/>
                <w:u w:val="none"/>
              </w:rPr>
              <w:tab/>
            </w:r>
            <w:r>
              <w:rPr>
                <w:color w:val="0000ED"/>
                <w:spacing w:val="-10"/>
                <w:u w:val="single" w:color="0000ED"/>
              </w:rPr>
              <w:t>1</w:t>
            </w:r>
          </w:hyperlink>
        </w:p>
        <w:p>
          <w:pPr>
            <w:pStyle w:val="TOC2"/>
            <w:tabs>
              <w:tab w:pos="9740" w:val="left" w:leader="none"/>
            </w:tabs>
            <w:rPr>
              <w:u w:val="none"/>
            </w:rPr>
          </w:pPr>
          <w:hyperlink w:history="true" w:anchor="_TOC_250041">
            <w:r>
              <w:rPr>
                <w:color w:val="0000ED"/>
                <w:u w:val="single" w:color="0000ED"/>
              </w:rPr>
              <w:t>GENERAL</w:t>
            </w:r>
            <w:r>
              <w:rPr>
                <w:color w:val="0000ED"/>
                <w:spacing w:val="45"/>
                <w:u w:val="single" w:color="0000ED"/>
              </w:rPr>
              <w:t> </w:t>
            </w:r>
            <w:r>
              <w:rPr>
                <w:color w:val="0000ED"/>
                <w:spacing w:val="-2"/>
                <w:u w:val="single" w:color="0000ED"/>
              </w:rPr>
              <w:t>INFORMATION</w:t>
            </w:r>
            <w:r>
              <w:rPr>
                <w:color w:val="0000ED"/>
                <w:u w:val="none"/>
              </w:rPr>
              <w:tab/>
            </w:r>
            <w:r>
              <w:rPr>
                <w:color w:val="0000ED"/>
                <w:spacing w:val="-10"/>
                <w:u w:val="single" w:color="0000ED"/>
              </w:rPr>
              <w:t>4</w:t>
            </w:r>
          </w:hyperlink>
        </w:p>
        <w:p>
          <w:pPr>
            <w:pStyle w:val="TOC2"/>
            <w:tabs>
              <w:tab w:pos="9643" w:val="left" w:leader="none"/>
            </w:tabs>
            <w:rPr>
              <w:u w:val="none"/>
            </w:rPr>
          </w:pPr>
          <w:hyperlink w:history="true" w:anchor="_TOC_250040">
            <w:r>
              <w:rPr>
                <w:color w:val="0000ED"/>
                <w:u w:val="single" w:color="0000ED"/>
              </w:rPr>
              <w:t>VIRTUAL</w:t>
            </w:r>
            <w:r>
              <w:rPr>
                <w:color w:val="0000ED"/>
                <w:spacing w:val="33"/>
                <w:u w:val="single" w:color="0000ED"/>
              </w:rPr>
              <w:t> </w:t>
            </w:r>
            <w:r>
              <w:rPr>
                <w:color w:val="0000ED"/>
                <w:u w:val="single" w:color="0000ED"/>
              </w:rPr>
              <w:t>MEETING</w:t>
            </w:r>
            <w:r>
              <w:rPr>
                <w:color w:val="0000ED"/>
                <w:spacing w:val="49"/>
                <w:u w:val="single" w:color="0000ED"/>
              </w:rPr>
              <w:t> </w:t>
            </w:r>
            <w:r>
              <w:rPr>
                <w:color w:val="0000ED"/>
                <w:spacing w:val="-2"/>
                <w:u w:val="single" w:color="0000ED"/>
              </w:rPr>
              <w:t>PHILOSOPHY</w:t>
            </w:r>
            <w:r>
              <w:rPr>
                <w:color w:val="0000ED"/>
                <w:u w:val="none"/>
              </w:rPr>
              <w:tab/>
            </w:r>
            <w:r>
              <w:rPr>
                <w:color w:val="0000ED"/>
                <w:spacing w:val="-5"/>
                <w:u w:val="single" w:color="0000ED"/>
              </w:rPr>
              <w:t>10</w:t>
            </w:r>
          </w:hyperlink>
        </w:p>
        <w:p>
          <w:pPr>
            <w:pStyle w:val="TOC2"/>
            <w:tabs>
              <w:tab w:pos="9650" w:val="left" w:leader="none"/>
            </w:tabs>
            <w:spacing w:before="58"/>
            <w:rPr>
              <w:u w:val="none"/>
            </w:rPr>
          </w:pPr>
          <w:hyperlink w:history="true" w:anchor="_TOC_250039">
            <w:r>
              <w:rPr>
                <w:color w:val="0000ED"/>
                <w:w w:val="105"/>
                <w:u w:val="single" w:color="0000ED"/>
              </w:rPr>
              <w:t>PROPOSAL</w:t>
            </w:r>
            <w:r>
              <w:rPr>
                <w:color w:val="0000ED"/>
                <w:spacing w:val="-1"/>
                <w:w w:val="105"/>
                <w:u w:val="single" w:color="0000ED"/>
              </w:rPr>
              <w:t> </w:t>
            </w:r>
            <w:r>
              <w:rPr>
                <w:color w:val="0000ED"/>
                <w:w w:val="105"/>
                <w:u w:val="single" w:color="0000ED"/>
              </w:rPr>
              <w:t>ONE</w:t>
            </w:r>
            <w:r>
              <w:rPr>
                <w:color w:val="0000ED"/>
                <w:spacing w:val="-3"/>
                <w:w w:val="105"/>
                <w:u w:val="single" w:color="0000ED"/>
              </w:rPr>
              <w:t> </w:t>
            </w:r>
            <w:r>
              <w:rPr>
                <w:color w:val="0000ED"/>
                <w:w w:val="105"/>
                <w:u w:val="single" w:color="0000ED"/>
              </w:rPr>
              <w:t>–</w:t>
            </w:r>
            <w:r>
              <w:rPr>
                <w:color w:val="0000ED"/>
                <w:spacing w:val="-3"/>
                <w:w w:val="105"/>
                <w:u w:val="single" w:color="0000ED"/>
              </w:rPr>
              <w:t> </w:t>
            </w:r>
            <w:r>
              <w:rPr>
                <w:color w:val="0000ED"/>
                <w:w w:val="105"/>
                <w:u w:val="single" w:color="0000ED"/>
              </w:rPr>
              <w:t>ELECTION</w:t>
            </w:r>
            <w:r>
              <w:rPr>
                <w:color w:val="0000ED"/>
                <w:spacing w:val="7"/>
                <w:w w:val="105"/>
                <w:u w:val="single" w:color="0000ED"/>
              </w:rPr>
              <w:t> </w:t>
            </w:r>
            <w:r>
              <w:rPr>
                <w:color w:val="0000ED"/>
                <w:w w:val="105"/>
                <w:u w:val="single" w:color="0000ED"/>
              </w:rPr>
              <w:t>OF</w:t>
            </w:r>
            <w:r>
              <w:rPr>
                <w:color w:val="0000ED"/>
                <w:spacing w:val="7"/>
                <w:w w:val="105"/>
                <w:u w:val="single" w:color="0000ED"/>
              </w:rPr>
              <w:t> </w:t>
            </w:r>
            <w:r>
              <w:rPr>
                <w:color w:val="0000ED"/>
                <w:spacing w:val="-2"/>
                <w:w w:val="105"/>
                <w:u w:val="single" w:color="0000ED"/>
              </w:rPr>
              <w:t>DIRECTORS</w:t>
            </w:r>
            <w:r>
              <w:rPr>
                <w:color w:val="0000ED"/>
                <w:u w:val="none"/>
              </w:rPr>
              <w:tab/>
            </w:r>
            <w:r>
              <w:rPr>
                <w:color w:val="0000ED"/>
                <w:spacing w:val="-7"/>
                <w:w w:val="105"/>
                <w:u w:val="single" w:color="0000ED"/>
              </w:rPr>
              <w:t>11</w:t>
            </w:r>
          </w:hyperlink>
        </w:p>
        <w:p>
          <w:pPr>
            <w:pStyle w:val="TOC3"/>
            <w:tabs>
              <w:tab w:pos="9650" w:val="left" w:leader="none"/>
            </w:tabs>
            <w:rPr>
              <w:u w:val="none"/>
            </w:rPr>
          </w:pPr>
          <w:hyperlink w:history="true" w:anchor="_TOC_250038">
            <w:r>
              <w:rPr>
                <w:color w:val="0000ED"/>
                <w:w w:val="105"/>
                <w:u w:val="single" w:color="0000ED"/>
              </w:rPr>
              <w:t>Our</w:t>
            </w:r>
            <w:r>
              <w:rPr>
                <w:color w:val="0000ED"/>
                <w:spacing w:val="10"/>
                <w:w w:val="105"/>
                <w:u w:val="single" w:color="0000ED"/>
              </w:rPr>
              <w:t> </w:t>
            </w:r>
            <w:r>
              <w:rPr>
                <w:color w:val="0000ED"/>
                <w:w w:val="105"/>
                <w:u w:val="single" w:color="0000ED"/>
              </w:rPr>
              <w:t>Board;</w:t>
            </w:r>
            <w:r>
              <w:rPr>
                <w:color w:val="0000ED"/>
                <w:spacing w:val="11"/>
                <w:w w:val="105"/>
                <w:u w:val="single" w:color="0000ED"/>
              </w:rPr>
              <w:t> </w:t>
            </w:r>
            <w:r>
              <w:rPr>
                <w:color w:val="0000ED"/>
                <w:w w:val="105"/>
                <w:u w:val="single" w:color="0000ED"/>
              </w:rPr>
              <w:t>Selection</w:t>
            </w:r>
            <w:r>
              <w:rPr>
                <w:color w:val="0000ED"/>
                <w:spacing w:val="11"/>
                <w:w w:val="105"/>
                <w:u w:val="single" w:color="0000ED"/>
              </w:rPr>
              <w:t> </w:t>
            </w:r>
            <w:r>
              <w:rPr>
                <w:color w:val="0000ED"/>
                <w:w w:val="105"/>
                <w:u w:val="single" w:color="0000ED"/>
              </w:rPr>
              <w:t>of</w:t>
            </w:r>
            <w:r>
              <w:rPr>
                <w:color w:val="0000ED"/>
                <w:spacing w:val="11"/>
                <w:w w:val="105"/>
                <w:u w:val="single" w:color="0000ED"/>
              </w:rPr>
              <w:t> </w:t>
            </w:r>
            <w:r>
              <w:rPr>
                <w:color w:val="0000ED"/>
                <w:spacing w:val="-2"/>
                <w:w w:val="105"/>
                <w:u w:val="single" w:color="0000ED"/>
              </w:rPr>
              <w:t>Nominees</w:t>
            </w:r>
            <w:r>
              <w:rPr>
                <w:color w:val="0000ED"/>
                <w:u w:val="none"/>
              </w:rPr>
              <w:tab/>
            </w:r>
            <w:r>
              <w:rPr>
                <w:color w:val="0000ED"/>
                <w:spacing w:val="-7"/>
                <w:w w:val="105"/>
                <w:u w:val="single" w:color="0000ED"/>
              </w:rPr>
              <w:t>11</w:t>
            </w:r>
          </w:hyperlink>
        </w:p>
        <w:p>
          <w:pPr>
            <w:pStyle w:val="TOC3"/>
            <w:tabs>
              <w:tab w:pos="9643" w:val="left" w:leader="none"/>
            </w:tabs>
            <w:rPr>
              <w:u w:val="none"/>
            </w:rPr>
          </w:pPr>
          <w:hyperlink w:history="true" w:anchor="_TOC_250037">
            <w:r>
              <w:rPr>
                <w:color w:val="0000ED"/>
                <w:w w:val="105"/>
                <w:u w:val="single" w:color="0000ED"/>
              </w:rPr>
              <w:t>Director</w:t>
            </w:r>
            <w:r>
              <w:rPr>
                <w:color w:val="0000ED"/>
                <w:spacing w:val="20"/>
                <w:w w:val="105"/>
                <w:u w:val="single" w:color="0000ED"/>
              </w:rPr>
              <w:t> </w:t>
            </w:r>
            <w:r>
              <w:rPr>
                <w:color w:val="0000ED"/>
                <w:w w:val="105"/>
                <w:u w:val="single" w:color="0000ED"/>
              </w:rPr>
              <w:t>Qualifications</w:t>
            </w:r>
            <w:r>
              <w:rPr>
                <w:color w:val="0000ED"/>
                <w:spacing w:val="21"/>
                <w:w w:val="105"/>
                <w:u w:val="single" w:color="0000ED"/>
              </w:rPr>
              <w:t> </w:t>
            </w:r>
            <w:r>
              <w:rPr>
                <w:color w:val="0000ED"/>
                <w:spacing w:val="-2"/>
                <w:w w:val="105"/>
                <w:u w:val="single" w:color="0000ED"/>
              </w:rPr>
              <w:t>Matrix</w:t>
            </w:r>
            <w:r>
              <w:rPr>
                <w:color w:val="0000ED"/>
                <w:u w:val="none"/>
              </w:rPr>
              <w:tab/>
            </w:r>
            <w:r>
              <w:rPr>
                <w:color w:val="0000ED"/>
                <w:spacing w:val="-7"/>
                <w:w w:val="105"/>
                <w:u w:val="single" w:color="0000ED"/>
              </w:rPr>
              <w:t>16</w:t>
            </w:r>
          </w:hyperlink>
        </w:p>
        <w:p>
          <w:pPr>
            <w:pStyle w:val="TOC3"/>
            <w:tabs>
              <w:tab w:pos="9643" w:val="left" w:leader="none"/>
            </w:tabs>
            <w:spacing w:before="72"/>
            <w:rPr>
              <w:u w:val="none"/>
            </w:rPr>
          </w:pPr>
          <w:hyperlink w:history="true" w:anchor="_TOC_250036">
            <w:r>
              <w:rPr>
                <w:color w:val="0000ED"/>
                <w:w w:val="105"/>
                <w:u w:val="single" w:color="0000ED"/>
              </w:rPr>
              <w:t>Governance</w:t>
            </w:r>
            <w:r>
              <w:rPr>
                <w:color w:val="0000ED"/>
                <w:spacing w:val="10"/>
                <w:w w:val="105"/>
                <w:u w:val="single" w:color="0000ED"/>
              </w:rPr>
              <w:t> </w:t>
            </w:r>
            <w:r>
              <w:rPr>
                <w:color w:val="0000ED"/>
                <w:w w:val="105"/>
                <w:u w:val="single" w:color="0000ED"/>
              </w:rPr>
              <w:t>of</w:t>
            </w:r>
            <w:r>
              <w:rPr>
                <w:color w:val="0000ED"/>
                <w:spacing w:val="10"/>
                <w:w w:val="105"/>
                <w:u w:val="single" w:color="0000ED"/>
              </w:rPr>
              <w:t> </w:t>
            </w:r>
            <w:r>
              <w:rPr>
                <w:color w:val="0000ED"/>
                <w:w w:val="105"/>
                <w:u w:val="single" w:color="0000ED"/>
              </w:rPr>
              <w:t>the</w:t>
            </w:r>
            <w:r>
              <w:rPr>
                <w:color w:val="0000ED"/>
                <w:spacing w:val="11"/>
                <w:w w:val="105"/>
                <w:u w:val="single" w:color="0000ED"/>
              </w:rPr>
              <w:t> </w:t>
            </w:r>
            <w:r>
              <w:rPr>
                <w:color w:val="0000ED"/>
                <w:spacing w:val="-2"/>
                <w:w w:val="105"/>
                <w:u w:val="single" w:color="0000ED"/>
              </w:rPr>
              <w:t>Company</w:t>
            </w:r>
            <w:r>
              <w:rPr>
                <w:color w:val="0000ED"/>
                <w:u w:val="none"/>
              </w:rPr>
              <w:tab/>
            </w:r>
            <w:r>
              <w:rPr>
                <w:color w:val="0000ED"/>
                <w:spacing w:val="-7"/>
                <w:w w:val="105"/>
                <w:u w:val="single" w:color="0000ED"/>
              </w:rPr>
              <w:t>16</w:t>
            </w:r>
          </w:hyperlink>
        </w:p>
        <w:p>
          <w:pPr>
            <w:pStyle w:val="TOC3"/>
            <w:tabs>
              <w:tab w:pos="9643" w:val="left" w:leader="none"/>
            </w:tabs>
            <w:spacing w:before="59"/>
            <w:rPr>
              <w:u w:val="none"/>
            </w:rPr>
          </w:pPr>
          <w:r>
            <w:rPr/>
            <w:pict>
              <v:rect style="position:absolute;margin-left:273.546570pt;margin-top:12.051316pt;width:3.70495pt;height:.698992pt;mso-position-horizontal-relative:page;mso-position-vertical-relative:paragraph;z-index:15732736" id="docshape24" filled="true" fillcolor="#0000ed" stroked="false">
                <v:fill type="solid"/>
                <w10:wrap type="none"/>
              </v:rect>
            </w:pict>
          </w:r>
          <w:hyperlink w:history="true" w:anchor="_TOC_250035">
            <w:r>
              <w:rPr>
                <w:color w:val="0000ED"/>
                <w:w w:val="105"/>
                <w:u w:val="single" w:color="0000ED"/>
              </w:rPr>
              <w:t>Board</w:t>
            </w:r>
            <w:r>
              <w:rPr>
                <w:color w:val="0000ED"/>
                <w:spacing w:val="12"/>
                <w:w w:val="105"/>
                <w:u w:val="single" w:color="0000ED"/>
              </w:rPr>
              <w:t> </w:t>
            </w:r>
            <w:r>
              <w:rPr>
                <w:color w:val="0000ED"/>
                <w:w w:val="105"/>
                <w:u w:val="single" w:color="0000ED"/>
              </w:rPr>
              <w:t>Committees</w:t>
            </w:r>
            <w:r>
              <w:rPr>
                <w:color w:val="0000ED"/>
                <w:spacing w:val="12"/>
                <w:w w:val="105"/>
                <w:u w:val="single" w:color="0000ED"/>
              </w:rPr>
              <w:t> </w:t>
            </w:r>
            <w:r>
              <w:rPr>
                <w:color w:val="0000ED"/>
                <w:w w:val="105"/>
                <w:u w:val="single" w:color="0000ED"/>
              </w:rPr>
              <w:t>and</w:t>
            </w:r>
            <w:r>
              <w:rPr>
                <w:color w:val="0000ED"/>
                <w:spacing w:val="12"/>
                <w:w w:val="105"/>
                <w:u w:val="single" w:color="0000ED"/>
              </w:rPr>
              <w:t> </w:t>
            </w:r>
            <w:r>
              <w:rPr>
                <w:color w:val="0000ED"/>
                <w:w w:val="105"/>
                <w:u w:val="single" w:color="0000ED"/>
              </w:rPr>
              <w:t>Committee</w:t>
            </w:r>
            <w:r>
              <w:rPr>
                <w:color w:val="0000ED"/>
                <w:spacing w:val="12"/>
                <w:w w:val="105"/>
                <w:u w:val="single" w:color="0000ED"/>
              </w:rPr>
              <w:t> </w:t>
            </w:r>
            <w:r>
              <w:rPr>
                <w:color w:val="0000ED"/>
                <w:spacing w:val="-2"/>
                <w:w w:val="105"/>
                <w:u w:val="single" w:color="0000ED"/>
              </w:rPr>
              <w:t>Meetin</w:t>
            </w:r>
            <w:r>
              <w:rPr>
                <w:color w:val="0000ED"/>
                <w:spacing w:val="-2"/>
                <w:w w:val="105"/>
                <w:u w:val="none"/>
              </w:rPr>
              <w:t>gs</w:t>
            </w:r>
            <w:r>
              <w:rPr>
                <w:color w:val="0000ED"/>
                <w:u w:val="none"/>
              </w:rPr>
              <w:tab/>
            </w:r>
            <w:r>
              <w:rPr>
                <w:color w:val="0000ED"/>
                <w:spacing w:val="-7"/>
                <w:w w:val="105"/>
                <w:u w:val="single" w:color="0000ED"/>
              </w:rPr>
              <w:t>21</w:t>
            </w:r>
          </w:hyperlink>
        </w:p>
        <w:p>
          <w:pPr>
            <w:pStyle w:val="TOC3"/>
            <w:tabs>
              <w:tab w:pos="9643" w:val="left" w:leader="none"/>
            </w:tabs>
            <w:spacing w:before="72"/>
            <w:rPr>
              <w:u w:val="none"/>
            </w:rPr>
          </w:pPr>
          <w:hyperlink w:history="true" w:anchor="_TOC_250034">
            <w:r>
              <w:rPr>
                <w:color w:val="0000ED"/>
                <w:w w:val="105"/>
                <w:u w:val="single" w:color="0000ED"/>
              </w:rPr>
              <w:t>Environmental,</w:t>
            </w:r>
            <w:r>
              <w:rPr>
                <w:color w:val="0000ED"/>
                <w:spacing w:val="15"/>
                <w:w w:val="105"/>
                <w:u w:val="single" w:color="0000ED"/>
              </w:rPr>
              <w:t> </w:t>
            </w:r>
            <w:r>
              <w:rPr>
                <w:color w:val="0000ED"/>
                <w:w w:val="105"/>
                <w:u w:val="single" w:color="0000ED"/>
              </w:rPr>
              <w:t>Social</w:t>
            </w:r>
            <w:r>
              <w:rPr>
                <w:color w:val="0000ED"/>
                <w:spacing w:val="15"/>
                <w:w w:val="105"/>
                <w:u w:val="single" w:color="0000ED"/>
              </w:rPr>
              <w:t> </w:t>
            </w:r>
            <w:r>
              <w:rPr>
                <w:color w:val="0000ED"/>
                <w:w w:val="105"/>
                <w:u w:val="single" w:color="0000ED"/>
              </w:rPr>
              <w:t>and</w:t>
            </w:r>
            <w:r>
              <w:rPr>
                <w:color w:val="0000ED"/>
                <w:spacing w:val="15"/>
                <w:w w:val="105"/>
                <w:u w:val="single" w:color="0000ED"/>
              </w:rPr>
              <w:t> </w:t>
            </w:r>
            <w:r>
              <w:rPr>
                <w:color w:val="0000ED"/>
                <w:w w:val="105"/>
                <w:u w:val="single" w:color="0000ED"/>
              </w:rPr>
              <w:t>Governance</w:t>
            </w:r>
            <w:r>
              <w:rPr>
                <w:color w:val="0000ED"/>
                <w:spacing w:val="15"/>
                <w:w w:val="105"/>
                <w:u w:val="single" w:color="0000ED"/>
              </w:rPr>
              <w:t> </w:t>
            </w:r>
            <w:r>
              <w:rPr>
                <w:color w:val="0000ED"/>
                <w:spacing w:val="-2"/>
                <w:w w:val="105"/>
                <w:u w:val="single" w:color="0000ED"/>
              </w:rPr>
              <w:t>Matters</w:t>
            </w:r>
            <w:r>
              <w:rPr>
                <w:color w:val="0000ED"/>
                <w:u w:val="none"/>
              </w:rPr>
              <w:tab/>
            </w:r>
            <w:r>
              <w:rPr>
                <w:color w:val="0000ED"/>
                <w:spacing w:val="-7"/>
                <w:w w:val="105"/>
                <w:u w:val="single" w:color="0000ED"/>
              </w:rPr>
              <w:t>24</w:t>
            </w:r>
          </w:hyperlink>
        </w:p>
        <w:p>
          <w:pPr>
            <w:pStyle w:val="TOC2"/>
            <w:tabs>
              <w:tab w:pos="9643" w:val="left" w:leader="none"/>
            </w:tabs>
            <w:rPr>
              <w:u w:val="none"/>
            </w:rPr>
          </w:pPr>
          <w:r>
            <w:rPr>
              <w:color w:val="0000ED"/>
              <w:w w:val="105"/>
              <w:u w:val="single" w:color="0000ED"/>
            </w:rPr>
            <w:t>PROPOSAL</w:t>
          </w:r>
          <w:r>
            <w:rPr>
              <w:color w:val="0000ED"/>
              <w:spacing w:val="-6"/>
              <w:w w:val="105"/>
              <w:u w:val="single" w:color="0000ED"/>
            </w:rPr>
            <w:t> </w:t>
          </w:r>
          <w:r>
            <w:rPr>
              <w:color w:val="0000ED"/>
              <w:w w:val="105"/>
              <w:u w:val="single" w:color="0000ED"/>
            </w:rPr>
            <w:t>TWO</w:t>
          </w:r>
          <w:r>
            <w:rPr>
              <w:color w:val="0000ED"/>
              <w:spacing w:val="-4"/>
              <w:w w:val="105"/>
              <w:u w:val="single" w:color="0000ED"/>
            </w:rPr>
            <w:t> </w:t>
          </w:r>
          <w:r>
            <w:rPr>
              <w:color w:val="0000ED"/>
              <w:w w:val="105"/>
              <w:u w:val="single" w:color="0000ED"/>
            </w:rPr>
            <w:t>–</w:t>
          </w:r>
          <w:r>
            <w:rPr>
              <w:color w:val="0000ED"/>
              <w:spacing w:val="-4"/>
              <w:w w:val="105"/>
              <w:u w:val="single" w:color="0000ED"/>
            </w:rPr>
            <w:t> </w:t>
          </w:r>
          <w:r>
            <w:rPr>
              <w:color w:val="0000ED"/>
              <w:w w:val="105"/>
              <w:u w:val="single" w:color="0000ED"/>
            </w:rPr>
            <w:t>ADVISORY</w:t>
          </w:r>
          <w:r>
            <w:rPr>
              <w:color w:val="0000ED"/>
              <w:spacing w:val="-6"/>
              <w:w w:val="105"/>
              <w:u w:val="single" w:color="0000ED"/>
            </w:rPr>
            <w:t> </w:t>
          </w:r>
          <w:r>
            <w:rPr>
              <w:color w:val="0000ED"/>
              <w:w w:val="105"/>
              <w:u w:val="single" w:color="0000ED"/>
            </w:rPr>
            <w:t>VOTE</w:t>
          </w:r>
          <w:r>
            <w:rPr>
              <w:color w:val="0000ED"/>
              <w:spacing w:val="2"/>
              <w:w w:val="105"/>
              <w:u w:val="single" w:color="0000ED"/>
            </w:rPr>
            <w:t> </w:t>
          </w:r>
          <w:r>
            <w:rPr>
              <w:color w:val="0000ED"/>
              <w:w w:val="105"/>
              <w:u w:val="single" w:color="0000ED"/>
            </w:rPr>
            <w:t>TO</w:t>
          </w:r>
          <w:r>
            <w:rPr>
              <w:color w:val="0000ED"/>
              <w:spacing w:val="-6"/>
              <w:w w:val="105"/>
              <w:u w:val="single" w:color="0000ED"/>
            </w:rPr>
            <w:t> </w:t>
          </w:r>
          <w:r>
            <w:rPr>
              <w:color w:val="0000ED"/>
              <w:w w:val="105"/>
              <w:u w:val="single" w:color="0000ED"/>
            </w:rPr>
            <w:t>APPROVE</w:t>
          </w:r>
          <w:r>
            <w:rPr>
              <w:color w:val="0000ED"/>
              <w:spacing w:val="6"/>
              <w:w w:val="105"/>
              <w:u w:val="single" w:color="0000ED"/>
            </w:rPr>
            <w:t> </w:t>
          </w:r>
          <w:r>
            <w:rPr>
              <w:color w:val="0000ED"/>
              <w:w w:val="105"/>
              <w:u w:val="single" w:color="0000ED"/>
            </w:rPr>
            <w:t>OUR</w:t>
          </w:r>
          <w:r>
            <w:rPr>
              <w:color w:val="0000ED"/>
              <w:spacing w:val="5"/>
              <w:w w:val="105"/>
              <w:u w:val="single" w:color="0000ED"/>
            </w:rPr>
            <w:t> </w:t>
          </w:r>
          <w:r>
            <w:rPr>
              <w:color w:val="0000ED"/>
              <w:w w:val="105"/>
              <w:u w:val="single" w:color="0000ED"/>
            </w:rPr>
            <w:t>EXECUTIVE</w:t>
          </w:r>
          <w:r>
            <w:rPr>
              <w:color w:val="0000ED"/>
              <w:spacing w:val="6"/>
              <w:w w:val="105"/>
              <w:u w:val="single" w:color="0000ED"/>
            </w:rPr>
            <w:t> </w:t>
          </w:r>
          <w:r>
            <w:rPr>
              <w:color w:val="0000ED"/>
              <w:spacing w:val="-2"/>
              <w:w w:val="105"/>
              <w:u w:val="single" w:color="0000ED"/>
            </w:rPr>
            <w:t>COMPENSATION</w:t>
          </w:r>
          <w:r>
            <w:rPr>
              <w:color w:val="0000ED"/>
              <w:u w:val="none"/>
            </w:rPr>
            <w:tab/>
          </w:r>
          <w:r>
            <w:rPr>
              <w:color w:val="0000ED"/>
              <w:spacing w:val="-5"/>
              <w:w w:val="105"/>
              <w:u w:val="single" w:color="0000ED"/>
            </w:rPr>
            <w:t>27</w:t>
          </w:r>
        </w:p>
        <w:p>
          <w:pPr>
            <w:pStyle w:val="TOC3"/>
            <w:tabs>
              <w:tab w:pos="9643" w:val="left" w:leader="none"/>
            </w:tabs>
            <w:rPr>
              <w:u w:val="none"/>
            </w:rPr>
          </w:pPr>
          <w:hyperlink w:history="true" w:anchor="_TOC_250033">
            <w:r>
              <w:rPr>
                <w:color w:val="0000ED"/>
                <w:w w:val="105"/>
                <w:u w:val="single" w:color="0000ED"/>
              </w:rPr>
              <w:t>Back</w:t>
            </w:r>
            <w:r>
              <w:rPr>
                <w:color w:val="0000ED"/>
                <w:w w:val="105"/>
                <w:u w:val="none"/>
              </w:rPr>
              <w:t>g</w:t>
            </w:r>
            <w:r>
              <w:rPr>
                <w:color w:val="0000ED"/>
                <w:w w:val="105"/>
                <w:u w:val="single" w:color="0000ED"/>
              </w:rPr>
              <w:t>round</w:t>
            </w:r>
            <w:r>
              <w:rPr>
                <w:color w:val="0000ED"/>
                <w:spacing w:val="11"/>
                <w:w w:val="105"/>
                <w:u w:val="single" w:color="0000ED"/>
              </w:rPr>
              <w:t> </w:t>
            </w:r>
            <w:r>
              <w:rPr>
                <w:color w:val="0000ED"/>
                <w:w w:val="105"/>
                <w:u w:val="single" w:color="0000ED"/>
              </w:rPr>
              <w:t>to</w:t>
            </w:r>
            <w:r>
              <w:rPr>
                <w:color w:val="0000ED"/>
                <w:spacing w:val="12"/>
                <w:w w:val="105"/>
                <w:u w:val="single" w:color="0000ED"/>
              </w:rPr>
              <w:t> </w:t>
            </w:r>
            <w:r>
              <w:rPr>
                <w:color w:val="0000ED"/>
                <w:w w:val="105"/>
                <w:u w:val="single" w:color="0000ED"/>
              </w:rPr>
              <w:t>the Advisory</w:t>
            </w:r>
            <w:r>
              <w:rPr>
                <w:color w:val="0000ED"/>
                <w:spacing w:val="7"/>
                <w:w w:val="105"/>
                <w:u w:val="single" w:color="0000ED"/>
              </w:rPr>
              <w:t> </w:t>
            </w:r>
            <w:r>
              <w:rPr>
                <w:color w:val="0000ED"/>
                <w:spacing w:val="-4"/>
                <w:w w:val="105"/>
                <w:u w:val="single" w:color="0000ED"/>
              </w:rPr>
              <w:t>Vote</w:t>
            </w:r>
            <w:r>
              <w:rPr>
                <w:color w:val="0000ED"/>
                <w:u w:val="none"/>
              </w:rPr>
              <w:tab/>
            </w:r>
            <w:r>
              <w:rPr>
                <w:color w:val="0000ED"/>
                <w:spacing w:val="-7"/>
                <w:w w:val="105"/>
                <w:u w:val="single" w:color="0000ED"/>
              </w:rPr>
              <w:t>27</w:t>
            </w:r>
          </w:hyperlink>
        </w:p>
        <w:p>
          <w:pPr>
            <w:pStyle w:val="TOC3"/>
            <w:tabs>
              <w:tab w:pos="9643" w:val="left" w:leader="none"/>
            </w:tabs>
            <w:spacing w:before="58"/>
            <w:rPr>
              <w:u w:val="none"/>
            </w:rPr>
          </w:pPr>
          <w:hyperlink w:history="true" w:anchor="_TOC_250032">
            <w:r>
              <w:rPr>
                <w:color w:val="0000ED"/>
                <w:w w:val="105"/>
                <w:u w:val="single" w:color="0000ED"/>
              </w:rPr>
              <w:t>Required</w:t>
            </w:r>
            <w:r>
              <w:rPr>
                <w:color w:val="0000ED"/>
                <w:spacing w:val="10"/>
                <w:w w:val="105"/>
                <w:u w:val="single" w:color="0000ED"/>
              </w:rPr>
              <w:t> </w:t>
            </w:r>
            <w:r>
              <w:rPr>
                <w:color w:val="0000ED"/>
                <w:spacing w:val="-4"/>
                <w:w w:val="105"/>
                <w:u w:val="single" w:color="0000ED"/>
              </w:rPr>
              <w:t>Vote</w:t>
            </w:r>
            <w:r>
              <w:rPr>
                <w:color w:val="0000ED"/>
                <w:u w:val="none"/>
              </w:rPr>
              <w:tab/>
            </w:r>
            <w:r>
              <w:rPr>
                <w:color w:val="0000ED"/>
                <w:spacing w:val="-7"/>
                <w:w w:val="105"/>
                <w:u w:val="single" w:color="0000ED"/>
              </w:rPr>
              <w:t>27</w:t>
            </w:r>
          </w:hyperlink>
        </w:p>
        <w:p>
          <w:pPr>
            <w:pStyle w:val="TOC3"/>
            <w:tabs>
              <w:tab w:pos="9643" w:val="left" w:leader="none"/>
            </w:tabs>
            <w:rPr>
              <w:u w:val="none"/>
            </w:rPr>
          </w:pPr>
          <w:r>
            <w:rPr/>
            <w:pict>
              <v:rect style="position:absolute;margin-left:137.430008pt;margin-top:12.752204pt;width:185.452009pt;height:.699pt;mso-position-horizontal-relative:page;mso-position-vertical-relative:paragraph;z-index:15733248" id="docshape25" filled="true" fillcolor="#0000ed" stroked="false">
                <v:fill type="solid"/>
                <w10:wrap type="none"/>
              </v:rect>
            </w:pict>
          </w:r>
          <w:hyperlink w:history="true" w:anchor="_TOC_250031">
            <w:r>
              <w:rPr>
                <w:color w:val="0000ED"/>
                <w:w w:val="105"/>
                <w:u w:val="single" w:color="0000ED"/>
              </w:rPr>
              <w:t>Next</w:t>
            </w:r>
            <w:r>
              <w:rPr>
                <w:color w:val="0000ED"/>
                <w:spacing w:val="15"/>
                <w:w w:val="105"/>
                <w:u w:val="single" w:color="0000ED"/>
              </w:rPr>
              <w:t> </w:t>
            </w:r>
            <w:r>
              <w:rPr>
                <w:color w:val="0000ED"/>
                <w:w w:val="105"/>
                <w:u w:val="single" w:color="0000ED"/>
              </w:rPr>
              <w:t>Sa</w:t>
            </w:r>
            <w:r>
              <w:rPr>
                <w:color w:val="0000ED"/>
                <w:w w:val="105"/>
                <w:u w:val="none"/>
              </w:rPr>
              <w:t>y-on-Pay</w:t>
            </w:r>
            <w:r>
              <w:rPr>
                <w:color w:val="0000ED"/>
                <w:spacing w:val="15"/>
                <w:w w:val="105"/>
                <w:u w:val="none"/>
              </w:rPr>
              <w:t> </w:t>
            </w:r>
            <w:r>
              <w:rPr>
                <w:color w:val="0000ED"/>
                <w:w w:val="105"/>
                <w:u w:val="none"/>
              </w:rPr>
              <w:t>and</w:t>
            </w:r>
            <w:r>
              <w:rPr>
                <w:color w:val="0000ED"/>
                <w:spacing w:val="15"/>
                <w:w w:val="105"/>
                <w:u w:val="none"/>
              </w:rPr>
              <w:t> </w:t>
            </w:r>
            <w:r>
              <w:rPr>
                <w:color w:val="0000ED"/>
                <w:w w:val="105"/>
                <w:u w:val="none"/>
              </w:rPr>
              <w:t>Say-on-Frequency</w:t>
            </w:r>
            <w:r>
              <w:rPr>
                <w:color w:val="0000ED"/>
                <w:spacing w:val="2"/>
                <w:w w:val="105"/>
                <w:u w:val="none"/>
              </w:rPr>
              <w:t> </w:t>
            </w:r>
            <w:r>
              <w:rPr>
                <w:color w:val="0000ED"/>
                <w:w w:val="105"/>
                <w:u w:val="none"/>
              </w:rPr>
              <w:t>Advisory</w:t>
            </w:r>
            <w:r>
              <w:rPr>
                <w:color w:val="0000ED"/>
                <w:spacing w:val="10"/>
                <w:w w:val="105"/>
                <w:u w:val="none"/>
              </w:rPr>
              <w:t> </w:t>
            </w:r>
            <w:r>
              <w:rPr>
                <w:color w:val="0000ED"/>
                <w:spacing w:val="-2"/>
                <w:w w:val="105"/>
                <w:u w:val="none"/>
              </w:rPr>
              <w:t>Votes</w:t>
            </w:r>
            <w:r>
              <w:rPr>
                <w:color w:val="0000ED"/>
                <w:u w:val="none"/>
              </w:rPr>
              <w:tab/>
            </w:r>
            <w:r>
              <w:rPr>
                <w:color w:val="0000ED"/>
                <w:spacing w:val="-7"/>
                <w:w w:val="105"/>
                <w:u w:val="single" w:color="0000ED"/>
              </w:rPr>
              <w:t>27</w:t>
            </w:r>
          </w:hyperlink>
        </w:p>
        <w:p>
          <w:pPr>
            <w:pStyle w:val="TOC2"/>
            <w:tabs>
              <w:tab w:pos="9643" w:val="left" w:leader="none"/>
            </w:tabs>
            <w:spacing w:line="259" w:lineRule="auto" w:before="86"/>
            <w:ind w:left="1586" w:right="1464" w:hanging="187"/>
            <w:rPr>
              <w:u w:val="none"/>
            </w:rPr>
          </w:pPr>
          <w:r>
            <w:rPr>
              <w:color w:val="0000ED"/>
              <w:w w:val="105"/>
              <w:u w:val="single" w:color="0000ED"/>
            </w:rPr>
            <w:t>PROPOSAL THREE – RATIFICATION OF THE APPOINTMENT OF OUR INDEPENDENT</w:t>
          </w:r>
          <w:r>
            <w:rPr>
              <w:color w:val="0000ED"/>
              <w:spacing w:val="40"/>
              <w:w w:val="105"/>
              <w:u w:val="none"/>
            </w:rPr>
            <w:t> </w:t>
          </w:r>
          <w:r>
            <w:rPr>
              <w:color w:val="0000ED"/>
              <w:u w:val="single" w:color="0000ED"/>
            </w:rPr>
            <w:t>REGISTERED</w:t>
          </w:r>
          <w:r>
            <w:rPr>
              <w:color w:val="0000ED"/>
              <w:spacing w:val="65"/>
              <w:u w:val="single" w:color="0000ED"/>
            </w:rPr>
            <w:t> </w:t>
          </w:r>
          <w:r>
            <w:rPr>
              <w:color w:val="0000ED"/>
              <w:u w:val="single" w:color="0000ED"/>
            </w:rPr>
            <w:t>PUBLIC</w:t>
          </w:r>
          <w:r>
            <w:rPr>
              <w:color w:val="0000ED"/>
              <w:spacing w:val="42"/>
              <w:u w:val="single" w:color="0000ED"/>
            </w:rPr>
            <w:t> </w:t>
          </w:r>
          <w:r>
            <w:rPr>
              <w:color w:val="0000ED"/>
              <w:u w:val="single" w:color="0000ED"/>
            </w:rPr>
            <w:t>ACCOUNTING</w:t>
          </w:r>
          <w:r>
            <w:rPr>
              <w:color w:val="0000ED"/>
              <w:spacing w:val="65"/>
              <w:u w:val="single" w:color="0000ED"/>
            </w:rPr>
            <w:t> </w:t>
          </w:r>
          <w:r>
            <w:rPr>
              <w:color w:val="0000ED"/>
              <w:spacing w:val="-4"/>
              <w:u w:val="single" w:color="0000ED"/>
            </w:rPr>
            <w:t>FIRM</w:t>
          </w:r>
          <w:r>
            <w:rPr>
              <w:color w:val="0000ED"/>
              <w:u w:val="none"/>
            </w:rPr>
            <w:tab/>
          </w:r>
          <w:r>
            <w:rPr>
              <w:color w:val="0000ED"/>
              <w:spacing w:val="-5"/>
              <w:u w:val="single" w:color="0000ED"/>
            </w:rPr>
            <w:t>28</w:t>
          </w:r>
        </w:p>
        <w:p>
          <w:pPr>
            <w:pStyle w:val="TOC3"/>
            <w:tabs>
              <w:tab w:pos="9643" w:val="left" w:leader="none"/>
            </w:tabs>
            <w:spacing w:before="71"/>
            <w:rPr>
              <w:u w:val="none"/>
            </w:rPr>
          </w:pPr>
          <w:r>
            <w:rPr>
              <w:color w:val="0000ED"/>
              <w:w w:val="105"/>
              <w:u w:val="single" w:color="0000ED"/>
            </w:rPr>
            <w:t>Ratification</w:t>
          </w:r>
          <w:r>
            <w:rPr>
              <w:color w:val="0000ED"/>
              <w:spacing w:val="14"/>
              <w:w w:val="105"/>
              <w:u w:val="single" w:color="0000ED"/>
            </w:rPr>
            <w:t> </w:t>
          </w:r>
          <w:r>
            <w:rPr>
              <w:color w:val="0000ED"/>
              <w:w w:val="105"/>
              <w:u w:val="single" w:color="0000ED"/>
            </w:rPr>
            <w:t>of</w:t>
          </w:r>
          <w:r>
            <w:rPr>
              <w:color w:val="0000ED"/>
              <w:spacing w:val="15"/>
              <w:w w:val="105"/>
              <w:u w:val="single" w:color="0000ED"/>
            </w:rPr>
            <w:t> </w:t>
          </w:r>
          <w:r>
            <w:rPr>
              <w:color w:val="0000ED"/>
              <w:w w:val="105"/>
              <w:u w:val="single" w:color="0000ED"/>
            </w:rPr>
            <w:t>the</w:t>
          </w:r>
          <w:r>
            <w:rPr>
              <w:color w:val="0000ED"/>
              <w:spacing w:val="14"/>
              <w:w w:val="105"/>
              <w:u w:val="single" w:color="0000ED"/>
            </w:rPr>
            <w:t> </w:t>
          </w:r>
          <w:r>
            <w:rPr>
              <w:color w:val="0000ED"/>
              <w:w w:val="105"/>
              <w:u w:val="single" w:color="0000ED"/>
            </w:rPr>
            <w:t>Independent</w:t>
          </w:r>
          <w:r>
            <w:rPr>
              <w:color w:val="0000ED"/>
              <w:spacing w:val="2"/>
              <w:w w:val="105"/>
              <w:u w:val="single" w:color="0000ED"/>
            </w:rPr>
            <w:t> </w:t>
          </w:r>
          <w:r>
            <w:rPr>
              <w:color w:val="0000ED"/>
              <w:spacing w:val="-2"/>
              <w:w w:val="105"/>
              <w:u w:val="single" w:color="0000ED"/>
            </w:rPr>
            <w:t>Auditors</w:t>
          </w:r>
          <w:r>
            <w:rPr>
              <w:color w:val="0000ED"/>
              <w:u w:val="none"/>
            </w:rPr>
            <w:tab/>
          </w:r>
          <w:r>
            <w:rPr>
              <w:color w:val="0000ED"/>
              <w:spacing w:val="-7"/>
              <w:w w:val="105"/>
              <w:u w:val="single" w:color="0000ED"/>
            </w:rPr>
            <w:t>28</w:t>
          </w:r>
        </w:p>
        <w:p>
          <w:pPr>
            <w:pStyle w:val="TOC3"/>
            <w:tabs>
              <w:tab w:pos="9643" w:val="left" w:leader="none"/>
            </w:tabs>
            <w:spacing w:before="72"/>
            <w:rPr>
              <w:u w:val="none"/>
            </w:rPr>
          </w:pPr>
          <w:hyperlink w:history="true" w:anchor="_TOC_250030">
            <w:r>
              <w:rPr>
                <w:color w:val="0000ED"/>
                <w:w w:val="105"/>
                <w:u w:val="single" w:color="0000ED"/>
              </w:rPr>
              <w:t>Required</w:t>
            </w:r>
            <w:r>
              <w:rPr>
                <w:color w:val="0000ED"/>
                <w:spacing w:val="10"/>
                <w:w w:val="105"/>
                <w:u w:val="single" w:color="0000ED"/>
              </w:rPr>
              <w:t> </w:t>
            </w:r>
            <w:r>
              <w:rPr>
                <w:color w:val="0000ED"/>
                <w:spacing w:val="-4"/>
                <w:w w:val="105"/>
                <w:u w:val="single" w:color="0000ED"/>
              </w:rPr>
              <w:t>Vote</w:t>
            </w:r>
            <w:r>
              <w:rPr>
                <w:color w:val="0000ED"/>
                <w:u w:val="none"/>
              </w:rPr>
              <w:tab/>
            </w:r>
            <w:r>
              <w:rPr>
                <w:color w:val="0000ED"/>
                <w:spacing w:val="-7"/>
                <w:w w:val="105"/>
                <w:u w:val="single" w:color="0000ED"/>
              </w:rPr>
              <w:t>28</w:t>
            </w:r>
          </w:hyperlink>
        </w:p>
        <w:p>
          <w:pPr>
            <w:pStyle w:val="TOC2"/>
            <w:tabs>
              <w:tab w:pos="9643" w:val="left" w:leader="none"/>
            </w:tabs>
            <w:rPr>
              <w:u w:val="none"/>
            </w:rPr>
          </w:pPr>
          <w:hyperlink w:history="true" w:anchor="_TOC_250029">
            <w:r>
              <w:rPr>
                <w:color w:val="0000ED"/>
                <w:w w:val="105"/>
                <w:u w:val="single" w:color="0000ED"/>
              </w:rPr>
              <w:t>AUDIT</w:t>
            </w:r>
            <w:r>
              <w:rPr>
                <w:color w:val="0000ED"/>
                <w:spacing w:val="4"/>
                <w:w w:val="105"/>
                <w:u w:val="single" w:color="0000ED"/>
              </w:rPr>
              <w:t> </w:t>
            </w:r>
            <w:r>
              <w:rPr>
                <w:color w:val="0000ED"/>
                <w:w w:val="105"/>
                <w:u w:val="single" w:color="0000ED"/>
              </w:rPr>
              <w:t>COMMITTEE</w:t>
            </w:r>
            <w:r>
              <w:rPr>
                <w:color w:val="0000ED"/>
                <w:spacing w:val="8"/>
                <w:w w:val="105"/>
                <w:u w:val="single" w:color="0000ED"/>
              </w:rPr>
              <w:t> </w:t>
            </w:r>
            <w:r>
              <w:rPr>
                <w:color w:val="0000ED"/>
                <w:spacing w:val="-2"/>
                <w:w w:val="105"/>
                <w:u w:val="single" w:color="0000ED"/>
              </w:rPr>
              <w:t>MATTERS</w:t>
            </w:r>
            <w:r>
              <w:rPr>
                <w:color w:val="0000ED"/>
                <w:u w:val="none"/>
              </w:rPr>
              <w:tab/>
            </w:r>
            <w:r>
              <w:rPr>
                <w:color w:val="0000ED"/>
                <w:spacing w:val="-7"/>
                <w:w w:val="105"/>
                <w:u w:val="single" w:color="0000ED"/>
              </w:rPr>
              <w:t>29</w:t>
            </w:r>
          </w:hyperlink>
        </w:p>
        <w:p>
          <w:pPr>
            <w:pStyle w:val="TOC3"/>
            <w:tabs>
              <w:tab w:pos="9643" w:val="left" w:leader="none"/>
            </w:tabs>
            <w:spacing w:before="59"/>
            <w:rPr>
              <w:u w:val="none"/>
            </w:rPr>
          </w:pPr>
          <w:hyperlink w:history="true" w:anchor="_TOC_250028">
            <w:r>
              <w:rPr>
                <w:color w:val="0000ED"/>
                <w:w w:val="105"/>
                <w:u w:val="single" w:color="0000ED"/>
              </w:rPr>
              <w:t>Chan</w:t>
            </w:r>
            <w:r>
              <w:rPr>
                <w:color w:val="0000ED"/>
                <w:w w:val="105"/>
                <w:u w:val="none"/>
              </w:rPr>
              <w:t>g</w:t>
            </w:r>
            <w:r>
              <w:rPr>
                <w:color w:val="0000ED"/>
                <w:w w:val="105"/>
                <w:u w:val="single" w:color="0000ED"/>
              </w:rPr>
              <w:t>e</w:t>
            </w:r>
            <w:r>
              <w:rPr>
                <w:color w:val="0000ED"/>
                <w:spacing w:val="9"/>
                <w:w w:val="105"/>
                <w:u w:val="single" w:color="0000ED"/>
              </w:rPr>
              <w:t> </w:t>
            </w:r>
            <w:r>
              <w:rPr>
                <w:color w:val="0000ED"/>
                <w:w w:val="105"/>
                <w:u w:val="single" w:color="0000ED"/>
              </w:rPr>
              <w:t>in</w:t>
            </w:r>
            <w:r>
              <w:rPr>
                <w:color w:val="0000ED"/>
                <w:spacing w:val="-3"/>
                <w:w w:val="105"/>
                <w:u w:val="single" w:color="0000ED"/>
              </w:rPr>
              <w:t> </w:t>
            </w:r>
            <w:r>
              <w:rPr>
                <w:color w:val="0000ED"/>
                <w:spacing w:val="-2"/>
                <w:w w:val="105"/>
                <w:u w:val="single" w:color="0000ED"/>
              </w:rPr>
              <w:t>Auditor</w:t>
            </w:r>
            <w:r>
              <w:rPr>
                <w:color w:val="0000ED"/>
                <w:u w:val="none"/>
              </w:rPr>
              <w:tab/>
            </w:r>
            <w:r>
              <w:rPr>
                <w:color w:val="0000ED"/>
                <w:spacing w:val="-7"/>
                <w:w w:val="105"/>
                <w:u w:val="single" w:color="0000ED"/>
              </w:rPr>
              <w:t>29</w:t>
            </w:r>
          </w:hyperlink>
        </w:p>
        <w:p>
          <w:pPr>
            <w:pStyle w:val="TOC3"/>
            <w:tabs>
              <w:tab w:pos="9643" w:val="left" w:leader="none"/>
            </w:tabs>
            <w:spacing w:before="72"/>
            <w:rPr>
              <w:u w:val="none"/>
            </w:rPr>
          </w:pPr>
          <w:r>
            <w:rPr/>
            <w:pict>
              <v:rect style="position:absolute;margin-left:235.598022pt;margin-top:12.70133pt;width:119.176123pt;height:.698992pt;mso-position-horizontal-relative:page;mso-position-vertical-relative:paragraph;z-index:15733760" id="docshape26" filled="true" fillcolor="#0000ed" stroked="false">
                <v:fill type="solid"/>
                <w10:wrap type="none"/>
              </v:rect>
            </w:pict>
          </w:r>
          <w:r>
            <w:rPr>
              <w:color w:val="0000ED"/>
              <w:w w:val="105"/>
              <w:u w:val="single" w:color="0000ED"/>
            </w:rPr>
            <w:t>Remediation</w:t>
          </w:r>
          <w:r>
            <w:rPr>
              <w:color w:val="0000ED"/>
              <w:spacing w:val="14"/>
              <w:w w:val="105"/>
              <w:u w:val="single" w:color="0000ED"/>
            </w:rPr>
            <w:t> </w:t>
          </w:r>
          <w:r>
            <w:rPr>
              <w:color w:val="0000ED"/>
              <w:w w:val="105"/>
              <w:u w:val="single" w:color="0000ED"/>
            </w:rPr>
            <w:t>Efforts</w:t>
          </w:r>
          <w:r>
            <w:rPr>
              <w:color w:val="0000ED"/>
              <w:spacing w:val="15"/>
              <w:w w:val="105"/>
              <w:u w:val="single" w:color="0000ED"/>
            </w:rPr>
            <w:t> </w:t>
          </w:r>
          <w:r>
            <w:rPr>
              <w:color w:val="0000ED"/>
              <w:w w:val="105"/>
              <w:u w:val="single" w:color="0000ED"/>
            </w:rPr>
            <w:t>of</w:t>
          </w:r>
          <w:r>
            <w:rPr>
              <w:color w:val="0000ED"/>
              <w:spacing w:val="14"/>
              <w:w w:val="105"/>
              <w:u w:val="single" w:color="0000ED"/>
            </w:rPr>
            <w:t> </w:t>
          </w:r>
          <w:r>
            <w:rPr>
              <w:color w:val="0000ED"/>
              <w:w w:val="105"/>
              <w:u w:val="single" w:color="0000ED"/>
            </w:rPr>
            <w:t>Previousl</w:t>
          </w:r>
          <w:r>
            <w:rPr>
              <w:color w:val="0000ED"/>
              <w:w w:val="105"/>
              <w:u w:val="none"/>
            </w:rPr>
            <w:t>y</w:t>
          </w:r>
          <w:r>
            <w:rPr>
              <w:color w:val="0000ED"/>
              <w:spacing w:val="15"/>
              <w:w w:val="105"/>
              <w:u w:val="none"/>
            </w:rPr>
            <w:t> </w:t>
          </w:r>
          <w:r>
            <w:rPr>
              <w:color w:val="0000ED"/>
              <w:w w:val="105"/>
              <w:u w:val="none"/>
            </w:rPr>
            <w:t>Disclosed</w:t>
          </w:r>
          <w:r>
            <w:rPr>
              <w:color w:val="0000ED"/>
              <w:spacing w:val="15"/>
              <w:w w:val="105"/>
              <w:u w:val="none"/>
            </w:rPr>
            <w:t> </w:t>
          </w:r>
          <w:r>
            <w:rPr>
              <w:color w:val="0000ED"/>
              <w:w w:val="105"/>
              <w:u w:val="none"/>
            </w:rPr>
            <w:t>Material</w:t>
          </w:r>
          <w:r>
            <w:rPr>
              <w:color w:val="0000ED"/>
              <w:spacing w:val="10"/>
              <w:w w:val="105"/>
              <w:u w:val="none"/>
            </w:rPr>
            <w:t> </w:t>
          </w:r>
          <w:r>
            <w:rPr>
              <w:color w:val="0000ED"/>
              <w:spacing w:val="-2"/>
              <w:w w:val="105"/>
              <w:u w:val="none"/>
            </w:rPr>
            <w:t>Weakness</w:t>
          </w:r>
          <w:r>
            <w:rPr>
              <w:color w:val="0000ED"/>
              <w:u w:val="none"/>
            </w:rPr>
            <w:tab/>
          </w:r>
          <w:r>
            <w:rPr>
              <w:color w:val="0000ED"/>
              <w:spacing w:val="-7"/>
              <w:w w:val="105"/>
              <w:u w:val="single" w:color="0000ED"/>
            </w:rPr>
            <w:t>30</w:t>
          </w:r>
        </w:p>
        <w:p>
          <w:pPr>
            <w:pStyle w:val="TOC3"/>
            <w:spacing w:before="87"/>
            <w:rPr>
              <w:u w:val="none"/>
            </w:rPr>
          </w:pPr>
          <w:r>
            <w:rPr>
              <w:color w:val="0000ED"/>
              <w:w w:val="105"/>
              <w:u w:val="single" w:color="0000ED"/>
            </w:rPr>
            <w:t>Policy</w:t>
          </w:r>
          <w:r>
            <w:rPr>
              <w:color w:val="0000ED"/>
              <w:spacing w:val="13"/>
              <w:w w:val="105"/>
              <w:u w:val="single" w:color="0000ED"/>
            </w:rPr>
            <w:t> </w:t>
          </w:r>
          <w:r>
            <w:rPr>
              <w:color w:val="0000ED"/>
              <w:w w:val="105"/>
              <w:u w:val="single" w:color="0000ED"/>
            </w:rPr>
            <w:t>on</w:t>
          </w:r>
          <w:r>
            <w:rPr>
              <w:color w:val="0000ED"/>
              <w:spacing w:val="1"/>
              <w:w w:val="105"/>
              <w:u w:val="single" w:color="0000ED"/>
            </w:rPr>
            <w:t> </w:t>
          </w:r>
          <w:r>
            <w:rPr>
              <w:color w:val="0000ED"/>
              <w:w w:val="105"/>
              <w:u w:val="single" w:color="0000ED"/>
            </w:rPr>
            <w:t>Audit</w:t>
          </w:r>
          <w:r>
            <w:rPr>
              <w:color w:val="0000ED"/>
              <w:spacing w:val="13"/>
              <w:w w:val="105"/>
              <w:u w:val="single" w:color="0000ED"/>
            </w:rPr>
            <w:t> </w:t>
          </w:r>
          <w:r>
            <w:rPr>
              <w:color w:val="0000ED"/>
              <w:w w:val="105"/>
              <w:u w:val="single" w:color="0000ED"/>
            </w:rPr>
            <w:t>Committee</w:t>
          </w:r>
          <w:r>
            <w:rPr>
              <w:color w:val="0000ED"/>
              <w:spacing w:val="13"/>
              <w:w w:val="105"/>
              <w:u w:val="single" w:color="0000ED"/>
            </w:rPr>
            <w:t> </w:t>
          </w:r>
          <w:r>
            <w:rPr>
              <w:color w:val="0000ED"/>
              <w:w w:val="105"/>
              <w:u w:val="single" w:color="0000ED"/>
            </w:rPr>
            <w:t>Pre-Approval</w:t>
          </w:r>
          <w:r>
            <w:rPr>
              <w:color w:val="0000ED"/>
              <w:spacing w:val="13"/>
              <w:w w:val="105"/>
              <w:u w:val="single" w:color="0000ED"/>
            </w:rPr>
            <w:t> </w:t>
          </w:r>
          <w:r>
            <w:rPr>
              <w:color w:val="0000ED"/>
              <w:w w:val="105"/>
              <w:u w:val="single" w:color="0000ED"/>
            </w:rPr>
            <w:t>of</w:t>
          </w:r>
          <w:r>
            <w:rPr>
              <w:color w:val="0000ED"/>
              <w:spacing w:val="14"/>
              <w:w w:val="105"/>
              <w:u w:val="single" w:color="0000ED"/>
            </w:rPr>
            <w:t> </w:t>
          </w:r>
          <w:r>
            <w:rPr>
              <w:color w:val="0000ED"/>
              <w:w w:val="105"/>
              <w:u w:val="single" w:color="0000ED"/>
            </w:rPr>
            <w:t>Services</w:t>
          </w:r>
          <w:r>
            <w:rPr>
              <w:color w:val="0000ED"/>
              <w:spacing w:val="13"/>
              <w:w w:val="105"/>
              <w:u w:val="single" w:color="0000ED"/>
            </w:rPr>
            <w:t> </w:t>
          </w:r>
          <w:r>
            <w:rPr>
              <w:color w:val="0000ED"/>
              <w:w w:val="105"/>
              <w:u w:val="single" w:color="0000ED"/>
            </w:rPr>
            <w:t>of</w:t>
          </w:r>
          <w:r>
            <w:rPr>
              <w:color w:val="0000ED"/>
              <w:spacing w:val="13"/>
              <w:w w:val="105"/>
              <w:u w:val="single" w:color="0000ED"/>
            </w:rPr>
            <w:t> </w:t>
          </w:r>
          <w:r>
            <w:rPr>
              <w:color w:val="0000ED"/>
              <w:w w:val="105"/>
              <w:u w:val="single" w:color="0000ED"/>
            </w:rPr>
            <w:t>Independent</w:t>
          </w:r>
          <w:r>
            <w:rPr>
              <w:color w:val="0000ED"/>
              <w:spacing w:val="13"/>
              <w:w w:val="105"/>
              <w:u w:val="single" w:color="0000ED"/>
            </w:rPr>
            <w:t> </w:t>
          </w:r>
          <w:r>
            <w:rPr>
              <w:color w:val="0000ED"/>
              <w:w w:val="105"/>
              <w:u w:val="single" w:color="0000ED"/>
            </w:rPr>
            <w:t>Registered</w:t>
          </w:r>
          <w:r>
            <w:rPr>
              <w:color w:val="0000ED"/>
              <w:spacing w:val="14"/>
              <w:w w:val="105"/>
              <w:u w:val="single" w:color="0000ED"/>
            </w:rPr>
            <w:t> </w:t>
          </w:r>
          <w:r>
            <w:rPr>
              <w:color w:val="0000ED"/>
              <w:w w:val="105"/>
              <w:u w:val="single" w:color="0000ED"/>
            </w:rPr>
            <w:t>Public</w:t>
          </w:r>
          <w:r>
            <w:rPr>
              <w:color w:val="0000ED"/>
              <w:spacing w:val="1"/>
              <w:w w:val="105"/>
              <w:u w:val="single" w:color="0000ED"/>
            </w:rPr>
            <w:t> </w:t>
          </w:r>
          <w:r>
            <w:rPr>
              <w:color w:val="0000ED"/>
              <w:spacing w:val="-2"/>
              <w:w w:val="105"/>
              <w:u w:val="single" w:color="0000ED"/>
            </w:rPr>
            <w:t>Accounting</w:t>
          </w:r>
        </w:p>
        <w:p>
          <w:pPr>
            <w:pStyle w:val="TOC4"/>
            <w:tabs>
              <w:tab w:pos="9643" w:val="left" w:leader="none"/>
            </w:tabs>
            <w:rPr>
              <w:u w:val="none"/>
            </w:rPr>
          </w:pPr>
          <w:r>
            <w:rPr>
              <w:color w:val="0000ED"/>
              <w:spacing w:val="-4"/>
              <w:w w:val="105"/>
              <w:u w:val="single" w:color="0000ED"/>
            </w:rPr>
            <w:t>Firm</w:t>
          </w:r>
          <w:r>
            <w:rPr>
              <w:color w:val="0000ED"/>
              <w:u w:val="none"/>
            </w:rPr>
            <w:tab/>
          </w:r>
          <w:r>
            <w:rPr>
              <w:color w:val="0000ED"/>
              <w:spacing w:val="-5"/>
              <w:w w:val="105"/>
              <w:u w:val="single" w:color="0000ED"/>
            </w:rPr>
            <w:t>30</w:t>
          </w:r>
        </w:p>
        <w:p>
          <w:pPr>
            <w:pStyle w:val="TOC3"/>
            <w:tabs>
              <w:tab w:pos="9643" w:val="left" w:leader="none"/>
            </w:tabs>
            <w:spacing w:before="87"/>
            <w:rPr>
              <w:u w:val="none"/>
            </w:rPr>
          </w:pPr>
          <w:hyperlink w:history="true" w:anchor="_TOC_250027">
            <w:r>
              <w:rPr>
                <w:color w:val="0000ED"/>
                <w:w w:val="105"/>
                <w:u w:val="single" w:color="0000ED"/>
              </w:rPr>
              <w:t>Principal Accountant</w:t>
            </w:r>
            <w:r>
              <w:rPr>
                <w:color w:val="0000ED"/>
                <w:spacing w:val="14"/>
                <w:w w:val="105"/>
                <w:u w:val="single" w:color="0000ED"/>
              </w:rPr>
              <w:t> </w:t>
            </w:r>
            <w:r>
              <w:rPr>
                <w:color w:val="0000ED"/>
                <w:w w:val="105"/>
                <w:u w:val="single" w:color="0000ED"/>
              </w:rPr>
              <w:t>Fees</w:t>
            </w:r>
            <w:r>
              <w:rPr>
                <w:color w:val="0000ED"/>
                <w:spacing w:val="13"/>
                <w:w w:val="105"/>
                <w:u w:val="single" w:color="0000ED"/>
              </w:rPr>
              <w:t> </w:t>
            </w:r>
            <w:r>
              <w:rPr>
                <w:color w:val="0000ED"/>
                <w:w w:val="105"/>
                <w:u w:val="single" w:color="0000ED"/>
              </w:rPr>
              <w:t>and</w:t>
            </w:r>
            <w:r>
              <w:rPr>
                <w:color w:val="0000ED"/>
                <w:spacing w:val="13"/>
                <w:w w:val="105"/>
                <w:u w:val="single" w:color="0000ED"/>
              </w:rPr>
              <w:t> </w:t>
            </w:r>
            <w:r>
              <w:rPr>
                <w:color w:val="0000ED"/>
                <w:spacing w:val="-2"/>
                <w:w w:val="105"/>
                <w:u w:val="single" w:color="0000ED"/>
              </w:rPr>
              <w:t>Services</w:t>
            </w:r>
            <w:r>
              <w:rPr>
                <w:color w:val="0000ED"/>
                <w:u w:val="none"/>
              </w:rPr>
              <w:tab/>
            </w:r>
            <w:r>
              <w:rPr>
                <w:color w:val="0000ED"/>
                <w:spacing w:val="-7"/>
                <w:w w:val="105"/>
                <w:u w:val="single" w:color="0000ED"/>
              </w:rPr>
              <w:t>31</w:t>
            </w:r>
          </w:hyperlink>
        </w:p>
        <w:p>
          <w:pPr>
            <w:pStyle w:val="TOC2"/>
            <w:tabs>
              <w:tab w:pos="9643" w:val="left" w:leader="none"/>
            </w:tabs>
            <w:rPr>
              <w:u w:val="none"/>
            </w:rPr>
          </w:pPr>
          <w:hyperlink w:history="true" w:anchor="_TOC_250026">
            <w:r>
              <w:rPr>
                <w:color w:val="0000ED"/>
                <w:w w:val="105"/>
                <w:u w:val="single" w:color="0000ED"/>
              </w:rPr>
              <w:t>AUDIT</w:t>
            </w:r>
            <w:r>
              <w:rPr>
                <w:color w:val="0000ED"/>
                <w:spacing w:val="4"/>
                <w:w w:val="105"/>
                <w:u w:val="single" w:color="0000ED"/>
              </w:rPr>
              <w:t> </w:t>
            </w:r>
            <w:r>
              <w:rPr>
                <w:color w:val="0000ED"/>
                <w:w w:val="105"/>
                <w:u w:val="single" w:color="0000ED"/>
              </w:rPr>
              <w:t>COMMITTEE</w:t>
            </w:r>
            <w:r>
              <w:rPr>
                <w:color w:val="0000ED"/>
                <w:spacing w:val="8"/>
                <w:w w:val="105"/>
                <w:u w:val="single" w:color="0000ED"/>
              </w:rPr>
              <w:t> </w:t>
            </w:r>
            <w:r>
              <w:rPr>
                <w:color w:val="0000ED"/>
                <w:spacing w:val="-2"/>
                <w:w w:val="105"/>
                <w:u w:val="single" w:color="0000ED"/>
              </w:rPr>
              <w:t>REPORT</w:t>
            </w:r>
            <w:r>
              <w:rPr>
                <w:color w:val="0000ED"/>
                <w:u w:val="none"/>
              </w:rPr>
              <w:tab/>
            </w:r>
            <w:r>
              <w:rPr>
                <w:color w:val="0000ED"/>
                <w:spacing w:val="-5"/>
                <w:w w:val="105"/>
                <w:u w:val="single" w:color="0000ED"/>
              </w:rPr>
              <w:t>32</w:t>
            </w:r>
          </w:hyperlink>
        </w:p>
        <w:p>
          <w:pPr>
            <w:pStyle w:val="TOC2"/>
            <w:tabs>
              <w:tab w:pos="9643" w:val="left" w:leader="none"/>
            </w:tabs>
            <w:spacing w:before="72"/>
            <w:rPr>
              <w:u w:val="none"/>
            </w:rPr>
          </w:pPr>
          <w:hyperlink w:history="true" w:anchor="_TOC_250025">
            <w:r>
              <w:rPr>
                <w:color w:val="0000ED"/>
                <w:w w:val="105"/>
                <w:u w:val="single" w:color="0000ED"/>
              </w:rPr>
              <w:t>STOCK</w:t>
            </w:r>
            <w:r>
              <w:rPr>
                <w:color w:val="0000ED"/>
                <w:spacing w:val="3"/>
                <w:w w:val="105"/>
                <w:u w:val="single" w:color="0000ED"/>
              </w:rPr>
              <w:t> </w:t>
            </w:r>
            <w:r>
              <w:rPr>
                <w:color w:val="0000ED"/>
                <w:spacing w:val="-2"/>
                <w:w w:val="105"/>
                <w:u w:val="single" w:color="0000ED"/>
              </w:rPr>
              <w:t>OWNERSHIP</w:t>
            </w:r>
            <w:r>
              <w:rPr>
                <w:color w:val="0000ED"/>
                <w:u w:val="none"/>
              </w:rPr>
              <w:tab/>
            </w:r>
            <w:r>
              <w:rPr>
                <w:color w:val="0000ED"/>
                <w:spacing w:val="-7"/>
                <w:w w:val="105"/>
                <w:u w:val="single" w:color="0000ED"/>
              </w:rPr>
              <w:t>33</w:t>
            </w:r>
          </w:hyperlink>
        </w:p>
        <w:p>
          <w:pPr>
            <w:pStyle w:val="TOC3"/>
            <w:tabs>
              <w:tab w:pos="9643" w:val="left" w:leader="none"/>
            </w:tabs>
            <w:spacing w:before="59"/>
            <w:rPr>
              <w:u w:val="none"/>
            </w:rPr>
          </w:pPr>
          <w:hyperlink w:history="true" w:anchor="_TOC_250024">
            <w:r>
              <w:rPr>
                <w:color w:val="0000ED"/>
                <w:w w:val="105"/>
                <w:u w:val="single" w:color="0000ED"/>
              </w:rPr>
              <w:t>Beneficial</w:t>
            </w:r>
            <w:r>
              <w:rPr>
                <w:color w:val="0000ED"/>
                <w:spacing w:val="14"/>
                <w:w w:val="105"/>
                <w:u w:val="single" w:color="0000ED"/>
              </w:rPr>
              <w:t> </w:t>
            </w:r>
            <w:r>
              <w:rPr>
                <w:color w:val="0000ED"/>
                <w:w w:val="105"/>
                <w:u w:val="single" w:color="0000ED"/>
              </w:rPr>
              <w:t>Ownership</w:t>
            </w:r>
            <w:r>
              <w:rPr>
                <w:color w:val="0000ED"/>
                <w:spacing w:val="15"/>
                <w:w w:val="105"/>
                <w:u w:val="single" w:color="0000ED"/>
              </w:rPr>
              <w:t> </w:t>
            </w:r>
            <w:r>
              <w:rPr>
                <w:color w:val="0000ED"/>
                <w:w w:val="105"/>
                <w:u w:val="single" w:color="0000ED"/>
              </w:rPr>
              <w:t>of</w:t>
            </w:r>
            <w:r>
              <w:rPr>
                <w:color w:val="0000ED"/>
                <w:spacing w:val="15"/>
                <w:w w:val="105"/>
                <w:u w:val="single" w:color="0000ED"/>
              </w:rPr>
              <w:t> </w:t>
            </w:r>
            <w:r>
              <w:rPr>
                <w:color w:val="0000ED"/>
                <w:w w:val="105"/>
                <w:u w:val="single" w:color="0000ED"/>
              </w:rPr>
              <w:t>Certain</w:t>
            </w:r>
            <w:r>
              <w:rPr>
                <w:color w:val="0000ED"/>
                <w:spacing w:val="15"/>
                <w:w w:val="105"/>
                <w:u w:val="single" w:color="0000ED"/>
              </w:rPr>
              <w:t> </w:t>
            </w:r>
            <w:r>
              <w:rPr>
                <w:color w:val="0000ED"/>
                <w:w w:val="105"/>
                <w:u w:val="single" w:color="0000ED"/>
              </w:rPr>
              <w:t>Stockholders,</w:t>
            </w:r>
            <w:r>
              <w:rPr>
                <w:color w:val="0000ED"/>
                <w:spacing w:val="15"/>
                <w:w w:val="105"/>
                <w:u w:val="single" w:color="0000ED"/>
              </w:rPr>
              <w:t> </w:t>
            </w:r>
            <w:r>
              <w:rPr>
                <w:color w:val="0000ED"/>
                <w:w w:val="105"/>
                <w:u w:val="single" w:color="0000ED"/>
              </w:rPr>
              <w:t>Directors</w:t>
            </w:r>
            <w:r>
              <w:rPr>
                <w:color w:val="0000ED"/>
                <w:spacing w:val="15"/>
                <w:w w:val="105"/>
                <w:u w:val="single" w:color="0000ED"/>
              </w:rPr>
              <w:t> </w:t>
            </w:r>
            <w:r>
              <w:rPr>
                <w:color w:val="0000ED"/>
                <w:w w:val="105"/>
                <w:u w:val="single" w:color="0000ED"/>
              </w:rPr>
              <w:t>and</w:t>
            </w:r>
            <w:r>
              <w:rPr>
                <w:color w:val="0000ED"/>
                <w:spacing w:val="15"/>
                <w:w w:val="105"/>
                <w:u w:val="single" w:color="0000ED"/>
              </w:rPr>
              <w:t> </w:t>
            </w:r>
            <w:r>
              <w:rPr>
                <w:color w:val="0000ED"/>
                <w:w w:val="105"/>
                <w:u w:val="single" w:color="0000ED"/>
              </w:rPr>
              <w:t>Executive</w:t>
            </w:r>
            <w:r>
              <w:rPr>
                <w:color w:val="0000ED"/>
                <w:spacing w:val="15"/>
                <w:w w:val="105"/>
                <w:u w:val="single" w:color="0000ED"/>
              </w:rPr>
              <w:t> </w:t>
            </w:r>
            <w:r>
              <w:rPr>
                <w:color w:val="0000ED"/>
                <w:spacing w:val="-2"/>
                <w:w w:val="105"/>
                <w:u w:val="single" w:color="0000ED"/>
              </w:rPr>
              <w:t>Officers</w:t>
            </w:r>
            <w:r>
              <w:rPr>
                <w:color w:val="0000ED"/>
                <w:u w:val="none"/>
              </w:rPr>
              <w:tab/>
            </w:r>
            <w:r>
              <w:rPr>
                <w:color w:val="0000ED"/>
                <w:spacing w:val="-5"/>
                <w:w w:val="105"/>
                <w:u w:val="single" w:color="0000ED"/>
              </w:rPr>
              <w:t>33</w:t>
            </w:r>
          </w:hyperlink>
        </w:p>
        <w:p>
          <w:pPr>
            <w:pStyle w:val="TOC3"/>
            <w:tabs>
              <w:tab w:pos="9643" w:val="left" w:leader="none"/>
            </w:tabs>
            <w:spacing w:before="72"/>
            <w:rPr>
              <w:u w:val="none"/>
            </w:rPr>
          </w:pPr>
          <w:hyperlink w:history="true" w:anchor="_TOC_250023">
            <w:r>
              <w:rPr>
                <w:color w:val="0000ED"/>
                <w:w w:val="105"/>
                <w:u w:val="single" w:color="0000ED"/>
              </w:rPr>
              <w:t>Delinquent</w:t>
            </w:r>
            <w:r>
              <w:rPr>
                <w:color w:val="0000ED"/>
                <w:spacing w:val="14"/>
                <w:w w:val="105"/>
                <w:u w:val="single" w:color="0000ED"/>
              </w:rPr>
              <w:t> </w:t>
            </w:r>
            <w:r>
              <w:rPr>
                <w:color w:val="0000ED"/>
                <w:w w:val="105"/>
                <w:u w:val="single" w:color="0000ED"/>
              </w:rPr>
              <w:t>Section</w:t>
            </w:r>
            <w:r>
              <w:rPr>
                <w:color w:val="0000ED"/>
                <w:spacing w:val="14"/>
                <w:w w:val="105"/>
                <w:u w:val="single" w:color="0000ED"/>
              </w:rPr>
              <w:t> </w:t>
            </w:r>
            <w:r>
              <w:rPr>
                <w:color w:val="0000ED"/>
                <w:w w:val="105"/>
                <w:u w:val="single" w:color="0000ED"/>
              </w:rPr>
              <w:t>16(a)</w:t>
            </w:r>
            <w:r>
              <w:rPr>
                <w:color w:val="0000ED"/>
                <w:spacing w:val="14"/>
                <w:w w:val="105"/>
                <w:u w:val="single" w:color="0000ED"/>
              </w:rPr>
              <w:t> </w:t>
            </w:r>
            <w:r>
              <w:rPr>
                <w:color w:val="0000ED"/>
                <w:spacing w:val="-2"/>
                <w:w w:val="105"/>
                <w:u w:val="single" w:color="0000ED"/>
              </w:rPr>
              <w:t>Reports</w:t>
            </w:r>
            <w:r>
              <w:rPr>
                <w:color w:val="0000ED"/>
                <w:u w:val="none"/>
              </w:rPr>
              <w:tab/>
            </w:r>
            <w:r>
              <w:rPr>
                <w:color w:val="0000ED"/>
                <w:spacing w:val="-7"/>
                <w:w w:val="105"/>
                <w:u w:val="single" w:color="0000ED"/>
              </w:rPr>
              <w:t>34</w:t>
            </w:r>
          </w:hyperlink>
        </w:p>
        <w:p>
          <w:pPr>
            <w:pStyle w:val="TOC2"/>
            <w:tabs>
              <w:tab w:pos="9643" w:val="left" w:leader="none"/>
            </w:tabs>
            <w:rPr>
              <w:u w:val="none"/>
            </w:rPr>
          </w:pPr>
          <w:hyperlink w:history="true" w:anchor="_TOC_250022">
            <w:r>
              <w:rPr>
                <w:color w:val="0000ED"/>
                <w:u w:val="single" w:color="0000ED"/>
              </w:rPr>
              <w:t>EXECUTIVE</w:t>
            </w:r>
            <w:r>
              <w:rPr>
                <w:color w:val="0000ED"/>
                <w:spacing w:val="63"/>
                <w:u w:val="single" w:color="0000ED"/>
              </w:rPr>
              <w:t> </w:t>
            </w:r>
            <w:r>
              <w:rPr>
                <w:color w:val="0000ED"/>
                <w:spacing w:val="-2"/>
                <w:u w:val="single" w:color="0000ED"/>
              </w:rPr>
              <w:t>COMPENSATION</w:t>
            </w:r>
            <w:r>
              <w:rPr>
                <w:color w:val="0000ED"/>
                <w:u w:val="none"/>
              </w:rPr>
              <w:tab/>
            </w:r>
            <w:r>
              <w:rPr>
                <w:color w:val="0000ED"/>
                <w:spacing w:val="-5"/>
                <w:u w:val="single" w:color="0000ED"/>
              </w:rPr>
              <w:t>35</w:t>
            </w:r>
          </w:hyperlink>
        </w:p>
        <w:p>
          <w:pPr>
            <w:pStyle w:val="TOC3"/>
            <w:tabs>
              <w:tab w:pos="9643" w:val="left" w:leader="none"/>
            </w:tabs>
            <w:rPr>
              <w:u w:val="none"/>
            </w:rPr>
          </w:pPr>
          <w:hyperlink w:history="true" w:anchor="_TOC_250021">
            <w:r>
              <w:rPr>
                <w:color w:val="0000ED"/>
                <w:w w:val="105"/>
                <w:u w:val="single" w:color="0000ED"/>
              </w:rPr>
              <w:t>Compensation</w:t>
            </w:r>
            <w:r>
              <w:rPr>
                <w:color w:val="0000ED"/>
                <w:spacing w:val="15"/>
                <w:w w:val="105"/>
                <w:u w:val="single" w:color="0000ED"/>
              </w:rPr>
              <w:t> </w:t>
            </w:r>
            <w:r>
              <w:rPr>
                <w:color w:val="0000ED"/>
                <w:w w:val="105"/>
                <w:u w:val="single" w:color="0000ED"/>
              </w:rPr>
              <w:t>Discussion</w:t>
            </w:r>
            <w:r>
              <w:rPr>
                <w:color w:val="0000ED"/>
                <w:spacing w:val="15"/>
                <w:w w:val="105"/>
                <w:u w:val="single" w:color="0000ED"/>
              </w:rPr>
              <w:t> </w:t>
            </w:r>
            <w:r>
              <w:rPr>
                <w:color w:val="0000ED"/>
                <w:w w:val="105"/>
                <w:u w:val="single" w:color="0000ED"/>
              </w:rPr>
              <w:t>and</w:t>
            </w:r>
            <w:r>
              <w:rPr>
                <w:color w:val="0000ED"/>
                <w:spacing w:val="3"/>
                <w:w w:val="105"/>
                <w:u w:val="single" w:color="0000ED"/>
              </w:rPr>
              <w:t> </w:t>
            </w:r>
            <w:r>
              <w:rPr>
                <w:color w:val="0000ED"/>
                <w:spacing w:val="-2"/>
                <w:w w:val="105"/>
                <w:u w:val="single" w:color="0000ED"/>
              </w:rPr>
              <w:t>Analysis</w:t>
            </w:r>
            <w:r>
              <w:rPr>
                <w:color w:val="0000ED"/>
                <w:u w:val="none"/>
              </w:rPr>
              <w:tab/>
            </w:r>
            <w:r>
              <w:rPr>
                <w:color w:val="0000ED"/>
                <w:spacing w:val="-7"/>
                <w:w w:val="105"/>
                <w:u w:val="single" w:color="0000ED"/>
              </w:rPr>
              <w:t>35</w:t>
            </w:r>
          </w:hyperlink>
        </w:p>
        <w:p>
          <w:pPr>
            <w:pStyle w:val="TOC3"/>
            <w:tabs>
              <w:tab w:pos="9643" w:val="left" w:leader="none"/>
            </w:tabs>
            <w:spacing w:before="58"/>
            <w:rPr>
              <w:u w:val="none"/>
            </w:rPr>
          </w:pPr>
          <w:hyperlink w:history="true" w:anchor="_TOC_250020">
            <w:r>
              <w:rPr>
                <w:color w:val="0000ED"/>
                <w:spacing w:val="-2"/>
                <w:w w:val="105"/>
                <w:u w:val="single" w:color="0000ED"/>
              </w:rPr>
              <w:t>Back</w:t>
            </w:r>
            <w:r>
              <w:rPr>
                <w:color w:val="0000ED"/>
                <w:spacing w:val="-2"/>
                <w:w w:val="105"/>
                <w:u w:val="none"/>
              </w:rPr>
              <w:t>g</w:t>
            </w:r>
            <w:r>
              <w:rPr>
                <w:color w:val="0000ED"/>
                <w:spacing w:val="-2"/>
                <w:w w:val="105"/>
                <w:u w:val="single" w:color="0000ED"/>
              </w:rPr>
              <w:t>round</w:t>
            </w:r>
            <w:r>
              <w:rPr>
                <w:color w:val="0000ED"/>
                <w:u w:val="none"/>
              </w:rPr>
              <w:tab/>
            </w:r>
            <w:r>
              <w:rPr>
                <w:color w:val="0000ED"/>
                <w:spacing w:val="-7"/>
                <w:w w:val="105"/>
                <w:u w:val="single" w:color="0000ED"/>
              </w:rPr>
              <w:t>35</w:t>
            </w:r>
          </w:hyperlink>
        </w:p>
        <w:p>
          <w:pPr>
            <w:pStyle w:val="TOC3"/>
            <w:tabs>
              <w:tab w:pos="9643" w:val="left" w:leader="none"/>
            </w:tabs>
            <w:rPr>
              <w:u w:val="none"/>
            </w:rPr>
          </w:pPr>
          <w:hyperlink w:history="true" w:anchor="_TOC_250019">
            <w:r>
              <w:rPr>
                <w:color w:val="0000ED"/>
                <w:w w:val="105"/>
                <w:u w:val="single" w:color="0000ED"/>
              </w:rPr>
              <w:t>Business</w:t>
            </w:r>
            <w:r>
              <w:rPr>
                <w:color w:val="0000ED"/>
                <w:spacing w:val="14"/>
                <w:w w:val="105"/>
                <w:u w:val="single" w:color="0000ED"/>
              </w:rPr>
              <w:t> </w:t>
            </w:r>
            <w:r>
              <w:rPr>
                <w:color w:val="0000ED"/>
                <w:spacing w:val="-2"/>
                <w:w w:val="105"/>
                <w:u w:val="single" w:color="0000ED"/>
              </w:rPr>
              <w:t>Hi</w:t>
            </w:r>
            <w:r>
              <w:rPr>
                <w:color w:val="0000ED"/>
                <w:spacing w:val="-2"/>
                <w:w w:val="105"/>
                <w:u w:val="none"/>
              </w:rPr>
              <w:t>g</w:t>
            </w:r>
            <w:r>
              <w:rPr>
                <w:color w:val="0000ED"/>
                <w:spacing w:val="-2"/>
                <w:w w:val="105"/>
                <w:u w:val="single" w:color="0000ED"/>
              </w:rPr>
              <w:t>hlights</w:t>
            </w:r>
            <w:r>
              <w:rPr>
                <w:color w:val="0000ED"/>
                <w:u w:val="none"/>
              </w:rPr>
              <w:tab/>
            </w:r>
            <w:r>
              <w:rPr>
                <w:color w:val="0000ED"/>
                <w:spacing w:val="-7"/>
                <w:w w:val="105"/>
                <w:u w:val="single" w:color="0000ED"/>
              </w:rPr>
              <w:t>35</w:t>
            </w:r>
          </w:hyperlink>
        </w:p>
        <w:p>
          <w:pPr>
            <w:pStyle w:val="TOC3"/>
            <w:tabs>
              <w:tab w:pos="9643" w:val="left" w:leader="none"/>
            </w:tabs>
            <w:rPr>
              <w:u w:val="none"/>
            </w:rPr>
          </w:pPr>
          <w:r>
            <w:rPr/>
            <w:pict>
              <v:shape style="position:absolute;margin-left:138.019012pt;margin-top:12.752049pt;width:203pt;height:.7pt;mso-position-horizontal-relative:page;mso-position-vertical-relative:paragraph;z-index:15734272" id="docshape27" coordorigin="2760,255" coordsize="4060,14" path="m6820,255l6119,255,4140,255,3376,255,2760,255,2760,269,3376,269,4140,269,6119,269,6820,269,6820,255xe" filled="true" fillcolor="#0000ed" stroked="false">
                <v:path arrowok="t"/>
                <v:fill type="solid"/>
                <w10:wrap type="none"/>
              </v:shape>
            </w:pict>
          </w:r>
          <w:hyperlink w:history="true" w:anchor="_TOC_250018">
            <w:r>
              <w:rPr>
                <w:color w:val="0000ED"/>
                <w:w w:val="105"/>
                <w:u w:val="single" w:color="0000ED"/>
              </w:rPr>
              <w:t>2022</w:t>
            </w:r>
            <w:r>
              <w:rPr>
                <w:color w:val="0000ED"/>
                <w:spacing w:val="7"/>
                <w:w w:val="105"/>
                <w:u w:val="single" w:color="0000ED"/>
              </w:rPr>
              <w:t> </w:t>
            </w:r>
            <w:r>
              <w:rPr>
                <w:color w:val="0000ED"/>
                <w:w w:val="105"/>
                <w:u w:val="single" w:color="0000ED"/>
              </w:rPr>
              <w:t>Sa</w:t>
            </w:r>
            <w:r>
              <w:rPr>
                <w:color w:val="0000ED"/>
                <w:w w:val="105"/>
                <w:u w:val="none"/>
              </w:rPr>
              <w:t>y-on-Pay</w:t>
            </w:r>
            <w:r>
              <w:rPr>
                <w:color w:val="0000ED"/>
                <w:spacing w:val="-3"/>
                <w:w w:val="105"/>
                <w:u w:val="none"/>
              </w:rPr>
              <w:t> </w:t>
            </w:r>
            <w:r>
              <w:rPr>
                <w:color w:val="0000ED"/>
                <w:w w:val="105"/>
                <w:u w:val="none"/>
              </w:rPr>
              <w:t>Advisory</w:t>
            </w:r>
            <w:r>
              <w:rPr>
                <w:color w:val="0000ED"/>
                <w:spacing w:val="4"/>
                <w:w w:val="105"/>
                <w:u w:val="none"/>
              </w:rPr>
              <w:t> </w:t>
            </w:r>
            <w:r>
              <w:rPr>
                <w:color w:val="0000ED"/>
                <w:w w:val="105"/>
                <w:u w:val="none"/>
              </w:rPr>
              <w:t>Vote</w:t>
            </w:r>
            <w:r>
              <w:rPr>
                <w:color w:val="0000ED"/>
                <w:spacing w:val="8"/>
                <w:w w:val="105"/>
                <w:u w:val="none"/>
              </w:rPr>
              <w:t> </w:t>
            </w:r>
            <w:r>
              <w:rPr>
                <w:color w:val="0000ED"/>
                <w:w w:val="105"/>
                <w:u w:val="none"/>
              </w:rPr>
              <w:t>on</w:t>
            </w:r>
            <w:r>
              <w:rPr>
                <w:color w:val="0000ED"/>
                <w:spacing w:val="8"/>
                <w:w w:val="105"/>
                <w:u w:val="none"/>
              </w:rPr>
              <w:t> </w:t>
            </w:r>
            <w:r>
              <w:rPr>
                <w:color w:val="0000ED"/>
                <w:w w:val="105"/>
                <w:u w:val="none"/>
              </w:rPr>
              <w:t>Executive</w:t>
            </w:r>
            <w:r>
              <w:rPr>
                <w:color w:val="0000ED"/>
                <w:spacing w:val="8"/>
                <w:w w:val="105"/>
                <w:u w:val="none"/>
              </w:rPr>
              <w:t> </w:t>
            </w:r>
            <w:r>
              <w:rPr>
                <w:color w:val="0000ED"/>
                <w:spacing w:val="-2"/>
                <w:w w:val="105"/>
                <w:u w:val="none"/>
              </w:rPr>
              <w:t>Compensation</w:t>
            </w:r>
            <w:r>
              <w:rPr>
                <w:color w:val="0000ED"/>
                <w:u w:val="none"/>
              </w:rPr>
              <w:tab/>
            </w:r>
            <w:r>
              <w:rPr>
                <w:color w:val="0000ED"/>
                <w:spacing w:val="-7"/>
                <w:w w:val="105"/>
                <w:u w:val="single" w:color="0000ED"/>
              </w:rPr>
              <w:t>36</w:t>
            </w:r>
          </w:hyperlink>
        </w:p>
        <w:p>
          <w:pPr>
            <w:pStyle w:val="TOC3"/>
            <w:tabs>
              <w:tab w:pos="9643" w:val="left" w:leader="none"/>
            </w:tabs>
            <w:spacing w:before="72"/>
            <w:rPr>
              <w:u w:val="none"/>
            </w:rPr>
          </w:pPr>
          <w:hyperlink w:history="true" w:anchor="_TOC_250017">
            <w:r>
              <w:rPr>
                <w:color w:val="0000ED"/>
                <w:w w:val="105"/>
                <w:u w:val="single" w:color="0000ED"/>
              </w:rPr>
              <w:t>Philosophy</w:t>
            </w:r>
            <w:r>
              <w:rPr>
                <w:color w:val="0000ED"/>
                <w:spacing w:val="13"/>
                <w:w w:val="105"/>
                <w:u w:val="single" w:color="0000ED"/>
              </w:rPr>
              <w:t> </w:t>
            </w:r>
            <w:r>
              <w:rPr>
                <w:color w:val="0000ED"/>
                <w:w w:val="105"/>
                <w:u w:val="single" w:color="0000ED"/>
              </w:rPr>
              <w:t>of</w:t>
            </w:r>
            <w:r>
              <w:rPr>
                <w:color w:val="0000ED"/>
                <w:spacing w:val="13"/>
                <w:w w:val="105"/>
                <w:u w:val="single" w:color="0000ED"/>
              </w:rPr>
              <w:t> </w:t>
            </w:r>
            <w:r>
              <w:rPr>
                <w:color w:val="0000ED"/>
                <w:w w:val="105"/>
                <w:u w:val="single" w:color="0000ED"/>
              </w:rPr>
              <w:t>Our</w:t>
            </w:r>
            <w:r>
              <w:rPr>
                <w:color w:val="0000ED"/>
                <w:spacing w:val="14"/>
                <w:w w:val="105"/>
                <w:u w:val="single" w:color="0000ED"/>
              </w:rPr>
              <w:t> </w:t>
            </w:r>
            <w:r>
              <w:rPr>
                <w:color w:val="0000ED"/>
                <w:w w:val="105"/>
                <w:u w:val="single" w:color="0000ED"/>
              </w:rPr>
              <w:t>Executive</w:t>
            </w:r>
            <w:r>
              <w:rPr>
                <w:color w:val="0000ED"/>
                <w:spacing w:val="13"/>
                <w:w w:val="105"/>
                <w:u w:val="single" w:color="0000ED"/>
              </w:rPr>
              <w:t> </w:t>
            </w:r>
            <w:r>
              <w:rPr>
                <w:color w:val="0000ED"/>
                <w:w w:val="105"/>
                <w:u w:val="single" w:color="0000ED"/>
              </w:rPr>
              <w:t>Compensation</w:t>
            </w:r>
            <w:r>
              <w:rPr>
                <w:color w:val="0000ED"/>
                <w:spacing w:val="13"/>
                <w:w w:val="105"/>
                <w:u w:val="single" w:color="0000ED"/>
              </w:rPr>
              <w:t> </w:t>
            </w:r>
            <w:r>
              <w:rPr>
                <w:color w:val="0000ED"/>
                <w:spacing w:val="-2"/>
                <w:w w:val="105"/>
                <w:u w:val="single" w:color="0000ED"/>
              </w:rPr>
              <w:t>Programs</w:t>
            </w:r>
            <w:r>
              <w:rPr>
                <w:color w:val="0000ED"/>
                <w:u w:val="none"/>
              </w:rPr>
              <w:tab/>
            </w:r>
            <w:r>
              <w:rPr>
                <w:color w:val="0000ED"/>
                <w:spacing w:val="-7"/>
                <w:w w:val="105"/>
                <w:u w:val="single" w:color="0000ED"/>
              </w:rPr>
              <w:t>36</w:t>
            </w:r>
          </w:hyperlink>
        </w:p>
        <w:p>
          <w:pPr>
            <w:pStyle w:val="TOC3"/>
            <w:tabs>
              <w:tab w:pos="9643" w:val="left" w:leader="none"/>
            </w:tabs>
            <w:rPr>
              <w:u w:val="none"/>
            </w:rPr>
          </w:pPr>
          <w:hyperlink w:history="true" w:anchor="_TOC_250016">
            <w:r>
              <w:rPr>
                <w:color w:val="0000ED"/>
                <w:w w:val="105"/>
                <w:u w:val="single" w:color="0000ED"/>
              </w:rPr>
              <w:t>Pro</w:t>
            </w:r>
            <w:r>
              <w:rPr>
                <w:color w:val="0000ED"/>
                <w:w w:val="105"/>
                <w:u w:val="none"/>
              </w:rPr>
              <w:t>g</w:t>
            </w:r>
            <w:r>
              <w:rPr>
                <w:color w:val="0000ED"/>
                <w:w w:val="105"/>
                <w:u w:val="single" w:color="0000ED"/>
              </w:rPr>
              <w:t>ram</w:t>
            </w:r>
            <w:r>
              <w:rPr>
                <w:color w:val="0000ED"/>
                <w:spacing w:val="12"/>
                <w:w w:val="105"/>
                <w:u w:val="single" w:color="0000ED"/>
              </w:rPr>
              <w:t> </w:t>
            </w:r>
            <w:r>
              <w:rPr>
                <w:color w:val="0000ED"/>
                <w:spacing w:val="-2"/>
                <w:w w:val="105"/>
                <w:u w:val="single" w:color="0000ED"/>
              </w:rPr>
              <w:t>Overview</w:t>
            </w:r>
            <w:r>
              <w:rPr>
                <w:color w:val="0000ED"/>
                <w:u w:val="none"/>
              </w:rPr>
              <w:tab/>
            </w:r>
            <w:r>
              <w:rPr>
                <w:color w:val="0000ED"/>
                <w:spacing w:val="-7"/>
                <w:w w:val="105"/>
                <w:u w:val="single" w:color="0000ED"/>
              </w:rPr>
              <w:t>37</w:t>
            </w:r>
          </w:hyperlink>
        </w:p>
        <w:p>
          <w:pPr>
            <w:pStyle w:val="TOC3"/>
            <w:tabs>
              <w:tab w:pos="9643" w:val="left" w:leader="none"/>
            </w:tabs>
            <w:spacing w:before="58"/>
            <w:rPr>
              <w:u w:val="none"/>
            </w:rPr>
          </w:pPr>
          <w:r>
            <w:rPr/>
            <w:pict>
              <v:rect style="position:absolute;margin-left:116.003426pt;margin-top:12.001325pt;width:67.965368pt;height:.698992pt;mso-position-horizontal-relative:page;mso-position-vertical-relative:paragraph;z-index:15734784" id="docshape28" filled="true" fillcolor="#0000ed" stroked="false">
                <v:fill type="solid"/>
                <w10:wrap type="none"/>
              </v:rect>
            </w:pict>
          </w:r>
          <w:hyperlink w:history="true" w:anchor="_TOC_250015">
            <w:r>
              <w:rPr>
                <w:color w:val="0000ED"/>
                <w:w w:val="105"/>
                <w:u w:val="single" w:color="0000ED"/>
              </w:rPr>
              <w:t>Pa</w:t>
            </w:r>
            <w:r>
              <w:rPr>
                <w:color w:val="0000ED"/>
                <w:w w:val="105"/>
                <w:u w:val="none"/>
              </w:rPr>
              <w:t>y</w:t>
            </w:r>
            <w:r>
              <w:rPr>
                <w:color w:val="0000ED"/>
                <w:spacing w:val="7"/>
                <w:w w:val="105"/>
                <w:u w:val="none"/>
              </w:rPr>
              <w:t> </w:t>
            </w:r>
            <w:r>
              <w:rPr>
                <w:color w:val="0000ED"/>
                <w:w w:val="105"/>
                <w:u w:val="none"/>
              </w:rPr>
              <w:t>for</w:t>
            </w:r>
            <w:r>
              <w:rPr>
                <w:color w:val="0000ED"/>
                <w:spacing w:val="8"/>
                <w:w w:val="105"/>
                <w:u w:val="none"/>
              </w:rPr>
              <w:t> </w:t>
            </w:r>
            <w:r>
              <w:rPr>
                <w:color w:val="0000ED"/>
                <w:spacing w:val="-2"/>
                <w:w w:val="105"/>
                <w:u w:val="none"/>
              </w:rPr>
              <w:t>Performance</w:t>
            </w:r>
            <w:r>
              <w:rPr>
                <w:color w:val="0000ED"/>
                <w:u w:val="none"/>
              </w:rPr>
              <w:tab/>
            </w:r>
            <w:r>
              <w:rPr>
                <w:color w:val="0000ED"/>
                <w:spacing w:val="-7"/>
                <w:w w:val="105"/>
                <w:u w:val="single" w:color="0000ED"/>
              </w:rPr>
              <w:t>37</w:t>
            </w:r>
          </w:hyperlink>
        </w:p>
        <w:p>
          <w:pPr>
            <w:pStyle w:val="TOC3"/>
            <w:tabs>
              <w:tab w:pos="9643" w:val="left" w:leader="none"/>
            </w:tabs>
            <w:rPr>
              <w:u w:val="none"/>
            </w:rPr>
          </w:pPr>
          <w:r>
            <w:rPr/>
            <w:pict>
              <v:shape style="position:absolute;margin-left:117.646004pt;margin-top:12.751654pt;width:295.4pt;height:.7pt;mso-position-horizontal-relative:page;mso-position-vertical-relative:paragraph;z-index:15735296" id="docshape29" coordorigin="2353,255" coordsize="5908,14" path="m8261,255l7889,255,5448,255,2949,255,2353,255,2353,269,2949,269,5448,269,7889,269,8261,269,8261,255xe" filled="true" fillcolor="#0000ed" stroked="false">
                <v:path arrowok="t"/>
                <v:fill type="solid"/>
                <w10:wrap type="none"/>
              </v:shape>
            </w:pict>
          </w:r>
          <w:r>
            <w:rPr>
              <w:color w:val="0000ED"/>
              <w:w w:val="105"/>
              <w:u w:val="single" w:color="0000ED"/>
            </w:rPr>
            <w:t>Ke</w:t>
          </w:r>
          <w:r>
            <w:rPr>
              <w:color w:val="0000ED"/>
              <w:w w:val="105"/>
              <w:u w:val="none"/>
            </w:rPr>
            <w:t>y</w:t>
          </w:r>
          <w:r>
            <w:rPr>
              <w:color w:val="0000ED"/>
              <w:spacing w:val="8"/>
              <w:w w:val="105"/>
              <w:u w:val="none"/>
            </w:rPr>
            <w:t> </w:t>
          </w:r>
          <w:r>
            <w:rPr>
              <w:color w:val="0000ED"/>
              <w:w w:val="105"/>
              <w:u w:val="none"/>
            </w:rPr>
            <w:t>Changes</w:t>
          </w:r>
          <w:r>
            <w:rPr>
              <w:color w:val="0000ED"/>
              <w:spacing w:val="9"/>
              <w:w w:val="105"/>
              <w:u w:val="none"/>
            </w:rPr>
            <w:t> </w:t>
          </w:r>
          <w:r>
            <w:rPr>
              <w:color w:val="0000ED"/>
              <w:w w:val="105"/>
              <w:u w:val="none"/>
            </w:rPr>
            <w:t>to</w:t>
          </w:r>
          <w:r>
            <w:rPr>
              <w:color w:val="0000ED"/>
              <w:spacing w:val="9"/>
              <w:w w:val="105"/>
              <w:u w:val="none"/>
            </w:rPr>
            <w:t> </w:t>
          </w:r>
          <w:r>
            <w:rPr>
              <w:color w:val="0000ED"/>
              <w:w w:val="105"/>
              <w:u w:val="none"/>
            </w:rPr>
            <w:t>our</w:t>
          </w:r>
          <w:r>
            <w:rPr>
              <w:color w:val="0000ED"/>
              <w:spacing w:val="9"/>
              <w:w w:val="105"/>
              <w:u w:val="none"/>
            </w:rPr>
            <w:t> </w:t>
          </w:r>
          <w:r>
            <w:rPr>
              <w:color w:val="0000ED"/>
              <w:w w:val="105"/>
              <w:u w:val="none"/>
            </w:rPr>
            <w:t>Fiscal</w:t>
          </w:r>
          <w:r>
            <w:rPr>
              <w:color w:val="0000ED"/>
              <w:spacing w:val="2"/>
              <w:w w:val="105"/>
              <w:u w:val="none"/>
            </w:rPr>
            <w:t> </w:t>
          </w:r>
          <w:r>
            <w:rPr>
              <w:color w:val="0000ED"/>
              <w:w w:val="105"/>
              <w:u w:val="none"/>
            </w:rPr>
            <w:t>Year</w:t>
          </w:r>
          <w:r>
            <w:rPr>
              <w:color w:val="0000ED"/>
              <w:spacing w:val="9"/>
              <w:w w:val="105"/>
              <w:u w:val="none"/>
            </w:rPr>
            <w:t> </w:t>
          </w:r>
          <w:r>
            <w:rPr>
              <w:color w:val="0000ED"/>
              <w:w w:val="105"/>
              <w:u w:val="none"/>
            </w:rPr>
            <w:t>2023</w:t>
          </w:r>
          <w:r>
            <w:rPr>
              <w:color w:val="0000ED"/>
              <w:spacing w:val="9"/>
              <w:w w:val="105"/>
              <w:u w:val="none"/>
            </w:rPr>
            <w:t> </w:t>
          </w:r>
          <w:r>
            <w:rPr>
              <w:color w:val="0000ED"/>
              <w:w w:val="105"/>
              <w:u w:val="none"/>
            </w:rPr>
            <w:t>Compensation</w:t>
          </w:r>
          <w:r>
            <w:rPr>
              <w:color w:val="0000ED"/>
              <w:spacing w:val="9"/>
              <w:w w:val="105"/>
              <w:u w:val="none"/>
            </w:rPr>
            <w:t> </w:t>
          </w:r>
          <w:r>
            <w:rPr>
              <w:color w:val="0000ED"/>
              <w:w w:val="105"/>
              <w:u w:val="none"/>
            </w:rPr>
            <w:t>and</w:t>
          </w:r>
          <w:r>
            <w:rPr>
              <w:color w:val="0000ED"/>
              <w:spacing w:val="9"/>
              <w:w w:val="105"/>
              <w:u w:val="none"/>
            </w:rPr>
            <w:t> </w:t>
          </w:r>
          <w:r>
            <w:rPr>
              <w:color w:val="0000ED"/>
              <w:w w:val="105"/>
              <w:u w:val="none"/>
            </w:rPr>
            <w:t>Governance</w:t>
          </w:r>
          <w:r>
            <w:rPr>
              <w:color w:val="0000ED"/>
              <w:spacing w:val="9"/>
              <w:w w:val="105"/>
              <w:u w:val="none"/>
            </w:rPr>
            <w:t> </w:t>
          </w:r>
          <w:r>
            <w:rPr>
              <w:color w:val="0000ED"/>
              <w:spacing w:val="-2"/>
              <w:w w:val="105"/>
              <w:u w:val="none"/>
            </w:rPr>
            <w:t>Programs</w:t>
          </w:r>
          <w:r>
            <w:rPr>
              <w:color w:val="0000ED"/>
              <w:u w:val="none"/>
            </w:rPr>
            <w:tab/>
          </w:r>
          <w:r>
            <w:rPr>
              <w:color w:val="0000ED"/>
              <w:spacing w:val="-5"/>
              <w:w w:val="105"/>
              <w:u w:val="single" w:color="0000ED"/>
            </w:rPr>
            <w:t>39</w:t>
          </w:r>
        </w:p>
        <w:p>
          <w:pPr>
            <w:pStyle w:val="TOC3"/>
            <w:tabs>
              <w:tab w:pos="9643" w:val="left" w:leader="none"/>
            </w:tabs>
            <w:rPr>
              <w:u w:val="none"/>
            </w:rPr>
          </w:pPr>
          <w:hyperlink w:history="true" w:anchor="_TOC_250014">
            <w:r>
              <w:rPr>
                <w:color w:val="0000ED"/>
                <w:w w:val="105"/>
                <w:u w:val="single" w:color="0000ED"/>
              </w:rPr>
              <w:t>Executive</w:t>
            </w:r>
            <w:r>
              <w:rPr>
                <w:color w:val="0000ED"/>
                <w:spacing w:val="17"/>
                <w:w w:val="105"/>
                <w:u w:val="single" w:color="0000ED"/>
              </w:rPr>
              <w:t> </w:t>
            </w:r>
            <w:r>
              <w:rPr>
                <w:color w:val="0000ED"/>
                <w:w w:val="105"/>
                <w:u w:val="single" w:color="0000ED"/>
              </w:rPr>
              <w:t>Compensation</w:t>
            </w:r>
            <w:r>
              <w:rPr>
                <w:color w:val="0000ED"/>
                <w:spacing w:val="18"/>
                <w:w w:val="105"/>
                <w:u w:val="single" w:color="0000ED"/>
              </w:rPr>
              <w:t> </w:t>
            </w:r>
            <w:r>
              <w:rPr>
                <w:color w:val="0000ED"/>
                <w:w w:val="105"/>
                <w:u w:val="single" w:color="0000ED"/>
              </w:rPr>
              <w:t>Practices</w:t>
            </w:r>
            <w:r>
              <w:rPr>
                <w:color w:val="0000ED"/>
                <w:spacing w:val="18"/>
                <w:w w:val="105"/>
                <w:u w:val="single" w:color="0000ED"/>
              </w:rPr>
              <w:t> </w:t>
            </w:r>
            <w:r>
              <w:rPr>
                <w:color w:val="0000ED"/>
                <w:spacing w:val="-2"/>
                <w:w w:val="105"/>
                <w:u w:val="single" w:color="0000ED"/>
              </w:rPr>
              <w:t>Highlights</w:t>
            </w:r>
            <w:r>
              <w:rPr>
                <w:color w:val="0000ED"/>
                <w:u w:val="none"/>
              </w:rPr>
              <w:tab/>
            </w:r>
            <w:r>
              <w:rPr>
                <w:color w:val="0000ED"/>
                <w:spacing w:val="-7"/>
                <w:w w:val="105"/>
                <w:u w:val="single" w:color="0000ED"/>
              </w:rPr>
              <w:t>39</w:t>
            </w:r>
          </w:hyperlink>
        </w:p>
        <w:p>
          <w:pPr>
            <w:pStyle w:val="TOC3"/>
            <w:tabs>
              <w:tab w:pos="9643" w:val="left" w:leader="none"/>
            </w:tabs>
            <w:spacing w:before="72"/>
            <w:rPr>
              <w:u w:val="none"/>
            </w:rPr>
          </w:pPr>
          <w:hyperlink w:history="true" w:anchor="_TOC_250013">
            <w:r>
              <w:rPr>
                <w:color w:val="0000ED"/>
                <w:w w:val="105"/>
                <w:u w:val="single" w:color="0000ED"/>
              </w:rPr>
              <w:t>How</w:t>
            </w:r>
            <w:r>
              <w:rPr>
                <w:color w:val="0000ED"/>
                <w:spacing w:val="1"/>
                <w:w w:val="105"/>
                <w:u w:val="single" w:color="0000ED"/>
              </w:rPr>
              <w:t> </w:t>
            </w:r>
            <w:r>
              <w:rPr>
                <w:color w:val="0000ED"/>
                <w:w w:val="105"/>
                <w:u w:val="single" w:color="0000ED"/>
              </w:rPr>
              <w:t>We</w:t>
            </w:r>
            <w:r>
              <w:rPr>
                <w:color w:val="0000ED"/>
                <w:spacing w:val="6"/>
                <w:w w:val="105"/>
                <w:u w:val="single" w:color="0000ED"/>
              </w:rPr>
              <w:t> </w:t>
            </w:r>
            <w:r>
              <w:rPr>
                <w:color w:val="0000ED"/>
                <w:w w:val="105"/>
                <w:u w:val="single" w:color="0000ED"/>
              </w:rPr>
              <w:t>Make</w:t>
            </w:r>
            <w:r>
              <w:rPr>
                <w:color w:val="0000ED"/>
                <w:spacing w:val="5"/>
                <w:w w:val="105"/>
                <w:u w:val="single" w:color="0000ED"/>
              </w:rPr>
              <w:t> </w:t>
            </w:r>
            <w:r>
              <w:rPr>
                <w:color w:val="0000ED"/>
                <w:w w:val="105"/>
                <w:u w:val="single" w:color="0000ED"/>
              </w:rPr>
              <w:t>Compensation</w:t>
            </w:r>
            <w:r>
              <w:rPr>
                <w:color w:val="0000ED"/>
                <w:spacing w:val="6"/>
                <w:w w:val="105"/>
                <w:u w:val="single" w:color="0000ED"/>
              </w:rPr>
              <w:t> </w:t>
            </w:r>
            <w:r>
              <w:rPr>
                <w:color w:val="0000ED"/>
                <w:spacing w:val="-2"/>
                <w:w w:val="105"/>
                <w:u w:val="single" w:color="0000ED"/>
              </w:rPr>
              <w:t>Decisions</w:t>
            </w:r>
            <w:r>
              <w:rPr>
                <w:color w:val="0000ED"/>
                <w:u w:val="none"/>
              </w:rPr>
              <w:tab/>
            </w:r>
            <w:r>
              <w:rPr>
                <w:color w:val="0000ED"/>
                <w:spacing w:val="-7"/>
                <w:w w:val="105"/>
                <w:u w:val="single" w:color="0000ED"/>
              </w:rPr>
              <w:t>40</w:t>
            </w:r>
          </w:hyperlink>
        </w:p>
        <w:p>
          <w:pPr>
            <w:pStyle w:val="TOC3"/>
            <w:tabs>
              <w:tab w:pos="9643" w:val="left" w:leader="none"/>
            </w:tabs>
            <w:spacing w:before="59"/>
            <w:rPr>
              <w:u w:val="none"/>
            </w:rPr>
          </w:pPr>
          <w:hyperlink w:history="true" w:anchor="_TOC_250012">
            <w:r>
              <w:rPr>
                <w:color w:val="0000ED"/>
                <w:w w:val="105"/>
                <w:u w:val="single" w:color="0000ED"/>
              </w:rPr>
              <w:t>Fiscal</w:t>
            </w:r>
            <w:r>
              <w:rPr>
                <w:color w:val="0000ED"/>
                <w:spacing w:val="1"/>
                <w:w w:val="105"/>
                <w:u w:val="single" w:color="0000ED"/>
              </w:rPr>
              <w:t> </w:t>
            </w:r>
            <w:r>
              <w:rPr>
                <w:color w:val="0000ED"/>
                <w:w w:val="105"/>
                <w:u w:val="single" w:color="0000ED"/>
              </w:rPr>
              <w:t>Year</w:t>
            </w:r>
            <w:r>
              <w:rPr>
                <w:color w:val="0000ED"/>
                <w:spacing w:val="8"/>
                <w:w w:val="105"/>
                <w:u w:val="single" w:color="0000ED"/>
              </w:rPr>
              <w:t> </w:t>
            </w:r>
            <w:r>
              <w:rPr>
                <w:color w:val="0000ED"/>
                <w:w w:val="105"/>
                <w:u w:val="single" w:color="0000ED"/>
              </w:rPr>
              <w:t>2022</w:t>
            </w:r>
            <w:r>
              <w:rPr>
                <w:color w:val="0000ED"/>
                <w:spacing w:val="9"/>
                <w:w w:val="105"/>
                <w:u w:val="single" w:color="0000ED"/>
              </w:rPr>
              <w:t> </w:t>
            </w:r>
            <w:r>
              <w:rPr>
                <w:color w:val="0000ED"/>
                <w:w w:val="105"/>
                <w:u w:val="single" w:color="0000ED"/>
              </w:rPr>
              <w:t>Compensation</w:t>
            </w:r>
            <w:r>
              <w:rPr>
                <w:color w:val="0000ED"/>
                <w:spacing w:val="8"/>
                <w:w w:val="105"/>
                <w:u w:val="single" w:color="0000ED"/>
              </w:rPr>
              <w:t> </w:t>
            </w:r>
            <w:r>
              <w:rPr>
                <w:color w:val="0000ED"/>
                <w:w w:val="105"/>
                <w:u w:val="single" w:color="0000ED"/>
              </w:rPr>
              <w:t>Program</w:t>
            </w:r>
            <w:r>
              <w:rPr>
                <w:color w:val="0000ED"/>
                <w:spacing w:val="8"/>
                <w:w w:val="105"/>
                <w:u w:val="single" w:color="0000ED"/>
              </w:rPr>
              <w:t> </w:t>
            </w:r>
            <w:r>
              <w:rPr>
                <w:color w:val="0000ED"/>
                <w:w w:val="105"/>
                <w:u w:val="single" w:color="0000ED"/>
              </w:rPr>
              <w:t>and</w:t>
            </w:r>
            <w:r>
              <w:rPr>
                <w:color w:val="0000ED"/>
                <w:spacing w:val="9"/>
                <w:w w:val="105"/>
                <w:u w:val="single" w:color="0000ED"/>
              </w:rPr>
              <w:t> </w:t>
            </w:r>
            <w:r>
              <w:rPr>
                <w:color w:val="0000ED"/>
                <w:w w:val="105"/>
                <w:u w:val="single" w:color="0000ED"/>
              </w:rPr>
              <w:t>Pay</w:t>
            </w:r>
            <w:r>
              <w:rPr>
                <w:color w:val="0000ED"/>
                <w:spacing w:val="8"/>
                <w:w w:val="105"/>
                <w:u w:val="single" w:color="0000ED"/>
              </w:rPr>
              <w:t> </w:t>
            </w:r>
            <w:r>
              <w:rPr>
                <w:color w:val="0000ED"/>
                <w:spacing w:val="-2"/>
                <w:w w:val="105"/>
                <w:u w:val="single" w:color="0000ED"/>
              </w:rPr>
              <w:t>Decisions</w:t>
            </w:r>
            <w:r>
              <w:rPr>
                <w:color w:val="0000ED"/>
                <w:u w:val="none"/>
              </w:rPr>
              <w:tab/>
            </w:r>
            <w:r>
              <w:rPr>
                <w:color w:val="0000ED"/>
                <w:spacing w:val="-7"/>
                <w:w w:val="105"/>
                <w:u w:val="single" w:color="0000ED"/>
              </w:rPr>
              <w:t>41</w:t>
            </w:r>
          </w:hyperlink>
        </w:p>
        <w:p>
          <w:pPr>
            <w:pStyle w:val="TOC3"/>
            <w:tabs>
              <w:tab w:pos="9643" w:val="left" w:leader="none"/>
            </w:tabs>
            <w:rPr>
              <w:u w:val="none"/>
            </w:rPr>
          </w:pPr>
          <w:r>
            <w:rPr/>
            <w:pict>
              <v:rect style="position:absolute;margin-left:183.949005pt;margin-top:12.751329pt;width:18.062534pt;height:.698992pt;mso-position-horizontal-relative:page;mso-position-vertical-relative:paragraph;z-index:15735808" id="docshape30" filled="true" fillcolor="#0000ed" stroked="false">
                <v:fill type="solid"/>
                <w10:wrap type="none"/>
              </v:rect>
            </w:pict>
          </w:r>
          <w:hyperlink w:history="true" w:anchor="_TOC_250011">
            <w:r>
              <w:rPr>
                <w:color w:val="0000ED"/>
                <w:w w:val="105"/>
                <w:u w:val="single" w:color="0000ED"/>
              </w:rPr>
              <w:t>Fiscal</w:t>
            </w:r>
            <w:r>
              <w:rPr>
                <w:color w:val="0000ED"/>
                <w:spacing w:val="-3"/>
                <w:w w:val="105"/>
                <w:u w:val="single" w:color="0000ED"/>
              </w:rPr>
              <w:t> </w:t>
            </w:r>
            <w:r>
              <w:rPr>
                <w:color w:val="0000ED"/>
                <w:w w:val="105"/>
                <w:u w:val="single" w:color="0000ED"/>
              </w:rPr>
              <w:t>Year</w:t>
            </w:r>
            <w:r>
              <w:rPr>
                <w:color w:val="0000ED"/>
                <w:spacing w:val="4"/>
                <w:w w:val="105"/>
                <w:u w:val="single" w:color="0000ED"/>
              </w:rPr>
              <w:t> </w:t>
            </w:r>
            <w:r>
              <w:rPr>
                <w:color w:val="0000ED"/>
                <w:w w:val="105"/>
                <w:u w:val="single" w:color="0000ED"/>
              </w:rPr>
              <w:t>2022</w:t>
            </w:r>
            <w:r>
              <w:rPr>
                <w:color w:val="0000ED"/>
                <w:spacing w:val="4"/>
                <w:w w:val="105"/>
                <w:u w:val="single" w:color="0000ED"/>
              </w:rPr>
              <w:t> </w:t>
            </w:r>
            <w:r>
              <w:rPr>
                <w:color w:val="0000ED"/>
                <w:spacing w:val="-2"/>
                <w:w w:val="105"/>
                <w:u w:val="single" w:color="0000ED"/>
              </w:rPr>
              <w:t>Pa</w:t>
            </w:r>
            <w:r>
              <w:rPr>
                <w:color w:val="0000ED"/>
                <w:spacing w:val="-2"/>
                <w:w w:val="105"/>
                <w:u w:val="none"/>
              </w:rPr>
              <w:t>youts</w:t>
            </w:r>
            <w:r>
              <w:rPr>
                <w:color w:val="0000ED"/>
                <w:u w:val="none"/>
              </w:rPr>
              <w:tab/>
            </w:r>
            <w:r>
              <w:rPr>
                <w:color w:val="0000ED"/>
                <w:spacing w:val="-7"/>
                <w:w w:val="105"/>
                <w:u w:val="single" w:color="0000ED"/>
              </w:rPr>
              <w:t>43</w:t>
            </w:r>
          </w:hyperlink>
        </w:p>
        <w:p>
          <w:pPr>
            <w:pStyle w:val="TOC3"/>
            <w:tabs>
              <w:tab w:pos="9643" w:val="left" w:leader="none"/>
            </w:tabs>
            <w:spacing w:before="72"/>
            <w:rPr>
              <w:u w:val="none"/>
            </w:rPr>
          </w:pPr>
          <w:hyperlink w:history="true" w:anchor="_TOC_250010">
            <w:r>
              <w:rPr>
                <w:color w:val="0000ED"/>
                <w:w w:val="105"/>
                <w:u w:val="single" w:color="0000ED"/>
              </w:rPr>
              <w:t>Executive</w:t>
            </w:r>
            <w:r>
              <w:rPr>
                <w:color w:val="0000ED"/>
                <w:spacing w:val="17"/>
                <w:w w:val="105"/>
                <w:u w:val="single" w:color="0000ED"/>
              </w:rPr>
              <w:t> </w:t>
            </w:r>
            <w:r>
              <w:rPr>
                <w:color w:val="0000ED"/>
                <w:w w:val="105"/>
                <w:u w:val="single" w:color="0000ED"/>
              </w:rPr>
              <w:t>Compensation</w:t>
            </w:r>
            <w:r>
              <w:rPr>
                <w:color w:val="0000ED"/>
                <w:spacing w:val="17"/>
                <w:w w:val="105"/>
                <w:u w:val="single" w:color="0000ED"/>
              </w:rPr>
              <w:t> </w:t>
            </w:r>
            <w:r>
              <w:rPr>
                <w:color w:val="0000ED"/>
                <w:w w:val="105"/>
                <w:u w:val="single" w:color="0000ED"/>
              </w:rPr>
              <w:t>Governance</w:t>
            </w:r>
            <w:r>
              <w:rPr>
                <w:color w:val="0000ED"/>
                <w:spacing w:val="17"/>
                <w:w w:val="105"/>
                <w:u w:val="single" w:color="0000ED"/>
              </w:rPr>
              <w:t> </w:t>
            </w:r>
            <w:r>
              <w:rPr>
                <w:color w:val="0000ED"/>
                <w:spacing w:val="-2"/>
                <w:w w:val="105"/>
                <w:u w:val="single" w:color="0000ED"/>
              </w:rPr>
              <w:t>Policies</w:t>
            </w:r>
            <w:r>
              <w:rPr>
                <w:color w:val="0000ED"/>
                <w:u w:val="none"/>
              </w:rPr>
              <w:tab/>
            </w:r>
            <w:r>
              <w:rPr>
                <w:color w:val="0000ED"/>
                <w:spacing w:val="-7"/>
                <w:w w:val="105"/>
                <w:u w:val="single" w:color="0000ED"/>
              </w:rPr>
              <w:t>46</w:t>
            </w:r>
          </w:hyperlink>
        </w:p>
        <w:p>
          <w:pPr>
            <w:pStyle w:val="TOC3"/>
            <w:tabs>
              <w:tab w:pos="9643" w:val="left" w:leader="none"/>
            </w:tabs>
            <w:spacing w:after="240"/>
            <w:rPr>
              <w:u w:val="none"/>
            </w:rPr>
          </w:pPr>
          <w:hyperlink w:history="true" w:anchor="_TOC_250009">
            <w:r>
              <w:rPr>
                <w:color w:val="0000ED"/>
                <w:w w:val="105"/>
                <w:u w:val="single" w:color="0000ED"/>
              </w:rPr>
              <w:t>Compensation</w:t>
            </w:r>
            <w:r>
              <w:rPr>
                <w:color w:val="0000ED"/>
                <w:spacing w:val="16"/>
                <w:w w:val="105"/>
                <w:u w:val="single" w:color="0000ED"/>
              </w:rPr>
              <w:t> </w:t>
            </w:r>
            <w:r>
              <w:rPr>
                <w:color w:val="0000ED"/>
                <w:w w:val="105"/>
                <w:u w:val="single" w:color="0000ED"/>
              </w:rPr>
              <w:t>Committee</w:t>
            </w:r>
            <w:r>
              <w:rPr>
                <w:color w:val="0000ED"/>
                <w:spacing w:val="17"/>
                <w:w w:val="105"/>
                <w:u w:val="single" w:color="0000ED"/>
              </w:rPr>
              <w:t> </w:t>
            </w:r>
            <w:r>
              <w:rPr>
                <w:color w:val="0000ED"/>
                <w:spacing w:val="-2"/>
                <w:w w:val="105"/>
                <w:u w:val="single" w:color="0000ED"/>
              </w:rPr>
              <w:t>Report</w:t>
            </w:r>
            <w:r>
              <w:rPr>
                <w:color w:val="0000ED"/>
                <w:u w:val="none"/>
              </w:rPr>
              <w:tab/>
            </w:r>
            <w:r>
              <w:rPr>
                <w:color w:val="0000ED"/>
                <w:spacing w:val="-7"/>
                <w:w w:val="105"/>
                <w:u w:val="single" w:color="0000ED"/>
              </w:rPr>
              <w:t>48</w:t>
            </w:r>
          </w:hyperlink>
        </w:p>
        <w:p>
          <w:pPr>
            <w:pStyle w:val="TOC1"/>
          </w:pPr>
          <w:r>
            <w:rPr/>
            <w:pict>
              <v:shape style="position:absolute;margin-left:502.916016pt;margin-top:53.346695pt;width:16.1pt;height:.7pt;mso-position-horizontal-relative:page;mso-position-vertical-relative:paragraph;z-index:15736320" id="docshape31" coordorigin="10058,1067" coordsize="322,14" path="m10380,1067l10324,1067,10128,1067,10058,1067,10058,1081,10128,1081,10324,1081,10380,1081,10380,1067xe" filled="true" fillcolor="#000000" stroked="false">
                <v:path arrowok="t"/>
                <v:fill type="solid"/>
                <w10:wrap type="none"/>
              </v:shape>
            </w:pict>
          </w:r>
          <w:r>
            <w:rPr>
              <w:spacing w:val="-4"/>
            </w:rPr>
            <w:t>Page</w:t>
          </w:r>
        </w:p>
        <w:p>
          <w:pPr>
            <w:pStyle w:val="TOC3"/>
            <w:tabs>
              <w:tab w:pos="9643" w:val="left" w:leader="none"/>
            </w:tabs>
            <w:spacing w:before="121"/>
            <w:rPr>
              <w:u w:val="none"/>
            </w:rPr>
          </w:pPr>
          <w:hyperlink w:history="true" w:anchor="_TOC_250008">
            <w:r>
              <w:rPr>
                <w:color w:val="0000ED"/>
                <w:u w:val="single" w:color="0000ED"/>
              </w:rPr>
              <w:t>Summary</w:t>
            </w:r>
            <w:r>
              <w:rPr>
                <w:color w:val="0000ED"/>
                <w:spacing w:val="62"/>
                <w:u w:val="single" w:color="0000ED"/>
              </w:rPr>
              <w:t> </w:t>
            </w:r>
            <w:r>
              <w:rPr>
                <w:color w:val="0000ED"/>
                <w:u w:val="single" w:color="0000ED"/>
              </w:rPr>
              <w:t>Compensation</w:t>
            </w:r>
            <w:r>
              <w:rPr>
                <w:color w:val="0000ED"/>
                <w:spacing w:val="55"/>
                <w:u w:val="single" w:color="0000ED"/>
              </w:rPr>
              <w:t> </w:t>
            </w:r>
            <w:r>
              <w:rPr>
                <w:color w:val="0000ED"/>
                <w:spacing w:val="-4"/>
                <w:u w:val="single" w:color="0000ED"/>
              </w:rPr>
              <w:t>Table</w:t>
            </w:r>
            <w:r>
              <w:rPr>
                <w:color w:val="0000ED"/>
                <w:u w:val="none"/>
              </w:rPr>
              <w:tab/>
            </w:r>
            <w:r>
              <w:rPr>
                <w:color w:val="0000ED"/>
                <w:spacing w:val="-5"/>
                <w:u w:val="single" w:color="0000ED"/>
              </w:rPr>
              <w:t>49</w:t>
            </w:r>
          </w:hyperlink>
        </w:p>
        <w:p>
          <w:pPr>
            <w:pStyle w:val="TOC3"/>
            <w:tabs>
              <w:tab w:pos="9643" w:val="left" w:leader="none"/>
            </w:tabs>
            <w:rPr>
              <w:u w:val="none"/>
            </w:rPr>
          </w:pPr>
          <w:r>
            <w:rPr>
              <w:color w:val="0000ED"/>
              <w:w w:val="105"/>
              <w:u w:val="single" w:color="0000ED"/>
            </w:rPr>
            <w:t>Grant</w:t>
          </w:r>
          <w:r>
            <w:rPr>
              <w:color w:val="0000ED"/>
              <w:spacing w:val="11"/>
              <w:w w:val="105"/>
              <w:u w:val="single" w:color="0000ED"/>
            </w:rPr>
            <w:t> </w:t>
          </w:r>
          <w:r>
            <w:rPr>
              <w:color w:val="0000ED"/>
              <w:w w:val="105"/>
              <w:u w:val="single" w:color="0000ED"/>
            </w:rPr>
            <w:t>of</w:t>
          </w:r>
          <w:r>
            <w:rPr>
              <w:color w:val="0000ED"/>
              <w:spacing w:val="12"/>
              <w:w w:val="105"/>
              <w:u w:val="single" w:color="0000ED"/>
            </w:rPr>
            <w:t> </w:t>
          </w:r>
          <w:r>
            <w:rPr>
              <w:color w:val="0000ED"/>
              <w:w w:val="105"/>
              <w:u w:val="single" w:color="0000ED"/>
            </w:rPr>
            <w:t>Plan-Based </w:t>
          </w:r>
          <w:r>
            <w:rPr>
              <w:color w:val="0000ED"/>
              <w:spacing w:val="-2"/>
              <w:w w:val="105"/>
              <w:u w:val="single" w:color="0000ED"/>
            </w:rPr>
            <w:t>Awards</w:t>
          </w:r>
          <w:r>
            <w:rPr>
              <w:color w:val="0000ED"/>
              <w:u w:val="none"/>
            </w:rPr>
            <w:tab/>
          </w:r>
          <w:r>
            <w:rPr>
              <w:color w:val="0000ED"/>
              <w:spacing w:val="-7"/>
              <w:w w:val="105"/>
              <w:u w:val="single" w:color="0000ED"/>
            </w:rPr>
            <w:t>50</w:t>
          </w:r>
        </w:p>
        <w:p>
          <w:pPr>
            <w:pStyle w:val="TOC3"/>
            <w:tabs>
              <w:tab w:pos="9643" w:val="left" w:leader="none"/>
            </w:tabs>
            <w:spacing w:before="72"/>
            <w:rPr>
              <w:u w:val="none"/>
            </w:rPr>
          </w:pPr>
          <w:hyperlink w:history="true" w:anchor="_TOC_250007">
            <w:r>
              <w:rPr>
                <w:color w:val="0000ED"/>
                <w:w w:val="105"/>
                <w:u w:val="single" w:color="0000ED"/>
              </w:rPr>
              <w:t>Outstandin</w:t>
            </w:r>
            <w:r>
              <w:rPr>
                <w:color w:val="0000ED"/>
                <w:w w:val="105"/>
                <w:u w:val="none"/>
              </w:rPr>
              <w:t>g</w:t>
            </w:r>
            <w:r>
              <w:rPr>
                <w:color w:val="0000ED"/>
                <w:spacing w:val="-34"/>
                <w:w w:val="105"/>
                <w:u w:val="none"/>
              </w:rPr>
              <w:t> </w:t>
            </w:r>
            <w:r>
              <w:rPr>
                <w:color w:val="0000ED"/>
                <w:spacing w:val="-8"/>
                <w:w w:val="105"/>
                <w:u w:val="single" w:color="0000ED"/>
              </w:rPr>
              <w:t> </w:t>
            </w:r>
            <w:r>
              <w:rPr>
                <w:color w:val="0000ED"/>
                <w:w w:val="105"/>
                <w:u w:val="single" w:color="0000ED"/>
              </w:rPr>
              <w:t>Equity</w:t>
            </w:r>
            <w:r>
              <w:rPr>
                <w:color w:val="0000ED"/>
                <w:spacing w:val="-5"/>
                <w:w w:val="105"/>
                <w:u w:val="single" w:color="0000ED"/>
              </w:rPr>
              <w:t> </w:t>
            </w:r>
            <w:r>
              <w:rPr>
                <w:color w:val="0000ED"/>
                <w:w w:val="105"/>
                <w:u w:val="single" w:color="0000ED"/>
              </w:rPr>
              <w:t>Awards</w:t>
            </w:r>
            <w:r>
              <w:rPr>
                <w:color w:val="0000ED"/>
                <w:spacing w:val="6"/>
                <w:w w:val="105"/>
                <w:u w:val="single" w:color="0000ED"/>
              </w:rPr>
              <w:t> </w:t>
            </w:r>
            <w:r>
              <w:rPr>
                <w:color w:val="0000ED"/>
                <w:w w:val="105"/>
                <w:u w:val="single" w:color="0000ED"/>
              </w:rPr>
              <w:t>at</w:t>
            </w:r>
            <w:r>
              <w:rPr>
                <w:color w:val="0000ED"/>
                <w:spacing w:val="6"/>
                <w:w w:val="105"/>
                <w:u w:val="single" w:color="0000ED"/>
              </w:rPr>
              <w:t> </w:t>
            </w:r>
            <w:r>
              <w:rPr>
                <w:color w:val="0000ED"/>
                <w:w w:val="105"/>
                <w:u w:val="single" w:color="0000ED"/>
              </w:rPr>
              <w:t>Fiscal</w:t>
            </w:r>
            <w:r>
              <w:rPr>
                <w:color w:val="0000ED"/>
                <w:spacing w:val="-1"/>
                <w:w w:val="105"/>
                <w:u w:val="single" w:color="0000ED"/>
              </w:rPr>
              <w:t> </w:t>
            </w:r>
            <w:r>
              <w:rPr>
                <w:color w:val="0000ED"/>
                <w:w w:val="105"/>
                <w:u w:val="single" w:color="0000ED"/>
              </w:rPr>
              <w:t>Year</w:t>
            </w:r>
            <w:r>
              <w:rPr>
                <w:color w:val="0000ED"/>
                <w:spacing w:val="6"/>
                <w:w w:val="105"/>
                <w:u w:val="single" w:color="0000ED"/>
              </w:rPr>
              <w:t> </w:t>
            </w:r>
            <w:r>
              <w:rPr>
                <w:color w:val="0000ED"/>
                <w:spacing w:val="-5"/>
                <w:w w:val="105"/>
                <w:u w:val="single" w:color="0000ED"/>
              </w:rPr>
              <w:t>End</w:t>
            </w:r>
            <w:r>
              <w:rPr>
                <w:color w:val="0000ED"/>
                <w:u w:val="none"/>
              </w:rPr>
              <w:tab/>
            </w:r>
            <w:r>
              <w:rPr>
                <w:color w:val="0000ED"/>
                <w:spacing w:val="-7"/>
                <w:w w:val="105"/>
                <w:u w:val="single" w:color="0000ED"/>
              </w:rPr>
              <w:t>51</w:t>
            </w:r>
          </w:hyperlink>
        </w:p>
        <w:p>
          <w:pPr>
            <w:pStyle w:val="TOC3"/>
            <w:tabs>
              <w:tab w:pos="9643" w:val="left" w:leader="none"/>
            </w:tabs>
            <w:rPr>
              <w:u w:val="none"/>
            </w:rPr>
          </w:pPr>
          <w:hyperlink w:history="true" w:anchor="_TOC_250006">
            <w:r>
              <w:rPr>
                <w:color w:val="0000ED"/>
                <w:w w:val="105"/>
                <w:u w:val="single" w:color="0000ED"/>
              </w:rPr>
              <w:t>Option</w:t>
            </w:r>
            <w:r>
              <w:rPr>
                <w:color w:val="0000ED"/>
                <w:spacing w:val="11"/>
                <w:w w:val="105"/>
                <w:u w:val="single" w:color="0000ED"/>
              </w:rPr>
              <w:t> </w:t>
            </w:r>
            <w:r>
              <w:rPr>
                <w:color w:val="0000ED"/>
                <w:w w:val="105"/>
                <w:u w:val="single" w:color="0000ED"/>
              </w:rPr>
              <w:t>Exercises</w:t>
            </w:r>
            <w:r>
              <w:rPr>
                <w:color w:val="0000ED"/>
                <w:spacing w:val="12"/>
                <w:w w:val="105"/>
                <w:u w:val="single" w:color="0000ED"/>
              </w:rPr>
              <w:t> </w:t>
            </w:r>
            <w:r>
              <w:rPr>
                <w:color w:val="0000ED"/>
                <w:w w:val="105"/>
                <w:u w:val="single" w:color="0000ED"/>
              </w:rPr>
              <w:t>and</w:t>
            </w:r>
            <w:r>
              <w:rPr>
                <w:color w:val="0000ED"/>
                <w:spacing w:val="12"/>
                <w:w w:val="105"/>
                <w:u w:val="single" w:color="0000ED"/>
              </w:rPr>
              <w:t> </w:t>
            </w:r>
            <w:r>
              <w:rPr>
                <w:color w:val="0000ED"/>
                <w:w w:val="105"/>
                <w:u w:val="single" w:color="0000ED"/>
              </w:rPr>
              <w:t>Stock</w:t>
            </w:r>
            <w:r>
              <w:rPr>
                <w:color w:val="0000ED"/>
                <w:spacing w:val="7"/>
                <w:w w:val="105"/>
                <w:u w:val="single" w:color="0000ED"/>
              </w:rPr>
              <w:t> </w:t>
            </w:r>
            <w:r>
              <w:rPr>
                <w:color w:val="0000ED"/>
                <w:spacing w:val="-2"/>
                <w:w w:val="105"/>
                <w:u w:val="single" w:color="0000ED"/>
              </w:rPr>
              <w:t>Vested</w:t>
            </w:r>
            <w:r>
              <w:rPr>
                <w:color w:val="0000ED"/>
                <w:u w:val="none"/>
              </w:rPr>
              <w:tab/>
            </w:r>
            <w:r>
              <w:rPr>
                <w:color w:val="0000ED"/>
                <w:spacing w:val="-7"/>
                <w:w w:val="105"/>
                <w:u w:val="single" w:color="0000ED"/>
              </w:rPr>
              <w:t>54</w:t>
            </w:r>
          </w:hyperlink>
        </w:p>
        <w:p>
          <w:pPr>
            <w:pStyle w:val="TOC3"/>
            <w:tabs>
              <w:tab w:pos="9643" w:val="left" w:leader="none"/>
            </w:tabs>
            <w:spacing w:before="72"/>
            <w:rPr>
              <w:u w:val="none"/>
            </w:rPr>
          </w:pPr>
          <w:hyperlink w:history="true" w:anchor="_TOC_250005">
            <w:r>
              <w:rPr>
                <w:color w:val="0000ED"/>
                <w:w w:val="105"/>
                <w:u w:val="single" w:color="0000ED"/>
              </w:rPr>
              <w:t>Potential</w:t>
            </w:r>
            <w:r>
              <w:rPr>
                <w:color w:val="0000ED"/>
                <w:spacing w:val="10"/>
                <w:w w:val="105"/>
                <w:u w:val="single" w:color="0000ED"/>
              </w:rPr>
              <w:t> </w:t>
            </w:r>
            <w:r>
              <w:rPr>
                <w:color w:val="0000ED"/>
                <w:w w:val="105"/>
                <w:u w:val="single" w:color="0000ED"/>
              </w:rPr>
              <w:t>Payments</w:t>
            </w:r>
            <w:r>
              <w:rPr>
                <w:color w:val="0000ED"/>
                <w:spacing w:val="10"/>
                <w:w w:val="105"/>
                <w:u w:val="single" w:color="0000ED"/>
              </w:rPr>
              <w:t> </w:t>
            </w:r>
            <w:r>
              <w:rPr>
                <w:color w:val="0000ED"/>
                <w:w w:val="105"/>
                <w:u w:val="single" w:color="0000ED"/>
              </w:rPr>
              <w:t>Upon</w:t>
            </w:r>
            <w:r>
              <w:rPr>
                <w:color w:val="0000ED"/>
                <w:spacing w:val="5"/>
                <w:w w:val="105"/>
                <w:u w:val="single" w:color="0000ED"/>
              </w:rPr>
              <w:t> </w:t>
            </w:r>
            <w:r>
              <w:rPr>
                <w:color w:val="0000ED"/>
                <w:w w:val="105"/>
                <w:u w:val="single" w:color="0000ED"/>
              </w:rPr>
              <w:t>Termination</w:t>
            </w:r>
            <w:r>
              <w:rPr>
                <w:color w:val="0000ED"/>
                <w:spacing w:val="10"/>
                <w:w w:val="105"/>
                <w:u w:val="single" w:color="0000ED"/>
              </w:rPr>
              <w:t> </w:t>
            </w:r>
            <w:r>
              <w:rPr>
                <w:color w:val="0000ED"/>
                <w:w w:val="105"/>
                <w:u w:val="single" w:color="0000ED"/>
              </w:rPr>
              <w:t>or</w:t>
            </w:r>
            <w:r>
              <w:rPr>
                <w:color w:val="0000ED"/>
                <w:spacing w:val="10"/>
                <w:w w:val="105"/>
                <w:u w:val="single" w:color="0000ED"/>
              </w:rPr>
              <w:t> </w:t>
            </w:r>
            <w:r>
              <w:rPr>
                <w:color w:val="0000ED"/>
                <w:w w:val="105"/>
                <w:u w:val="single" w:color="0000ED"/>
              </w:rPr>
              <w:t>Change</w:t>
            </w:r>
            <w:r>
              <w:rPr>
                <w:color w:val="0000ED"/>
                <w:spacing w:val="10"/>
                <w:w w:val="105"/>
                <w:u w:val="single" w:color="0000ED"/>
              </w:rPr>
              <w:t> </w:t>
            </w:r>
            <w:r>
              <w:rPr>
                <w:color w:val="0000ED"/>
                <w:w w:val="105"/>
                <w:u w:val="single" w:color="0000ED"/>
              </w:rPr>
              <w:t>in</w:t>
            </w:r>
            <w:r>
              <w:rPr>
                <w:color w:val="0000ED"/>
                <w:spacing w:val="10"/>
                <w:w w:val="105"/>
                <w:u w:val="single" w:color="0000ED"/>
              </w:rPr>
              <w:t> </w:t>
            </w:r>
            <w:r>
              <w:rPr>
                <w:color w:val="0000ED"/>
                <w:spacing w:val="-2"/>
                <w:w w:val="105"/>
                <w:u w:val="single" w:color="0000ED"/>
              </w:rPr>
              <w:t>Control</w:t>
            </w:r>
            <w:r>
              <w:rPr>
                <w:color w:val="0000ED"/>
                <w:u w:val="none"/>
              </w:rPr>
              <w:tab/>
            </w:r>
            <w:r>
              <w:rPr>
                <w:color w:val="0000ED"/>
                <w:spacing w:val="-7"/>
                <w:w w:val="105"/>
                <w:u w:val="single" w:color="0000ED"/>
              </w:rPr>
              <w:t>55</w:t>
            </w:r>
          </w:hyperlink>
        </w:p>
        <w:p>
          <w:pPr>
            <w:pStyle w:val="TOC3"/>
            <w:tabs>
              <w:tab w:pos="9643" w:val="left" w:leader="none"/>
            </w:tabs>
            <w:rPr>
              <w:u w:val="none"/>
            </w:rPr>
          </w:pPr>
          <w:hyperlink w:history="true" w:anchor="_TOC_250004">
            <w:r>
              <w:rPr>
                <w:color w:val="0000ED"/>
                <w:w w:val="105"/>
                <w:u w:val="single" w:color="0000ED"/>
              </w:rPr>
              <w:t>Compensation</w:t>
            </w:r>
            <w:r>
              <w:rPr>
                <w:color w:val="0000ED"/>
                <w:spacing w:val="12"/>
                <w:w w:val="105"/>
                <w:u w:val="single" w:color="0000ED"/>
              </w:rPr>
              <w:t> </w:t>
            </w:r>
            <w:r>
              <w:rPr>
                <w:color w:val="0000ED"/>
                <w:w w:val="105"/>
                <w:u w:val="single" w:color="0000ED"/>
              </w:rPr>
              <w:t>of</w:t>
            </w:r>
            <w:r>
              <w:rPr>
                <w:color w:val="0000ED"/>
                <w:spacing w:val="13"/>
                <w:w w:val="105"/>
                <w:u w:val="single" w:color="0000ED"/>
              </w:rPr>
              <w:t> </w:t>
            </w:r>
            <w:r>
              <w:rPr>
                <w:color w:val="0000ED"/>
                <w:spacing w:val="-2"/>
                <w:w w:val="105"/>
                <w:u w:val="single" w:color="0000ED"/>
              </w:rPr>
              <w:t>Directors</w:t>
            </w:r>
            <w:r>
              <w:rPr>
                <w:color w:val="0000ED"/>
                <w:u w:val="none"/>
              </w:rPr>
              <w:tab/>
            </w:r>
            <w:r>
              <w:rPr>
                <w:color w:val="0000ED"/>
                <w:spacing w:val="-7"/>
                <w:w w:val="105"/>
                <w:u w:val="single" w:color="0000ED"/>
              </w:rPr>
              <w:t>57</w:t>
            </w:r>
          </w:hyperlink>
        </w:p>
        <w:p>
          <w:pPr>
            <w:pStyle w:val="TOC3"/>
            <w:tabs>
              <w:tab w:pos="9643" w:val="left" w:leader="none"/>
            </w:tabs>
            <w:rPr>
              <w:u w:val="none"/>
            </w:rPr>
          </w:pPr>
          <w:hyperlink w:history="true" w:anchor="_TOC_250003">
            <w:r>
              <w:rPr>
                <w:color w:val="0000ED"/>
                <w:w w:val="105"/>
                <w:u w:val="single" w:color="0000ED"/>
              </w:rPr>
              <w:t>Compensation</w:t>
            </w:r>
            <w:r>
              <w:rPr>
                <w:color w:val="0000ED"/>
                <w:spacing w:val="15"/>
                <w:w w:val="105"/>
                <w:u w:val="single" w:color="0000ED"/>
              </w:rPr>
              <w:t> </w:t>
            </w:r>
            <w:r>
              <w:rPr>
                <w:color w:val="0000ED"/>
                <w:w w:val="105"/>
                <w:u w:val="single" w:color="0000ED"/>
              </w:rPr>
              <w:t>Committee</w:t>
            </w:r>
            <w:r>
              <w:rPr>
                <w:color w:val="0000ED"/>
                <w:spacing w:val="15"/>
                <w:w w:val="105"/>
                <w:u w:val="single" w:color="0000ED"/>
              </w:rPr>
              <w:t> </w:t>
            </w:r>
            <w:r>
              <w:rPr>
                <w:color w:val="0000ED"/>
                <w:w w:val="105"/>
                <w:u w:val="single" w:color="0000ED"/>
              </w:rPr>
              <w:t>Interlocks</w:t>
            </w:r>
            <w:r>
              <w:rPr>
                <w:color w:val="0000ED"/>
                <w:spacing w:val="15"/>
                <w:w w:val="105"/>
                <w:u w:val="single" w:color="0000ED"/>
              </w:rPr>
              <w:t> </w:t>
            </w:r>
            <w:r>
              <w:rPr>
                <w:color w:val="0000ED"/>
                <w:w w:val="105"/>
                <w:u w:val="single" w:color="0000ED"/>
              </w:rPr>
              <w:t>and</w:t>
            </w:r>
            <w:r>
              <w:rPr>
                <w:color w:val="0000ED"/>
                <w:spacing w:val="15"/>
                <w:w w:val="105"/>
                <w:u w:val="single" w:color="0000ED"/>
              </w:rPr>
              <w:t> </w:t>
            </w:r>
            <w:r>
              <w:rPr>
                <w:color w:val="0000ED"/>
                <w:w w:val="105"/>
                <w:u w:val="single" w:color="0000ED"/>
              </w:rPr>
              <w:t>Insider</w:t>
            </w:r>
            <w:r>
              <w:rPr>
                <w:color w:val="0000ED"/>
                <w:spacing w:val="15"/>
                <w:w w:val="105"/>
                <w:u w:val="single" w:color="0000ED"/>
              </w:rPr>
              <w:t> </w:t>
            </w:r>
            <w:r>
              <w:rPr>
                <w:color w:val="0000ED"/>
                <w:spacing w:val="-2"/>
                <w:w w:val="105"/>
                <w:u w:val="single" w:color="0000ED"/>
              </w:rPr>
              <w:t>Participation</w:t>
            </w:r>
            <w:r>
              <w:rPr>
                <w:color w:val="0000ED"/>
                <w:u w:val="none"/>
              </w:rPr>
              <w:tab/>
            </w:r>
            <w:r>
              <w:rPr>
                <w:color w:val="0000ED"/>
                <w:spacing w:val="-7"/>
                <w:w w:val="105"/>
                <w:u w:val="single" w:color="0000ED"/>
              </w:rPr>
              <w:t>60</w:t>
            </w:r>
          </w:hyperlink>
        </w:p>
        <w:p>
          <w:pPr>
            <w:pStyle w:val="TOC3"/>
            <w:tabs>
              <w:tab w:pos="9643" w:val="left" w:leader="none"/>
            </w:tabs>
            <w:spacing w:before="72"/>
            <w:rPr>
              <w:u w:val="none"/>
            </w:rPr>
          </w:pPr>
          <w:hyperlink w:history="true" w:anchor="_TOC_250002">
            <w:r>
              <w:rPr>
                <w:color w:val="0000ED"/>
                <w:w w:val="105"/>
                <w:u w:val="single" w:color="0000ED"/>
              </w:rPr>
              <w:t>CEO</w:t>
            </w:r>
            <w:r>
              <w:rPr>
                <w:color w:val="0000ED"/>
                <w:spacing w:val="6"/>
                <w:w w:val="105"/>
                <w:u w:val="single" w:color="0000ED"/>
              </w:rPr>
              <w:t> </w:t>
            </w:r>
            <w:r>
              <w:rPr>
                <w:color w:val="0000ED"/>
                <w:w w:val="105"/>
                <w:u w:val="single" w:color="0000ED"/>
              </w:rPr>
              <w:t>Pay</w:t>
            </w:r>
            <w:r>
              <w:rPr>
                <w:color w:val="0000ED"/>
                <w:spacing w:val="6"/>
                <w:w w:val="105"/>
                <w:u w:val="single" w:color="0000ED"/>
              </w:rPr>
              <w:t> </w:t>
            </w:r>
            <w:r>
              <w:rPr>
                <w:color w:val="0000ED"/>
                <w:spacing w:val="-2"/>
                <w:w w:val="105"/>
                <w:u w:val="single" w:color="0000ED"/>
              </w:rPr>
              <w:t>Ratio</w:t>
            </w:r>
            <w:r>
              <w:rPr>
                <w:color w:val="0000ED"/>
                <w:u w:val="none"/>
              </w:rPr>
              <w:tab/>
            </w:r>
            <w:r>
              <w:rPr>
                <w:color w:val="0000ED"/>
                <w:spacing w:val="-7"/>
                <w:w w:val="105"/>
                <w:u w:val="single" w:color="0000ED"/>
              </w:rPr>
              <w:t>60</w:t>
            </w:r>
          </w:hyperlink>
        </w:p>
        <w:p>
          <w:pPr>
            <w:pStyle w:val="TOC2"/>
            <w:tabs>
              <w:tab w:pos="9643" w:val="left" w:leader="none"/>
            </w:tabs>
            <w:rPr>
              <w:u w:val="none"/>
            </w:rPr>
          </w:pPr>
          <w:hyperlink w:history="true" w:anchor="_TOC_250001">
            <w:r>
              <w:rPr>
                <w:color w:val="0000ED"/>
                <w:u w:val="single" w:color="0000ED"/>
              </w:rPr>
              <w:t>CERTAIN</w:t>
            </w:r>
            <w:r>
              <w:rPr>
                <w:color w:val="0000ED"/>
                <w:spacing w:val="39"/>
                <w:u w:val="single" w:color="0000ED"/>
              </w:rPr>
              <w:t> </w:t>
            </w:r>
            <w:r>
              <w:rPr>
                <w:color w:val="0000ED"/>
                <w:u w:val="single" w:color="0000ED"/>
              </w:rPr>
              <w:t>RELATIONSHIPS</w:t>
            </w:r>
            <w:r>
              <w:rPr>
                <w:color w:val="0000ED"/>
                <w:spacing w:val="22"/>
                <w:u w:val="single" w:color="0000ED"/>
              </w:rPr>
              <w:t> </w:t>
            </w:r>
            <w:r>
              <w:rPr>
                <w:color w:val="0000ED"/>
                <w:u w:val="single" w:color="0000ED"/>
              </w:rPr>
              <w:t>AND</w:t>
            </w:r>
            <w:r>
              <w:rPr>
                <w:color w:val="0000ED"/>
                <w:spacing w:val="40"/>
                <w:u w:val="single" w:color="0000ED"/>
              </w:rPr>
              <w:t> </w:t>
            </w:r>
            <w:r>
              <w:rPr>
                <w:color w:val="0000ED"/>
                <w:u w:val="single" w:color="0000ED"/>
              </w:rPr>
              <w:t>RELATED</w:t>
            </w:r>
            <w:r>
              <w:rPr>
                <w:color w:val="0000ED"/>
                <w:spacing w:val="33"/>
                <w:u w:val="single" w:color="0000ED"/>
              </w:rPr>
              <w:t> </w:t>
            </w:r>
            <w:r>
              <w:rPr>
                <w:color w:val="0000ED"/>
                <w:spacing w:val="-2"/>
                <w:u w:val="single" w:color="0000ED"/>
              </w:rPr>
              <w:t>TRANSACTIONS</w:t>
            </w:r>
            <w:r>
              <w:rPr>
                <w:color w:val="0000ED"/>
                <w:u w:val="none"/>
              </w:rPr>
              <w:tab/>
            </w:r>
            <w:r>
              <w:rPr>
                <w:color w:val="0000ED"/>
                <w:spacing w:val="-5"/>
                <w:u w:val="single" w:color="0000ED"/>
              </w:rPr>
              <w:t>61</w:t>
            </w:r>
          </w:hyperlink>
        </w:p>
        <w:p>
          <w:pPr>
            <w:pStyle w:val="TOC3"/>
            <w:tabs>
              <w:tab w:pos="9643" w:val="left" w:leader="none"/>
            </w:tabs>
            <w:spacing w:before="59"/>
            <w:rPr>
              <w:u w:val="none"/>
            </w:rPr>
          </w:pPr>
          <w:hyperlink w:history="true" w:anchor="_TOC_250000">
            <w:r>
              <w:rPr>
                <w:color w:val="0000ED"/>
                <w:w w:val="105"/>
                <w:u w:val="single" w:color="0000ED"/>
              </w:rPr>
              <w:t>Review,</w:t>
            </w:r>
            <w:r>
              <w:rPr>
                <w:color w:val="0000ED"/>
                <w:spacing w:val="-1"/>
                <w:w w:val="105"/>
                <w:u w:val="single" w:color="0000ED"/>
              </w:rPr>
              <w:t> </w:t>
            </w:r>
            <w:r>
              <w:rPr>
                <w:color w:val="0000ED"/>
                <w:w w:val="105"/>
                <w:u w:val="single" w:color="0000ED"/>
              </w:rPr>
              <w:t>Approval</w:t>
            </w:r>
            <w:r>
              <w:rPr>
                <w:color w:val="0000ED"/>
                <w:spacing w:val="11"/>
                <w:w w:val="105"/>
                <w:u w:val="single" w:color="0000ED"/>
              </w:rPr>
              <w:t> </w:t>
            </w:r>
            <w:r>
              <w:rPr>
                <w:color w:val="0000ED"/>
                <w:w w:val="105"/>
                <w:u w:val="single" w:color="0000ED"/>
              </w:rPr>
              <w:t>or</w:t>
            </w:r>
            <w:r>
              <w:rPr>
                <w:color w:val="0000ED"/>
                <w:spacing w:val="11"/>
                <w:w w:val="105"/>
                <w:u w:val="single" w:color="0000ED"/>
              </w:rPr>
              <w:t> </w:t>
            </w:r>
            <w:r>
              <w:rPr>
                <w:color w:val="0000ED"/>
                <w:w w:val="105"/>
                <w:u w:val="single" w:color="0000ED"/>
              </w:rPr>
              <w:t>Ratification</w:t>
            </w:r>
            <w:r>
              <w:rPr>
                <w:color w:val="0000ED"/>
                <w:spacing w:val="11"/>
                <w:w w:val="105"/>
                <w:u w:val="single" w:color="0000ED"/>
              </w:rPr>
              <w:t> </w:t>
            </w:r>
            <w:r>
              <w:rPr>
                <w:color w:val="0000ED"/>
                <w:w w:val="105"/>
                <w:u w:val="single" w:color="0000ED"/>
              </w:rPr>
              <w:t>of</w:t>
            </w:r>
            <w:r>
              <w:rPr>
                <w:color w:val="0000ED"/>
                <w:spacing w:val="11"/>
                <w:w w:val="105"/>
                <w:u w:val="single" w:color="0000ED"/>
              </w:rPr>
              <w:t> </w:t>
            </w:r>
            <w:r>
              <w:rPr>
                <w:color w:val="0000ED"/>
                <w:w w:val="105"/>
                <w:u w:val="single" w:color="0000ED"/>
              </w:rPr>
              <w:t>Related</w:t>
            </w:r>
            <w:r>
              <w:rPr>
                <w:color w:val="0000ED"/>
                <w:spacing w:val="12"/>
                <w:w w:val="105"/>
                <w:u w:val="single" w:color="0000ED"/>
              </w:rPr>
              <w:t> </w:t>
            </w:r>
            <w:r>
              <w:rPr>
                <w:color w:val="0000ED"/>
                <w:w w:val="105"/>
                <w:u w:val="single" w:color="0000ED"/>
              </w:rPr>
              <w:t>Person</w:t>
            </w:r>
            <w:r>
              <w:rPr>
                <w:color w:val="0000ED"/>
                <w:spacing w:val="6"/>
                <w:w w:val="105"/>
                <w:u w:val="single" w:color="0000ED"/>
              </w:rPr>
              <w:t> </w:t>
            </w:r>
            <w:r>
              <w:rPr>
                <w:color w:val="0000ED"/>
                <w:spacing w:val="-2"/>
                <w:w w:val="105"/>
                <w:u w:val="single" w:color="0000ED"/>
              </w:rPr>
              <w:t>Transactions</w:t>
            </w:r>
            <w:r>
              <w:rPr>
                <w:color w:val="0000ED"/>
                <w:u w:val="none"/>
              </w:rPr>
              <w:tab/>
            </w:r>
            <w:r>
              <w:rPr>
                <w:color w:val="0000ED"/>
                <w:spacing w:val="-7"/>
                <w:w w:val="105"/>
                <w:u w:val="single" w:color="0000ED"/>
              </w:rPr>
              <w:t>61</w:t>
            </w:r>
          </w:hyperlink>
        </w:p>
      </w:sdtContent>
    </w:sdt>
    <w:p>
      <w:pPr>
        <w:spacing w:after="0"/>
        <w:sectPr>
          <w:type w:val="continuous"/>
          <w:pgSz w:w="12240" w:h="15840"/>
          <w:pgMar w:header="529" w:footer="856" w:top="729" w:bottom="916" w:left="480" w:right="460"/>
        </w:sectPr>
      </w:pPr>
    </w:p>
    <w:p>
      <w:pPr>
        <w:pStyle w:val="BodyText"/>
        <w:rPr>
          <w:sz w:val="20"/>
        </w:rPr>
      </w:pPr>
    </w:p>
    <w:p>
      <w:pPr>
        <w:pStyle w:val="BodyText"/>
        <w:rPr>
          <w:sz w:val="20"/>
        </w:rPr>
      </w:pPr>
    </w:p>
    <w:p>
      <w:pPr>
        <w:pStyle w:val="BodyText"/>
        <w:rPr>
          <w:sz w:val="20"/>
        </w:rPr>
      </w:pPr>
    </w:p>
    <w:p>
      <w:pPr>
        <w:pStyle w:val="Heading1"/>
        <w:spacing w:before="167"/>
        <w:ind w:left="32"/>
      </w:pPr>
      <w:bookmarkStart w:name="_TOC_250042" w:id="1"/>
      <w:r>
        <w:rPr/>
        <w:t>PROXY</w:t>
      </w:r>
      <w:r>
        <w:rPr>
          <w:spacing w:val="-10"/>
        </w:rPr>
        <w:t> </w:t>
      </w:r>
      <w:bookmarkEnd w:id="1"/>
      <w:r>
        <w:rPr>
          <w:spacing w:val="-2"/>
        </w:rPr>
        <w:t>SUMMARY</w:t>
      </w:r>
    </w:p>
    <w:p>
      <w:pPr>
        <w:pStyle w:val="BodyText"/>
        <w:spacing w:line="259" w:lineRule="auto" w:before="170"/>
        <w:ind w:left="1414" w:right="1446" w:firstLine="372"/>
      </w:pPr>
      <w:r>
        <w:rPr>
          <w:w w:val="105"/>
        </w:rPr>
        <w:t>This summary highlights information contained elsewhere in this Proxy Statement but does not contain</w:t>
      </w:r>
      <w:r>
        <w:rPr>
          <w:spacing w:val="80"/>
          <w:w w:val="105"/>
        </w:rPr>
        <w:t> </w:t>
      </w:r>
      <w:r>
        <w:rPr>
          <w:w w:val="105"/>
        </w:rPr>
        <w:t>all</w:t>
      </w:r>
      <w:r>
        <w:rPr>
          <w:spacing w:val="24"/>
          <w:w w:val="105"/>
        </w:rPr>
        <w:t> </w:t>
      </w:r>
      <w:r>
        <w:rPr>
          <w:w w:val="105"/>
        </w:rPr>
        <w:t>of</w:t>
      </w:r>
      <w:r>
        <w:rPr>
          <w:spacing w:val="24"/>
          <w:w w:val="105"/>
        </w:rPr>
        <w:t> </w:t>
      </w:r>
      <w:r>
        <w:rPr>
          <w:w w:val="105"/>
        </w:rPr>
        <w:t>the</w:t>
      </w:r>
      <w:r>
        <w:rPr>
          <w:spacing w:val="24"/>
          <w:w w:val="105"/>
        </w:rPr>
        <w:t> </w:t>
      </w:r>
      <w:r>
        <w:rPr>
          <w:w w:val="105"/>
        </w:rPr>
        <w:t>information</w:t>
      </w:r>
      <w:r>
        <w:rPr>
          <w:spacing w:val="24"/>
          <w:w w:val="105"/>
        </w:rPr>
        <w:t> </w:t>
      </w:r>
      <w:r>
        <w:rPr>
          <w:w w:val="105"/>
        </w:rPr>
        <w:t>you</w:t>
      </w:r>
      <w:r>
        <w:rPr>
          <w:spacing w:val="24"/>
          <w:w w:val="105"/>
        </w:rPr>
        <w:t> </w:t>
      </w:r>
      <w:r>
        <w:rPr>
          <w:w w:val="105"/>
        </w:rPr>
        <w:t>should</w:t>
      </w:r>
      <w:r>
        <w:rPr>
          <w:spacing w:val="24"/>
          <w:w w:val="105"/>
        </w:rPr>
        <w:t> </w:t>
      </w:r>
      <w:r>
        <w:rPr>
          <w:w w:val="105"/>
        </w:rPr>
        <w:t>consider</w:t>
      </w:r>
      <w:r>
        <w:rPr>
          <w:spacing w:val="24"/>
          <w:w w:val="105"/>
        </w:rPr>
        <w:t> </w:t>
      </w:r>
      <w:r>
        <w:rPr>
          <w:w w:val="105"/>
        </w:rPr>
        <w:t>before</w:t>
      </w:r>
      <w:r>
        <w:rPr>
          <w:spacing w:val="24"/>
          <w:w w:val="105"/>
        </w:rPr>
        <w:t> </w:t>
      </w:r>
      <w:r>
        <w:rPr>
          <w:w w:val="105"/>
        </w:rPr>
        <w:t>voting.</w:t>
      </w:r>
      <w:r>
        <w:rPr>
          <w:spacing w:val="24"/>
          <w:w w:val="105"/>
        </w:rPr>
        <w:t> </w:t>
      </w:r>
      <w:r>
        <w:rPr>
          <w:w w:val="105"/>
        </w:rPr>
        <w:t>Please</w:t>
      </w:r>
      <w:r>
        <w:rPr>
          <w:spacing w:val="24"/>
          <w:w w:val="105"/>
        </w:rPr>
        <w:t> </w:t>
      </w:r>
      <w:r>
        <w:rPr>
          <w:w w:val="105"/>
        </w:rPr>
        <w:t>read</w:t>
      </w:r>
      <w:r>
        <w:rPr>
          <w:spacing w:val="24"/>
          <w:w w:val="105"/>
        </w:rPr>
        <w:t> </w:t>
      </w:r>
      <w:r>
        <w:rPr>
          <w:w w:val="105"/>
        </w:rPr>
        <w:t>the</w:t>
      </w:r>
      <w:r>
        <w:rPr>
          <w:spacing w:val="24"/>
          <w:w w:val="105"/>
        </w:rPr>
        <w:t> </w:t>
      </w:r>
      <w:r>
        <w:rPr>
          <w:w w:val="105"/>
        </w:rPr>
        <w:t>entire</w:t>
      </w:r>
      <w:r>
        <w:rPr>
          <w:spacing w:val="24"/>
          <w:w w:val="105"/>
        </w:rPr>
        <w:t> </w:t>
      </w:r>
      <w:r>
        <w:rPr>
          <w:w w:val="105"/>
        </w:rPr>
        <w:t>Proxy</w:t>
      </w:r>
      <w:r>
        <w:rPr>
          <w:spacing w:val="24"/>
          <w:w w:val="105"/>
        </w:rPr>
        <w:t> </w:t>
      </w:r>
      <w:r>
        <w:rPr>
          <w:w w:val="105"/>
        </w:rPr>
        <w:t>Statement</w:t>
      </w:r>
      <w:r>
        <w:rPr>
          <w:spacing w:val="24"/>
          <w:w w:val="105"/>
        </w:rPr>
        <w:t> </w:t>
      </w:r>
      <w:r>
        <w:rPr>
          <w:w w:val="105"/>
        </w:rPr>
        <w:t>carefully.</w:t>
      </w:r>
    </w:p>
    <w:p>
      <w:pPr>
        <w:pStyle w:val="BodyText"/>
        <w:spacing w:line="259" w:lineRule="auto" w:before="140"/>
        <w:ind w:left="1414" w:right="1621" w:firstLine="372"/>
        <w:jc w:val="both"/>
      </w:pPr>
      <w:r>
        <w:rPr>
          <w:w w:val="105"/>
        </w:rPr>
        <w:t>Varex Imaging Corporation (“</w:t>
      </w:r>
      <w:r>
        <w:rPr>
          <w:b/>
          <w:w w:val="105"/>
        </w:rPr>
        <w:t>we</w:t>
      </w:r>
      <w:r>
        <w:rPr>
          <w:w w:val="105"/>
        </w:rPr>
        <w:t>,” “</w:t>
      </w:r>
      <w:r>
        <w:rPr>
          <w:b/>
          <w:w w:val="105"/>
        </w:rPr>
        <w:t>us</w:t>
      </w:r>
      <w:r>
        <w:rPr>
          <w:w w:val="105"/>
        </w:rPr>
        <w:t>,” “</w:t>
      </w:r>
      <w:r>
        <w:rPr>
          <w:b/>
          <w:w w:val="105"/>
        </w:rPr>
        <w:t>Varex</w:t>
      </w:r>
      <w:r>
        <w:rPr>
          <w:w w:val="105"/>
        </w:rPr>
        <w:t>,” or the “</w:t>
      </w:r>
      <w:r>
        <w:rPr>
          <w:b/>
          <w:w w:val="105"/>
        </w:rPr>
        <w:t>Company</w:t>
      </w:r>
      <w:r>
        <w:rPr>
          <w:w w:val="105"/>
        </w:rPr>
        <w:t>”) is a leading innovator, designer and manufacturer of X-ray imaging components, including X-ray tubes, digital detectors and other image processing solutions that are key components of X-ray imaging systems.</w:t>
      </w:r>
    </w:p>
    <w:p>
      <w:pPr>
        <w:tabs>
          <w:tab w:pos="7849" w:val="left" w:leader="none"/>
        </w:tabs>
        <w:spacing w:before="169"/>
        <w:ind w:left="3673" w:right="0" w:firstLine="0"/>
        <w:jc w:val="left"/>
        <w:rPr>
          <w:b/>
          <w:sz w:val="15"/>
        </w:rPr>
      </w:pPr>
      <w:r>
        <w:rPr>
          <w:b/>
          <w:spacing w:val="-4"/>
          <w:sz w:val="15"/>
        </w:rPr>
        <w:t>Annual</w:t>
      </w:r>
      <w:r>
        <w:rPr>
          <w:b/>
          <w:spacing w:val="-3"/>
          <w:sz w:val="15"/>
        </w:rPr>
        <w:t> </w:t>
      </w:r>
      <w:r>
        <w:rPr>
          <w:b/>
          <w:spacing w:val="-4"/>
          <w:sz w:val="15"/>
        </w:rPr>
        <w:t>Meeting</w:t>
      </w:r>
      <w:r>
        <w:rPr>
          <w:b/>
          <w:spacing w:val="-3"/>
          <w:sz w:val="15"/>
        </w:rPr>
        <w:t> </w:t>
      </w:r>
      <w:r>
        <w:rPr>
          <w:b/>
          <w:spacing w:val="-4"/>
          <w:sz w:val="15"/>
        </w:rPr>
        <w:t>of</w:t>
      </w:r>
      <w:r>
        <w:rPr>
          <w:b/>
          <w:spacing w:val="-3"/>
          <w:sz w:val="15"/>
        </w:rPr>
        <w:t> </w:t>
      </w:r>
      <w:r>
        <w:rPr>
          <w:b/>
          <w:spacing w:val="-4"/>
          <w:sz w:val="15"/>
        </w:rPr>
        <w:t>Stockholders</w:t>
      </w:r>
      <w:r>
        <w:rPr>
          <w:b/>
          <w:sz w:val="15"/>
        </w:rPr>
        <w:tab/>
      </w:r>
      <w:r>
        <w:rPr>
          <w:b/>
          <w:spacing w:val="-5"/>
          <w:sz w:val="15"/>
        </w:rPr>
        <w:t>Meeting</w:t>
      </w:r>
      <w:r>
        <w:rPr>
          <w:b/>
          <w:spacing w:val="-4"/>
          <w:sz w:val="15"/>
        </w:rPr>
        <w:t> </w:t>
      </w:r>
      <w:r>
        <w:rPr>
          <w:b/>
          <w:spacing w:val="-2"/>
          <w:sz w:val="15"/>
        </w:rPr>
        <w:t>Agenda</w:t>
      </w:r>
    </w:p>
    <w:p>
      <w:pPr>
        <w:spacing w:after="0"/>
        <w:jc w:val="left"/>
        <w:rPr>
          <w:sz w:val="15"/>
        </w:rPr>
        <w:sectPr>
          <w:headerReference w:type="default" r:id="rId17"/>
          <w:footerReference w:type="default" r:id="rId18"/>
          <w:pgSz w:w="12240" w:h="15840"/>
          <w:pgMar w:header="529" w:footer="1330" w:top="720" w:bottom="1520" w:left="480" w:right="460"/>
        </w:sectPr>
      </w:pPr>
    </w:p>
    <w:p>
      <w:pPr>
        <w:pStyle w:val="Heading2"/>
        <w:spacing w:line="388" w:lineRule="auto" w:before="107"/>
        <w:ind w:left="1414" w:right="550"/>
        <w:jc w:val="both"/>
      </w:pPr>
      <w:r>
        <w:rPr>
          <w:spacing w:val="-2"/>
          <w:w w:val="105"/>
        </w:rPr>
        <w:t>Date: </w:t>
      </w:r>
      <w:r>
        <w:rPr>
          <w:spacing w:val="-6"/>
          <w:w w:val="105"/>
        </w:rPr>
        <w:t>Time: </w:t>
      </w:r>
      <w:r>
        <w:rPr>
          <w:spacing w:val="-2"/>
        </w:rPr>
        <w:t>Place: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0"/>
        </w:rPr>
      </w:pPr>
    </w:p>
    <w:p>
      <w:pPr>
        <w:spacing w:line="388" w:lineRule="auto" w:before="0"/>
        <w:ind w:left="1414" w:right="-1" w:firstLine="0"/>
        <w:jc w:val="left"/>
        <w:rPr>
          <w:b/>
          <w:sz w:val="18"/>
        </w:rPr>
      </w:pPr>
      <w:r>
        <w:rPr>
          <w:b/>
          <w:spacing w:val="-6"/>
          <w:w w:val="105"/>
          <w:sz w:val="18"/>
        </w:rPr>
        <w:t>Record</w:t>
      </w:r>
      <w:r>
        <w:rPr>
          <w:b/>
          <w:spacing w:val="-9"/>
          <w:w w:val="105"/>
          <w:sz w:val="18"/>
        </w:rPr>
        <w:t> </w:t>
      </w:r>
      <w:r>
        <w:rPr>
          <w:b/>
          <w:spacing w:val="-6"/>
          <w:w w:val="105"/>
          <w:sz w:val="18"/>
        </w:rPr>
        <w:t>Date: </w:t>
      </w:r>
      <w:r>
        <w:rPr>
          <w:b/>
          <w:spacing w:val="-2"/>
          <w:w w:val="105"/>
          <w:sz w:val="18"/>
        </w:rPr>
        <w:t>Voting:</w:t>
      </w:r>
    </w:p>
    <w:p>
      <w:pPr>
        <w:pStyle w:val="BodyText"/>
        <w:spacing w:line="388" w:lineRule="auto" w:before="107"/>
        <w:ind w:left="282" w:right="1364"/>
      </w:pPr>
      <w:r>
        <w:rPr/>
        <w:br w:type="column"/>
      </w:r>
      <w:r>
        <w:rPr>
          <w:w w:val="105"/>
        </w:rPr>
        <w:t>Thursday, February 9, 2023 5:30 p.m. Mountain Time</w:t>
      </w:r>
    </w:p>
    <w:p>
      <w:pPr>
        <w:spacing w:line="259" w:lineRule="auto" w:before="0"/>
        <w:ind w:left="282" w:right="76" w:firstLine="0"/>
        <w:jc w:val="left"/>
        <w:rPr>
          <w:sz w:val="18"/>
        </w:rPr>
      </w:pPr>
      <w:r>
        <w:rPr>
          <w:w w:val="105"/>
          <w:sz w:val="18"/>
        </w:rPr>
        <w:t>The 2023 Annual Meeting can be accessed by </w:t>
      </w:r>
      <w:r>
        <w:rPr>
          <w:spacing w:val="-2"/>
          <w:w w:val="105"/>
          <w:sz w:val="18"/>
        </w:rPr>
        <w:t>visiting </w:t>
      </w:r>
      <w:hyperlink r:id="rId9">
        <w:r>
          <w:rPr>
            <w:i/>
            <w:spacing w:val="-2"/>
            <w:sz w:val="18"/>
          </w:rPr>
          <w:t>www.virtualshareholdermeeting.com/VREX2023</w:t>
        </w:r>
      </w:hyperlink>
      <w:r>
        <w:rPr>
          <w:i/>
          <w:spacing w:val="40"/>
          <w:w w:val="105"/>
          <w:sz w:val="18"/>
        </w:rPr>
        <w:t>  </w:t>
      </w:r>
      <w:r>
        <w:rPr>
          <w:w w:val="105"/>
          <w:sz w:val="18"/>
        </w:rPr>
        <w:t>and following the instructions found in the</w:t>
      </w:r>
      <w:r>
        <w:rPr>
          <w:spacing w:val="80"/>
          <w:w w:val="105"/>
          <w:sz w:val="18"/>
        </w:rPr>
        <w:t> </w:t>
      </w:r>
      <w:r>
        <w:rPr>
          <w:w w:val="105"/>
          <w:sz w:val="18"/>
        </w:rPr>
        <w:t>Notice of Internet Availability of Proxy</w:t>
      </w:r>
      <w:r>
        <w:rPr>
          <w:spacing w:val="80"/>
          <w:w w:val="105"/>
          <w:sz w:val="18"/>
        </w:rPr>
        <w:t> </w:t>
      </w:r>
      <w:r>
        <w:rPr>
          <w:w w:val="105"/>
          <w:sz w:val="18"/>
        </w:rPr>
        <w:t>Materials and this Proxy Statement.</w:t>
      </w:r>
    </w:p>
    <w:p>
      <w:pPr>
        <w:pStyle w:val="BodyText"/>
        <w:spacing w:before="155"/>
        <w:ind w:left="282"/>
      </w:pPr>
      <w:r>
        <w:rPr>
          <w:w w:val="105"/>
        </w:rPr>
        <w:t>December</w:t>
      </w:r>
      <w:r>
        <w:rPr>
          <w:spacing w:val="10"/>
          <w:w w:val="105"/>
        </w:rPr>
        <w:t> </w:t>
      </w:r>
      <w:r>
        <w:rPr>
          <w:w w:val="105"/>
        </w:rPr>
        <w:t>12,</w:t>
      </w:r>
      <w:r>
        <w:rPr>
          <w:spacing w:val="11"/>
          <w:w w:val="105"/>
        </w:rPr>
        <w:t> </w:t>
      </w:r>
      <w:r>
        <w:rPr>
          <w:spacing w:val="-4"/>
          <w:w w:val="105"/>
        </w:rPr>
        <w:t>2022</w:t>
      </w:r>
    </w:p>
    <w:p>
      <w:pPr>
        <w:pStyle w:val="BodyText"/>
        <w:spacing w:line="259" w:lineRule="auto" w:before="128"/>
        <w:ind w:left="282" w:right="76"/>
      </w:pPr>
      <w:r>
        <w:rPr>
          <w:w w:val="105"/>
        </w:rPr>
        <w:t>Stockholders as of the record date are entitled to vote. Each share of common stock is entitled to one vote for each director nominee and one vote for each of the proposals to be voted on.</w:t>
      </w:r>
    </w:p>
    <w:p>
      <w:pPr>
        <w:pStyle w:val="ListParagraph"/>
        <w:numPr>
          <w:ilvl w:val="0"/>
          <w:numId w:val="3"/>
        </w:numPr>
        <w:tabs>
          <w:tab w:pos="389" w:val="left" w:leader="none"/>
        </w:tabs>
        <w:spacing w:line="259" w:lineRule="auto" w:before="107" w:after="0"/>
        <w:ind w:left="388" w:right="1575" w:hanging="187"/>
        <w:jc w:val="left"/>
        <w:rPr>
          <w:sz w:val="18"/>
        </w:rPr>
      </w:pPr>
      <w:r>
        <w:rPr/>
        <w:br w:type="column"/>
      </w:r>
      <w:r>
        <w:rPr>
          <w:w w:val="105"/>
          <w:sz w:val="18"/>
        </w:rPr>
        <w:t>Election of seven directors to serve until the 2024 Annual Meeting of </w:t>
      </w:r>
      <w:r>
        <w:rPr>
          <w:spacing w:val="-2"/>
          <w:w w:val="105"/>
          <w:sz w:val="18"/>
        </w:rPr>
        <w:t>Stockholders</w:t>
      </w:r>
    </w:p>
    <w:p>
      <w:pPr>
        <w:pStyle w:val="ListParagraph"/>
        <w:numPr>
          <w:ilvl w:val="0"/>
          <w:numId w:val="3"/>
        </w:numPr>
        <w:tabs>
          <w:tab w:pos="389" w:val="left" w:leader="none"/>
        </w:tabs>
        <w:spacing w:line="259" w:lineRule="auto" w:before="154" w:after="0"/>
        <w:ind w:left="388" w:right="2181" w:hanging="187"/>
        <w:jc w:val="left"/>
        <w:rPr>
          <w:sz w:val="18"/>
        </w:rPr>
      </w:pPr>
      <w:r>
        <w:rPr>
          <w:w w:val="105"/>
          <w:sz w:val="18"/>
        </w:rPr>
        <w:t>Advisory vote on executive </w:t>
      </w:r>
      <w:r>
        <w:rPr>
          <w:spacing w:val="-2"/>
          <w:w w:val="105"/>
          <w:sz w:val="18"/>
        </w:rPr>
        <w:t>compensation</w:t>
      </w:r>
    </w:p>
    <w:p>
      <w:pPr>
        <w:pStyle w:val="ListParagraph"/>
        <w:numPr>
          <w:ilvl w:val="0"/>
          <w:numId w:val="3"/>
        </w:numPr>
        <w:tabs>
          <w:tab w:pos="389" w:val="left" w:leader="none"/>
        </w:tabs>
        <w:spacing w:line="259" w:lineRule="auto" w:before="154" w:after="0"/>
        <w:ind w:left="388" w:right="1513" w:hanging="187"/>
        <w:jc w:val="left"/>
        <w:rPr>
          <w:sz w:val="18"/>
        </w:rPr>
      </w:pPr>
      <w:r>
        <w:rPr>
          <w:w w:val="105"/>
          <w:sz w:val="18"/>
        </w:rPr>
        <w:t>Ratification of Deloitte as our independent registered public accounting firm for fiscal year 2023</w:t>
      </w:r>
    </w:p>
    <w:p>
      <w:pPr>
        <w:pStyle w:val="ListParagraph"/>
        <w:numPr>
          <w:ilvl w:val="0"/>
          <w:numId w:val="3"/>
        </w:numPr>
        <w:tabs>
          <w:tab w:pos="389" w:val="left" w:leader="none"/>
        </w:tabs>
        <w:spacing w:line="259" w:lineRule="auto" w:before="70" w:after="0"/>
        <w:ind w:left="388" w:right="1678" w:hanging="187"/>
        <w:jc w:val="left"/>
        <w:rPr>
          <w:sz w:val="18"/>
        </w:rPr>
      </w:pPr>
      <w:r>
        <w:rPr>
          <w:w w:val="105"/>
          <w:sz w:val="18"/>
        </w:rPr>
        <w:t>Transact any other business that properly comes before the</w:t>
      </w:r>
      <w:r>
        <w:rPr>
          <w:spacing w:val="-1"/>
          <w:w w:val="105"/>
          <w:sz w:val="18"/>
        </w:rPr>
        <w:t> </w:t>
      </w:r>
      <w:r>
        <w:rPr>
          <w:w w:val="105"/>
          <w:sz w:val="18"/>
        </w:rPr>
        <w:t>Annual </w:t>
      </w:r>
      <w:r>
        <w:rPr>
          <w:spacing w:val="-2"/>
          <w:w w:val="105"/>
          <w:sz w:val="18"/>
        </w:rPr>
        <w:t>Meeting</w:t>
      </w:r>
    </w:p>
    <w:p>
      <w:pPr>
        <w:spacing w:after="0" w:line="259" w:lineRule="auto"/>
        <w:jc w:val="left"/>
        <w:rPr>
          <w:sz w:val="18"/>
        </w:rPr>
        <w:sectPr>
          <w:type w:val="continuous"/>
          <w:pgSz w:w="12240" w:h="15840"/>
          <w:pgMar w:header="529" w:footer="1330" w:top="600" w:bottom="960" w:left="480" w:right="460"/>
          <w:cols w:num="3" w:equalWidth="0">
            <w:col w:w="2434" w:space="40"/>
            <w:col w:w="4067" w:space="39"/>
            <w:col w:w="4720"/>
          </w:cols>
        </w:sectPr>
      </w:pPr>
    </w:p>
    <w:p>
      <w:pPr>
        <w:pStyle w:val="BodyText"/>
        <w:spacing w:before="2"/>
        <w:rPr>
          <w:sz w:val="12"/>
        </w:rPr>
      </w:pPr>
    </w:p>
    <w:p>
      <w:pPr>
        <w:pStyle w:val="Heading2"/>
        <w:spacing w:before="99"/>
        <w:ind w:left="1414"/>
      </w:pPr>
      <w:r>
        <w:rPr>
          <w:spacing w:val="-2"/>
        </w:rPr>
        <w:t>Voting</w:t>
      </w:r>
      <w:r>
        <w:rPr>
          <w:spacing w:val="-9"/>
        </w:rPr>
        <w:t> </w:t>
      </w:r>
      <w:r>
        <w:rPr>
          <w:spacing w:val="-2"/>
        </w:rPr>
        <w:t>Matters</w:t>
      </w:r>
      <w:r>
        <w:rPr>
          <w:spacing w:val="-7"/>
        </w:rPr>
        <w:t> </w:t>
      </w:r>
      <w:r>
        <w:rPr>
          <w:spacing w:val="-2"/>
        </w:rPr>
        <w:t>and</w:t>
      </w:r>
      <w:r>
        <w:rPr>
          <w:spacing w:val="-10"/>
        </w:rPr>
        <w:t> </w:t>
      </w:r>
      <w:r>
        <w:rPr>
          <w:spacing w:val="-2"/>
        </w:rPr>
        <w:t>Vote</w:t>
      </w:r>
      <w:r>
        <w:rPr>
          <w:spacing w:val="-7"/>
        </w:rPr>
        <w:t> </w:t>
      </w:r>
      <w:r>
        <w:rPr>
          <w:spacing w:val="-2"/>
        </w:rPr>
        <w:t>Recommendation</w:t>
      </w:r>
    </w:p>
    <w:p>
      <w:pPr>
        <w:tabs>
          <w:tab w:pos="7703" w:val="left" w:leader="none"/>
        </w:tabs>
        <w:spacing w:before="170"/>
        <w:ind w:left="4002" w:right="0" w:firstLine="0"/>
        <w:jc w:val="left"/>
        <w:rPr>
          <w:b/>
          <w:sz w:val="15"/>
        </w:rPr>
      </w:pPr>
      <w:r>
        <w:rPr>
          <w:b/>
          <w:spacing w:val="-7"/>
          <w:sz w:val="15"/>
        </w:rPr>
        <w:t>Voting</w:t>
      </w:r>
      <w:r>
        <w:rPr>
          <w:b/>
          <w:spacing w:val="1"/>
          <w:sz w:val="15"/>
        </w:rPr>
        <w:t> </w:t>
      </w:r>
      <w:r>
        <w:rPr>
          <w:b/>
          <w:spacing w:val="-2"/>
          <w:sz w:val="15"/>
        </w:rPr>
        <w:t>Matter</w:t>
      </w:r>
      <w:r>
        <w:rPr>
          <w:b/>
          <w:sz w:val="15"/>
        </w:rPr>
        <w:tab/>
      </w:r>
      <w:r>
        <w:rPr>
          <w:b/>
          <w:spacing w:val="-4"/>
          <w:sz w:val="15"/>
        </w:rPr>
        <w:t>Board</w:t>
      </w:r>
      <w:r>
        <w:rPr>
          <w:b/>
          <w:spacing w:val="-3"/>
          <w:sz w:val="15"/>
        </w:rPr>
        <w:t> </w:t>
      </w:r>
      <w:r>
        <w:rPr>
          <w:b/>
          <w:spacing w:val="-4"/>
          <w:sz w:val="15"/>
        </w:rPr>
        <w:t>vote</w:t>
      </w:r>
      <w:r>
        <w:rPr>
          <w:b/>
          <w:spacing w:val="-3"/>
          <w:sz w:val="15"/>
        </w:rPr>
        <w:t> </w:t>
      </w:r>
      <w:r>
        <w:rPr>
          <w:b/>
          <w:spacing w:val="-4"/>
          <w:sz w:val="15"/>
        </w:rPr>
        <w:t>recommendation</w:t>
      </w:r>
    </w:p>
    <w:p>
      <w:pPr>
        <w:pStyle w:val="ListParagraph"/>
        <w:numPr>
          <w:ilvl w:val="1"/>
          <w:numId w:val="3"/>
        </w:numPr>
        <w:tabs>
          <w:tab w:pos="1861" w:val="left" w:leader="none"/>
          <w:tab w:pos="1862" w:val="left" w:leader="none"/>
          <w:tab w:pos="7229" w:val="left" w:leader="none"/>
        </w:tabs>
        <w:spacing w:line="240" w:lineRule="auto" w:before="107" w:after="0"/>
        <w:ind w:left="1861" w:right="0" w:hanging="448"/>
        <w:jc w:val="left"/>
        <w:rPr>
          <w:sz w:val="18"/>
        </w:rPr>
      </w:pPr>
      <w:r>
        <w:rPr>
          <w:w w:val="105"/>
          <w:sz w:val="18"/>
        </w:rPr>
        <w:t>Election</w:t>
      </w:r>
      <w:r>
        <w:rPr>
          <w:spacing w:val="11"/>
          <w:w w:val="105"/>
          <w:sz w:val="18"/>
        </w:rPr>
        <w:t> </w:t>
      </w:r>
      <w:r>
        <w:rPr>
          <w:w w:val="105"/>
          <w:sz w:val="18"/>
        </w:rPr>
        <w:t>of</w:t>
      </w:r>
      <w:r>
        <w:rPr>
          <w:spacing w:val="11"/>
          <w:w w:val="105"/>
          <w:sz w:val="18"/>
        </w:rPr>
        <w:t> </w:t>
      </w:r>
      <w:r>
        <w:rPr>
          <w:spacing w:val="-2"/>
          <w:w w:val="105"/>
          <w:sz w:val="18"/>
        </w:rPr>
        <w:t>directors</w:t>
      </w:r>
      <w:r>
        <w:rPr>
          <w:sz w:val="18"/>
        </w:rPr>
        <w:tab/>
      </w:r>
      <w:r>
        <w:rPr>
          <w:w w:val="105"/>
          <w:sz w:val="18"/>
        </w:rPr>
        <w:t>For</w:t>
      </w:r>
      <w:r>
        <w:rPr>
          <w:spacing w:val="11"/>
          <w:w w:val="105"/>
          <w:sz w:val="18"/>
        </w:rPr>
        <w:t> </w:t>
      </w:r>
      <w:r>
        <w:rPr>
          <w:w w:val="105"/>
          <w:sz w:val="18"/>
        </w:rPr>
        <w:t>each</w:t>
      </w:r>
      <w:r>
        <w:rPr>
          <w:spacing w:val="11"/>
          <w:w w:val="105"/>
          <w:sz w:val="18"/>
        </w:rPr>
        <w:t> </w:t>
      </w:r>
      <w:r>
        <w:rPr>
          <w:w w:val="105"/>
          <w:sz w:val="18"/>
        </w:rPr>
        <w:t>director</w:t>
      </w:r>
      <w:r>
        <w:rPr>
          <w:spacing w:val="11"/>
          <w:w w:val="105"/>
          <w:sz w:val="18"/>
        </w:rPr>
        <w:t> </w:t>
      </w:r>
      <w:r>
        <w:rPr>
          <w:spacing w:val="-2"/>
          <w:w w:val="105"/>
          <w:sz w:val="18"/>
        </w:rPr>
        <w:t>nominee</w:t>
      </w:r>
    </w:p>
    <w:p>
      <w:pPr>
        <w:pStyle w:val="ListParagraph"/>
        <w:numPr>
          <w:ilvl w:val="1"/>
          <w:numId w:val="3"/>
        </w:numPr>
        <w:tabs>
          <w:tab w:pos="1861" w:val="left" w:leader="none"/>
          <w:tab w:pos="1862" w:val="left" w:leader="none"/>
          <w:tab w:pos="7229" w:val="left" w:leader="none"/>
        </w:tabs>
        <w:spacing w:line="240" w:lineRule="auto" w:before="73" w:after="0"/>
        <w:ind w:left="1861" w:right="0" w:hanging="448"/>
        <w:jc w:val="left"/>
        <w:rPr>
          <w:sz w:val="18"/>
        </w:rPr>
      </w:pPr>
      <w:r>
        <w:rPr>
          <w:w w:val="105"/>
          <w:sz w:val="18"/>
        </w:rPr>
        <w:t>Advisory</w:t>
      </w:r>
      <w:r>
        <w:rPr>
          <w:spacing w:val="12"/>
          <w:w w:val="105"/>
          <w:sz w:val="18"/>
        </w:rPr>
        <w:t> </w:t>
      </w:r>
      <w:r>
        <w:rPr>
          <w:w w:val="105"/>
          <w:sz w:val="18"/>
        </w:rPr>
        <w:t>vote</w:t>
      </w:r>
      <w:r>
        <w:rPr>
          <w:spacing w:val="12"/>
          <w:w w:val="105"/>
          <w:sz w:val="18"/>
        </w:rPr>
        <w:t> </w:t>
      </w:r>
      <w:r>
        <w:rPr>
          <w:w w:val="105"/>
          <w:sz w:val="18"/>
        </w:rPr>
        <w:t>to</w:t>
      </w:r>
      <w:r>
        <w:rPr>
          <w:spacing w:val="12"/>
          <w:w w:val="105"/>
          <w:sz w:val="18"/>
        </w:rPr>
        <w:t> </w:t>
      </w:r>
      <w:r>
        <w:rPr>
          <w:w w:val="105"/>
          <w:sz w:val="18"/>
        </w:rPr>
        <w:t>approve</w:t>
      </w:r>
      <w:r>
        <w:rPr>
          <w:spacing w:val="12"/>
          <w:w w:val="105"/>
          <w:sz w:val="18"/>
        </w:rPr>
        <w:t> </w:t>
      </w:r>
      <w:r>
        <w:rPr>
          <w:w w:val="105"/>
          <w:sz w:val="18"/>
        </w:rPr>
        <w:t>executive</w:t>
      </w:r>
      <w:r>
        <w:rPr>
          <w:spacing w:val="12"/>
          <w:w w:val="105"/>
          <w:sz w:val="18"/>
        </w:rPr>
        <w:t> </w:t>
      </w:r>
      <w:r>
        <w:rPr>
          <w:spacing w:val="-2"/>
          <w:w w:val="105"/>
          <w:sz w:val="18"/>
        </w:rPr>
        <w:t>compensation</w:t>
      </w:r>
      <w:r>
        <w:rPr>
          <w:sz w:val="18"/>
        </w:rPr>
        <w:tab/>
      </w:r>
      <w:r>
        <w:rPr>
          <w:spacing w:val="-5"/>
          <w:w w:val="105"/>
          <w:sz w:val="18"/>
        </w:rPr>
        <w:t>For</w:t>
      </w:r>
    </w:p>
    <w:p>
      <w:pPr>
        <w:spacing w:after="0" w:line="240" w:lineRule="auto"/>
        <w:jc w:val="left"/>
        <w:rPr>
          <w:sz w:val="18"/>
        </w:rPr>
        <w:sectPr>
          <w:type w:val="continuous"/>
          <w:pgSz w:w="12240" w:h="15840"/>
          <w:pgMar w:header="529" w:footer="1330" w:top="600" w:bottom="960" w:left="480" w:right="460"/>
        </w:sectPr>
      </w:pPr>
    </w:p>
    <w:p>
      <w:pPr>
        <w:pStyle w:val="ListParagraph"/>
        <w:numPr>
          <w:ilvl w:val="1"/>
          <w:numId w:val="3"/>
        </w:numPr>
        <w:tabs>
          <w:tab w:pos="1861" w:val="left" w:leader="none"/>
          <w:tab w:pos="1862" w:val="left" w:leader="none"/>
        </w:tabs>
        <w:spacing w:line="259" w:lineRule="auto" w:before="72" w:after="0"/>
        <w:ind w:left="1861" w:right="0" w:hanging="448"/>
        <w:jc w:val="left"/>
        <w:rPr>
          <w:sz w:val="18"/>
        </w:rPr>
      </w:pPr>
      <w:r>
        <w:rPr>
          <w:w w:val="105"/>
          <w:sz w:val="18"/>
        </w:rPr>
        <w:t>Ratification of Deloitte as our independent registered public accounting firm for fiscal year 2023</w:t>
      </w:r>
    </w:p>
    <w:p>
      <w:pPr>
        <w:spacing w:before="72"/>
        <w:ind w:left="628" w:right="0" w:firstLine="0"/>
        <w:jc w:val="left"/>
        <w:rPr>
          <w:sz w:val="18"/>
        </w:rPr>
      </w:pPr>
      <w:r>
        <w:rPr/>
        <w:br w:type="column"/>
      </w:r>
      <w:r>
        <w:rPr>
          <w:spacing w:val="-5"/>
          <w:w w:val="105"/>
          <w:sz w:val="18"/>
        </w:rPr>
        <w:t>For</w:t>
      </w:r>
    </w:p>
    <w:p>
      <w:pPr>
        <w:spacing w:after="0"/>
        <w:jc w:val="left"/>
        <w:rPr>
          <w:sz w:val="18"/>
        </w:rPr>
        <w:sectPr>
          <w:type w:val="continuous"/>
          <w:pgSz w:w="12240" w:h="15840"/>
          <w:pgMar w:header="529" w:footer="1330" w:top="600" w:bottom="960" w:left="480" w:right="460"/>
          <w:cols w:num="2" w:equalWidth="0">
            <w:col w:w="6562" w:space="40"/>
            <w:col w:w="4698"/>
          </w:cols>
        </w:sectPr>
      </w:pPr>
    </w:p>
    <w:p>
      <w:pPr>
        <w:pStyle w:val="BodyText"/>
        <w:spacing w:before="5"/>
        <w:rPr>
          <w:sz w:val="13"/>
        </w:rPr>
      </w:pPr>
      <w:r>
        <w:rPr/>
        <w:pict>
          <v:group style="position:absolute;margin-left:82.822411pt;margin-top:62.551456pt;width:448.8pt;height:648pt;mso-position-horizontal-relative:page;mso-position-vertical-relative:page;z-index:-20513792" id="docshapegroup34" coordorigin="1656,1251" coordsize="8976,12960">
            <v:rect style="position:absolute;left:1663;top:1258;width:8962;height:12946" id="docshape35" filled="false" stroked="true" strokeweight=".698992pt" strokecolor="#000000">
              <v:stroke dashstyle="solid"/>
            </v:rect>
            <v:shape style="position:absolute;left:2341;top:3599;width:8053;height:4320" id="docshape36" coordorigin="2341,3600" coordsize="8053,4320" path="m7039,3600l3236,3600,3236,3614,7039,3614,7039,3600xm7486,7905l2341,7905,2341,7919,7486,7919,7486,7905xm10394,7905l7710,7905,7710,7919,10394,7919,10394,7905xm10394,3600l7262,3600,7262,3614,10394,3614,10394,3600xe" filled="true" fillcolor="#000000" stroked="false">
              <v:path arrowok="t"/>
              <v:fill type="solid"/>
            </v:shape>
            <w10:wrap type="none"/>
          </v:group>
        </w:pict>
      </w:r>
      <w:r>
        <w:rPr/>
        <w:pict>
          <v:group style="position:absolute;margin-left:28.999998pt;margin-top:746.86499pt;width:555pt;height:1.4pt;mso-position-horizontal-relative:page;mso-position-vertical-relative:page;z-index:15737344" id="docshapegroup37" coordorigin="580,14937" coordsize="11100,28">
            <v:rect style="position:absolute;left:580;top:14937;width:11100;height:14" id="docshape38" filled="true" fillcolor="#999999" stroked="false">
              <v:fill type="solid"/>
            </v:rect>
            <v:shape style="position:absolute;left:579;top:14937;width:11100;height:28" id="docshape39" coordorigin="580,14937" coordsize="11100,28" path="m11680,14937l11666,14951,580,14951,580,14965,11666,14965,11680,14965,11680,14951,11680,14937xe" filled="true" fillcolor="#ededed" stroked="false">
              <v:path arrowok="t"/>
              <v:fill type="solid"/>
            </v:shape>
            <v:shape style="position:absolute;left:580;top:14937;width:14;height:28" id="docshape40" coordorigin="580,14937" coordsize="14,28" path="m580,14965l580,14937,594,14937,594,14951,580,14965xe" filled="true" fillcolor="#999999" stroked="false">
              <v:path arrowok="t"/>
              <v:fill type="solid"/>
            </v:shape>
            <w10:wrap type="none"/>
          </v:group>
        </w:pict>
      </w:r>
    </w:p>
    <w:p>
      <w:pPr>
        <w:pStyle w:val="Heading2"/>
        <w:spacing w:before="98"/>
        <w:ind w:left="1414"/>
      </w:pPr>
      <w:r>
        <w:rPr>
          <w:spacing w:val="-2"/>
        </w:rPr>
        <w:t>Our</w:t>
      </w:r>
      <w:r>
        <w:rPr>
          <w:spacing w:val="-5"/>
        </w:rPr>
        <w:t> </w:t>
      </w:r>
      <w:r>
        <w:rPr>
          <w:spacing w:val="-2"/>
        </w:rPr>
        <w:t>Director</w:t>
      </w:r>
      <w:r>
        <w:rPr>
          <w:spacing w:val="-4"/>
        </w:rPr>
        <w:t> </w:t>
      </w:r>
      <w:r>
        <w:rPr>
          <w:spacing w:val="-2"/>
        </w:rPr>
        <w:t>Nominees</w:t>
      </w:r>
    </w:p>
    <w:p>
      <w:pPr>
        <w:pStyle w:val="BodyText"/>
        <w:spacing w:before="10"/>
        <w:rPr>
          <w:b/>
          <w:sz w:val="20"/>
        </w:rPr>
      </w:pPr>
    </w:p>
    <w:p>
      <w:pPr>
        <w:spacing w:before="0"/>
        <w:ind w:left="1414" w:right="0" w:firstLine="0"/>
        <w:jc w:val="left"/>
        <w:rPr>
          <w:i/>
          <w:sz w:val="18"/>
        </w:rPr>
      </w:pPr>
      <w:r>
        <w:rPr>
          <w:i/>
          <w:w w:val="105"/>
          <w:sz w:val="18"/>
        </w:rPr>
        <w:t>See</w:t>
      </w:r>
      <w:r>
        <w:rPr>
          <w:i/>
          <w:spacing w:val="8"/>
          <w:w w:val="105"/>
          <w:sz w:val="18"/>
        </w:rPr>
        <w:t> </w:t>
      </w:r>
      <w:r>
        <w:rPr>
          <w:i/>
          <w:w w:val="105"/>
          <w:sz w:val="18"/>
        </w:rPr>
        <w:t>Proposal</w:t>
      </w:r>
      <w:r>
        <w:rPr>
          <w:i/>
          <w:spacing w:val="8"/>
          <w:w w:val="105"/>
          <w:sz w:val="18"/>
        </w:rPr>
        <w:t> </w:t>
      </w:r>
      <w:r>
        <w:rPr>
          <w:i/>
          <w:w w:val="105"/>
          <w:sz w:val="18"/>
        </w:rPr>
        <w:t>One</w:t>
      </w:r>
      <w:r>
        <w:rPr>
          <w:i/>
          <w:spacing w:val="8"/>
          <w:w w:val="105"/>
          <w:sz w:val="18"/>
        </w:rPr>
        <w:t> </w:t>
      </w:r>
      <w:r>
        <w:rPr>
          <w:i/>
          <w:w w:val="105"/>
          <w:sz w:val="18"/>
        </w:rPr>
        <w:t>“Election</w:t>
      </w:r>
      <w:r>
        <w:rPr>
          <w:i/>
          <w:spacing w:val="9"/>
          <w:w w:val="105"/>
          <w:sz w:val="18"/>
        </w:rPr>
        <w:t> </w:t>
      </w:r>
      <w:r>
        <w:rPr>
          <w:i/>
          <w:w w:val="105"/>
          <w:sz w:val="18"/>
        </w:rPr>
        <w:t>of</w:t>
      </w:r>
      <w:r>
        <w:rPr>
          <w:i/>
          <w:spacing w:val="8"/>
          <w:w w:val="105"/>
          <w:sz w:val="18"/>
        </w:rPr>
        <w:t> </w:t>
      </w:r>
      <w:r>
        <w:rPr>
          <w:i/>
          <w:w w:val="105"/>
          <w:sz w:val="18"/>
        </w:rPr>
        <w:t>Directors”</w:t>
      </w:r>
      <w:r>
        <w:rPr>
          <w:i/>
          <w:spacing w:val="8"/>
          <w:w w:val="105"/>
          <w:sz w:val="18"/>
        </w:rPr>
        <w:t> </w:t>
      </w:r>
      <w:r>
        <w:rPr>
          <w:i/>
          <w:w w:val="105"/>
          <w:sz w:val="18"/>
        </w:rPr>
        <w:t>for</w:t>
      </w:r>
      <w:r>
        <w:rPr>
          <w:i/>
          <w:spacing w:val="9"/>
          <w:w w:val="105"/>
          <w:sz w:val="18"/>
        </w:rPr>
        <w:t> </w:t>
      </w:r>
      <w:r>
        <w:rPr>
          <w:i/>
          <w:w w:val="105"/>
          <w:sz w:val="18"/>
        </w:rPr>
        <w:t>more</w:t>
      </w:r>
      <w:r>
        <w:rPr>
          <w:i/>
          <w:spacing w:val="8"/>
          <w:w w:val="105"/>
          <w:sz w:val="18"/>
        </w:rPr>
        <w:t> </w:t>
      </w:r>
      <w:r>
        <w:rPr>
          <w:i/>
          <w:spacing w:val="-2"/>
          <w:w w:val="105"/>
          <w:sz w:val="18"/>
        </w:rPr>
        <w:t>information.</w:t>
      </w:r>
    </w:p>
    <w:p>
      <w:pPr>
        <w:pStyle w:val="BodyText"/>
        <w:spacing w:line="259" w:lineRule="auto" w:before="157"/>
        <w:ind w:left="1414" w:right="1551" w:firstLine="372"/>
      </w:pPr>
      <w:r>
        <w:rPr>
          <w:w w:val="105"/>
        </w:rPr>
        <w:t>The following table provides summary information about each director nominee as of December 12, </w:t>
      </w:r>
      <w:r>
        <w:rPr>
          <w:spacing w:val="-2"/>
          <w:w w:val="105"/>
        </w:rPr>
        <w:t>2022:</w:t>
      </w:r>
    </w:p>
    <w:p>
      <w:pPr>
        <w:pStyle w:val="BodyText"/>
        <w:spacing w:before="10"/>
      </w:pPr>
    </w:p>
    <w:tbl>
      <w:tblPr>
        <w:tblW w:w="0" w:type="auto"/>
        <w:jc w:val="left"/>
        <w:tblInd w:w="1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0"/>
        <w:gridCol w:w="223"/>
        <w:gridCol w:w="251"/>
        <w:gridCol w:w="223"/>
        <w:gridCol w:w="545"/>
        <w:gridCol w:w="223"/>
        <w:gridCol w:w="2460"/>
        <w:gridCol w:w="223"/>
        <w:gridCol w:w="447"/>
        <w:gridCol w:w="223"/>
        <w:gridCol w:w="251"/>
        <w:gridCol w:w="223"/>
        <w:gridCol w:w="265"/>
        <w:gridCol w:w="223"/>
        <w:gridCol w:w="251"/>
      </w:tblGrid>
      <w:tr>
        <w:trPr>
          <w:trHeight w:val="551" w:hRule="atLeast"/>
        </w:trPr>
        <w:tc>
          <w:tcPr>
            <w:tcW w:w="2460" w:type="dxa"/>
            <w:tcBorders>
              <w:bottom w:val="single" w:sz="6" w:space="0" w:color="000000"/>
            </w:tcBorders>
          </w:tcPr>
          <w:p>
            <w:pPr>
              <w:pStyle w:val="TableParagraph"/>
              <w:rPr>
                <w:sz w:val="16"/>
              </w:rPr>
            </w:pPr>
          </w:p>
          <w:p>
            <w:pPr>
              <w:pStyle w:val="TableParagraph"/>
              <w:spacing w:before="6"/>
              <w:rPr>
                <w:sz w:val="12"/>
              </w:rPr>
            </w:pPr>
          </w:p>
          <w:p>
            <w:pPr>
              <w:pStyle w:val="TableParagraph"/>
              <w:rPr>
                <w:b/>
                <w:sz w:val="15"/>
              </w:rPr>
            </w:pPr>
            <w:r>
              <w:rPr>
                <w:b/>
                <w:spacing w:val="-4"/>
                <w:sz w:val="15"/>
              </w:rPr>
              <w:t>Name</w:t>
            </w:r>
          </w:p>
        </w:tc>
        <w:tc>
          <w:tcPr>
            <w:tcW w:w="223" w:type="dxa"/>
          </w:tcPr>
          <w:p>
            <w:pPr>
              <w:pStyle w:val="TableParagraph"/>
              <w:rPr>
                <w:sz w:val="18"/>
              </w:rPr>
            </w:pPr>
          </w:p>
        </w:tc>
        <w:tc>
          <w:tcPr>
            <w:tcW w:w="251" w:type="dxa"/>
            <w:tcBorders>
              <w:bottom w:val="single" w:sz="6" w:space="0" w:color="000000"/>
            </w:tcBorders>
          </w:tcPr>
          <w:p>
            <w:pPr>
              <w:pStyle w:val="TableParagraph"/>
              <w:rPr>
                <w:sz w:val="16"/>
              </w:rPr>
            </w:pPr>
          </w:p>
          <w:p>
            <w:pPr>
              <w:pStyle w:val="TableParagraph"/>
              <w:spacing w:before="6"/>
              <w:rPr>
                <w:sz w:val="12"/>
              </w:rPr>
            </w:pPr>
          </w:p>
          <w:p>
            <w:pPr>
              <w:pStyle w:val="TableParagraph"/>
              <w:ind w:left="9" w:right="-15"/>
              <w:jc w:val="center"/>
              <w:rPr>
                <w:b/>
                <w:sz w:val="15"/>
              </w:rPr>
            </w:pPr>
            <w:r>
              <w:rPr>
                <w:b/>
                <w:spacing w:val="-5"/>
                <w:sz w:val="15"/>
              </w:rPr>
              <w:t>Age</w:t>
            </w:r>
          </w:p>
        </w:tc>
        <w:tc>
          <w:tcPr>
            <w:tcW w:w="223" w:type="dxa"/>
          </w:tcPr>
          <w:p>
            <w:pPr>
              <w:pStyle w:val="TableParagraph"/>
              <w:rPr>
                <w:sz w:val="18"/>
              </w:rPr>
            </w:pPr>
          </w:p>
        </w:tc>
        <w:tc>
          <w:tcPr>
            <w:tcW w:w="545" w:type="dxa"/>
            <w:tcBorders>
              <w:bottom w:val="single" w:sz="6" w:space="0" w:color="000000"/>
            </w:tcBorders>
          </w:tcPr>
          <w:p>
            <w:pPr>
              <w:pStyle w:val="TableParagraph"/>
              <w:spacing w:before="3"/>
              <w:rPr>
                <w:sz w:val="14"/>
              </w:rPr>
            </w:pPr>
          </w:p>
          <w:p>
            <w:pPr>
              <w:pStyle w:val="TableParagraph"/>
              <w:spacing w:line="232" w:lineRule="auto"/>
              <w:ind w:left="127" w:hanging="106"/>
              <w:rPr>
                <w:b/>
                <w:sz w:val="15"/>
              </w:rPr>
            </w:pPr>
            <w:r>
              <w:rPr>
                <w:b/>
                <w:spacing w:val="-6"/>
                <w:sz w:val="15"/>
              </w:rPr>
              <w:t>Director</w:t>
            </w:r>
            <w:r>
              <w:rPr>
                <w:b/>
                <w:spacing w:val="40"/>
                <w:sz w:val="15"/>
              </w:rPr>
              <w:t> </w:t>
            </w:r>
            <w:r>
              <w:rPr>
                <w:b/>
                <w:spacing w:val="-2"/>
                <w:sz w:val="15"/>
              </w:rPr>
              <w:t>since</w:t>
            </w:r>
          </w:p>
        </w:tc>
        <w:tc>
          <w:tcPr>
            <w:tcW w:w="223" w:type="dxa"/>
          </w:tcPr>
          <w:p>
            <w:pPr>
              <w:pStyle w:val="TableParagraph"/>
              <w:rPr>
                <w:sz w:val="18"/>
              </w:rPr>
            </w:pPr>
          </w:p>
        </w:tc>
        <w:tc>
          <w:tcPr>
            <w:tcW w:w="2460" w:type="dxa"/>
            <w:tcBorders>
              <w:bottom w:val="single" w:sz="6" w:space="0" w:color="000000"/>
            </w:tcBorders>
          </w:tcPr>
          <w:p>
            <w:pPr>
              <w:pStyle w:val="TableParagraph"/>
              <w:rPr>
                <w:sz w:val="16"/>
              </w:rPr>
            </w:pPr>
          </w:p>
          <w:p>
            <w:pPr>
              <w:pStyle w:val="TableParagraph"/>
              <w:spacing w:before="6"/>
              <w:rPr>
                <w:sz w:val="12"/>
              </w:rPr>
            </w:pPr>
          </w:p>
          <w:p>
            <w:pPr>
              <w:pStyle w:val="TableParagraph"/>
              <w:ind w:left="853" w:right="844"/>
              <w:jc w:val="center"/>
              <w:rPr>
                <w:b/>
                <w:sz w:val="15"/>
              </w:rPr>
            </w:pPr>
            <w:r>
              <w:rPr>
                <w:b/>
                <w:spacing w:val="-2"/>
                <w:sz w:val="15"/>
              </w:rPr>
              <w:t>Occupation</w:t>
            </w:r>
          </w:p>
        </w:tc>
        <w:tc>
          <w:tcPr>
            <w:tcW w:w="223" w:type="dxa"/>
          </w:tcPr>
          <w:p>
            <w:pPr>
              <w:pStyle w:val="TableParagraph"/>
              <w:rPr>
                <w:sz w:val="18"/>
              </w:rPr>
            </w:pPr>
          </w:p>
        </w:tc>
        <w:tc>
          <w:tcPr>
            <w:tcW w:w="447" w:type="dxa"/>
            <w:tcBorders>
              <w:bottom w:val="single" w:sz="6" w:space="0" w:color="000000"/>
            </w:tcBorders>
          </w:tcPr>
          <w:p>
            <w:pPr>
              <w:pStyle w:val="TableParagraph"/>
              <w:spacing w:line="232" w:lineRule="auto"/>
              <w:ind w:left="17" w:right="3" w:firstLine="27"/>
              <w:jc w:val="both"/>
              <w:rPr>
                <w:b/>
                <w:sz w:val="15"/>
              </w:rPr>
            </w:pPr>
            <w:r>
              <w:rPr>
                <w:b/>
                <w:spacing w:val="-2"/>
                <w:sz w:val="15"/>
              </w:rPr>
              <w:t>Other</w:t>
            </w:r>
            <w:r>
              <w:rPr>
                <w:b/>
                <w:spacing w:val="40"/>
                <w:sz w:val="15"/>
              </w:rPr>
              <w:t> </w:t>
            </w:r>
            <w:r>
              <w:rPr>
                <w:b/>
                <w:spacing w:val="-2"/>
                <w:sz w:val="15"/>
              </w:rPr>
              <w:t>public</w:t>
            </w:r>
            <w:r>
              <w:rPr>
                <w:b/>
                <w:spacing w:val="40"/>
                <w:sz w:val="15"/>
              </w:rPr>
              <w:t> </w:t>
            </w:r>
            <w:r>
              <w:rPr>
                <w:b/>
                <w:spacing w:val="-6"/>
                <w:sz w:val="15"/>
              </w:rPr>
              <w:t>boards</w:t>
            </w:r>
          </w:p>
        </w:tc>
        <w:tc>
          <w:tcPr>
            <w:tcW w:w="223" w:type="dxa"/>
          </w:tcPr>
          <w:p>
            <w:pPr>
              <w:pStyle w:val="TableParagraph"/>
              <w:rPr>
                <w:sz w:val="18"/>
              </w:rPr>
            </w:pPr>
          </w:p>
        </w:tc>
        <w:tc>
          <w:tcPr>
            <w:tcW w:w="251" w:type="dxa"/>
            <w:tcBorders>
              <w:bottom w:val="single" w:sz="6" w:space="0" w:color="000000"/>
            </w:tcBorders>
          </w:tcPr>
          <w:p>
            <w:pPr>
              <w:pStyle w:val="TableParagraph"/>
              <w:rPr>
                <w:sz w:val="16"/>
              </w:rPr>
            </w:pPr>
          </w:p>
          <w:p>
            <w:pPr>
              <w:pStyle w:val="TableParagraph"/>
              <w:spacing w:before="6"/>
              <w:rPr>
                <w:sz w:val="12"/>
              </w:rPr>
            </w:pPr>
          </w:p>
          <w:p>
            <w:pPr>
              <w:pStyle w:val="TableParagraph"/>
              <w:ind w:left="28"/>
              <w:rPr>
                <w:b/>
                <w:sz w:val="15"/>
              </w:rPr>
            </w:pPr>
            <w:r>
              <w:rPr>
                <w:b/>
                <w:spacing w:val="-5"/>
                <w:sz w:val="15"/>
              </w:rPr>
              <w:t>AC</w:t>
            </w:r>
          </w:p>
        </w:tc>
        <w:tc>
          <w:tcPr>
            <w:tcW w:w="223" w:type="dxa"/>
          </w:tcPr>
          <w:p>
            <w:pPr>
              <w:pStyle w:val="TableParagraph"/>
              <w:rPr>
                <w:sz w:val="18"/>
              </w:rPr>
            </w:pPr>
          </w:p>
        </w:tc>
        <w:tc>
          <w:tcPr>
            <w:tcW w:w="265" w:type="dxa"/>
            <w:tcBorders>
              <w:bottom w:val="single" w:sz="6" w:space="0" w:color="000000"/>
            </w:tcBorders>
          </w:tcPr>
          <w:p>
            <w:pPr>
              <w:pStyle w:val="TableParagraph"/>
              <w:rPr>
                <w:sz w:val="16"/>
              </w:rPr>
            </w:pPr>
          </w:p>
          <w:p>
            <w:pPr>
              <w:pStyle w:val="TableParagraph"/>
              <w:spacing w:before="6"/>
              <w:rPr>
                <w:sz w:val="12"/>
              </w:rPr>
            </w:pPr>
          </w:p>
          <w:p>
            <w:pPr>
              <w:pStyle w:val="TableParagraph"/>
              <w:ind w:left="34"/>
              <w:rPr>
                <w:b/>
                <w:sz w:val="15"/>
              </w:rPr>
            </w:pPr>
            <w:r>
              <w:rPr>
                <w:b/>
                <w:spacing w:val="-5"/>
                <w:sz w:val="15"/>
              </w:rPr>
              <w:t>CC</w:t>
            </w:r>
          </w:p>
        </w:tc>
        <w:tc>
          <w:tcPr>
            <w:tcW w:w="223" w:type="dxa"/>
          </w:tcPr>
          <w:p>
            <w:pPr>
              <w:pStyle w:val="TableParagraph"/>
              <w:rPr>
                <w:sz w:val="18"/>
              </w:rPr>
            </w:pPr>
          </w:p>
        </w:tc>
        <w:tc>
          <w:tcPr>
            <w:tcW w:w="251" w:type="dxa"/>
            <w:tcBorders>
              <w:bottom w:val="single" w:sz="6" w:space="0" w:color="000000"/>
            </w:tcBorders>
          </w:tcPr>
          <w:p>
            <w:pPr>
              <w:pStyle w:val="TableParagraph"/>
              <w:rPr>
                <w:sz w:val="16"/>
              </w:rPr>
            </w:pPr>
          </w:p>
          <w:p>
            <w:pPr>
              <w:pStyle w:val="TableParagraph"/>
              <w:spacing w:before="6"/>
              <w:rPr>
                <w:sz w:val="12"/>
              </w:rPr>
            </w:pPr>
          </w:p>
          <w:p>
            <w:pPr>
              <w:pStyle w:val="TableParagraph"/>
              <w:ind w:left="26"/>
              <w:rPr>
                <w:b/>
                <w:sz w:val="15"/>
              </w:rPr>
            </w:pPr>
            <w:r>
              <w:rPr>
                <w:b/>
                <w:spacing w:val="-5"/>
                <w:sz w:val="15"/>
              </w:rPr>
              <w:t>NC</w:t>
            </w:r>
          </w:p>
        </w:tc>
      </w:tr>
      <w:tr>
        <w:trPr>
          <w:trHeight w:val="972" w:hRule="atLeast"/>
        </w:trPr>
        <w:tc>
          <w:tcPr>
            <w:tcW w:w="2460" w:type="dxa"/>
            <w:tcBorders>
              <w:top w:val="single" w:sz="6" w:space="0" w:color="000000"/>
            </w:tcBorders>
          </w:tcPr>
          <w:p>
            <w:pPr>
              <w:pStyle w:val="TableParagraph"/>
              <w:spacing w:before="41"/>
              <w:rPr>
                <w:sz w:val="18"/>
              </w:rPr>
            </w:pPr>
            <w:r>
              <w:rPr>
                <w:w w:val="105"/>
                <w:sz w:val="18"/>
              </w:rPr>
              <w:t>Kathleen</w:t>
            </w:r>
            <w:r>
              <w:rPr>
                <w:spacing w:val="11"/>
                <w:w w:val="105"/>
                <w:sz w:val="18"/>
              </w:rPr>
              <w:t> </w:t>
            </w:r>
            <w:r>
              <w:rPr>
                <w:w w:val="105"/>
                <w:sz w:val="18"/>
              </w:rPr>
              <w:t>L.</w:t>
            </w:r>
            <w:r>
              <w:rPr>
                <w:spacing w:val="12"/>
                <w:w w:val="105"/>
                <w:sz w:val="18"/>
              </w:rPr>
              <w:t> </w:t>
            </w:r>
            <w:r>
              <w:rPr>
                <w:w w:val="105"/>
                <w:sz w:val="18"/>
              </w:rPr>
              <w:t>Bardwell</w:t>
            </w:r>
            <w:r>
              <w:rPr>
                <w:spacing w:val="12"/>
                <w:w w:val="105"/>
                <w:sz w:val="18"/>
              </w:rPr>
              <w:t> </w:t>
            </w:r>
            <w:r>
              <w:rPr>
                <w:spacing w:val="-2"/>
                <w:w w:val="105"/>
                <w:sz w:val="18"/>
                <w:vertAlign w:val="superscript"/>
              </w:rPr>
              <w:t>(FE)(I)</w:t>
            </w:r>
          </w:p>
        </w:tc>
        <w:tc>
          <w:tcPr>
            <w:tcW w:w="223" w:type="dxa"/>
          </w:tcPr>
          <w:p>
            <w:pPr>
              <w:pStyle w:val="TableParagraph"/>
              <w:rPr>
                <w:sz w:val="18"/>
              </w:rPr>
            </w:pPr>
          </w:p>
        </w:tc>
        <w:tc>
          <w:tcPr>
            <w:tcW w:w="251" w:type="dxa"/>
            <w:tcBorders>
              <w:top w:val="single" w:sz="6" w:space="0" w:color="000000"/>
            </w:tcBorders>
          </w:tcPr>
          <w:p>
            <w:pPr>
              <w:pStyle w:val="TableParagraph"/>
              <w:spacing w:before="41"/>
              <w:ind w:left="9" w:right="6"/>
              <w:jc w:val="center"/>
              <w:rPr>
                <w:sz w:val="18"/>
              </w:rPr>
            </w:pPr>
            <w:r>
              <w:rPr>
                <w:spacing w:val="-5"/>
                <w:w w:val="105"/>
                <w:sz w:val="18"/>
              </w:rPr>
              <w:t>66</w:t>
            </w:r>
          </w:p>
        </w:tc>
        <w:tc>
          <w:tcPr>
            <w:tcW w:w="223" w:type="dxa"/>
          </w:tcPr>
          <w:p>
            <w:pPr>
              <w:pStyle w:val="TableParagraph"/>
              <w:rPr>
                <w:sz w:val="18"/>
              </w:rPr>
            </w:pPr>
          </w:p>
        </w:tc>
        <w:tc>
          <w:tcPr>
            <w:tcW w:w="545" w:type="dxa"/>
            <w:tcBorders>
              <w:top w:val="single" w:sz="6" w:space="0" w:color="000000"/>
            </w:tcBorders>
          </w:tcPr>
          <w:p>
            <w:pPr>
              <w:pStyle w:val="TableParagraph"/>
              <w:spacing w:before="41"/>
              <w:ind w:left="21" w:right="16"/>
              <w:jc w:val="center"/>
              <w:rPr>
                <w:sz w:val="18"/>
              </w:rPr>
            </w:pPr>
            <w:r>
              <w:rPr>
                <w:spacing w:val="-4"/>
                <w:w w:val="105"/>
                <w:sz w:val="18"/>
              </w:rPr>
              <w:t>2022</w:t>
            </w:r>
          </w:p>
        </w:tc>
        <w:tc>
          <w:tcPr>
            <w:tcW w:w="223" w:type="dxa"/>
          </w:tcPr>
          <w:p>
            <w:pPr>
              <w:pStyle w:val="TableParagraph"/>
              <w:rPr>
                <w:sz w:val="18"/>
              </w:rPr>
            </w:pPr>
          </w:p>
        </w:tc>
        <w:tc>
          <w:tcPr>
            <w:tcW w:w="2460" w:type="dxa"/>
            <w:tcBorders>
              <w:top w:val="single" w:sz="6" w:space="0" w:color="000000"/>
            </w:tcBorders>
          </w:tcPr>
          <w:p>
            <w:pPr>
              <w:pStyle w:val="TableParagraph"/>
              <w:spacing w:line="259" w:lineRule="auto" w:before="41"/>
              <w:ind w:left="3"/>
              <w:rPr>
                <w:sz w:val="18"/>
              </w:rPr>
            </w:pPr>
            <w:r>
              <w:rPr>
                <w:w w:val="105"/>
                <w:sz w:val="18"/>
              </w:rPr>
              <w:t>Former Senior Vice President, Regulatory Affairs and Compliance at STERIS </w:t>
            </w:r>
            <w:r>
              <w:rPr>
                <w:spacing w:val="-2"/>
                <w:w w:val="105"/>
                <w:sz w:val="18"/>
              </w:rPr>
              <w:t>Corporation</w:t>
            </w:r>
          </w:p>
        </w:tc>
        <w:tc>
          <w:tcPr>
            <w:tcW w:w="223" w:type="dxa"/>
          </w:tcPr>
          <w:p>
            <w:pPr>
              <w:pStyle w:val="TableParagraph"/>
              <w:rPr>
                <w:sz w:val="18"/>
              </w:rPr>
            </w:pPr>
          </w:p>
        </w:tc>
        <w:tc>
          <w:tcPr>
            <w:tcW w:w="447" w:type="dxa"/>
            <w:tcBorders>
              <w:top w:val="single" w:sz="6" w:space="0" w:color="000000"/>
            </w:tcBorders>
          </w:tcPr>
          <w:p>
            <w:pPr>
              <w:pStyle w:val="TableParagraph"/>
              <w:spacing w:before="41"/>
              <w:ind w:left="4"/>
              <w:jc w:val="center"/>
              <w:rPr>
                <w:sz w:val="18"/>
              </w:rPr>
            </w:pPr>
            <w:r>
              <w:rPr>
                <w:w w:val="103"/>
                <w:sz w:val="18"/>
              </w:rPr>
              <w:t>—</w:t>
            </w:r>
          </w:p>
        </w:tc>
        <w:tc>
          <w:tcPr>
            <w:tcW w:w="223" w:type="dxa"/>
          </w:tcPr>
          <w:p>
            <w:pPr>
              <w:pStyle w:val="TableParagraph"/>
              <w:rPr>
                <w:sz w:val="18"/>
              </w:rPr>
            </w:pPr>
          </w:p>
        </w:tc>
        <w:tc>
          <w:tcPr>
            <w:tcW w:w="251" w:type="dxa"/>
            <w:tcBorders>
              <w:top w:val="single" w:sz="6" w:space="0" w:color="000000"/>
            </w:tcBorders>
          </w:tcPr>
          <w:p>
            <w:pPr>
              <w:pStyle w:val="TableParagraph"/>
              <w:spacing w:before="41"/>
              <w:ind w:left="48"/>
              <w:rPr>
                <w:sz w:val="18"/>
              </w:rPr>
            </w:pPr>
            <w:r>
              <w:rPr>
                <w:w w:val="103"/>
                <w:sz w:val="18"/>
              </w:rPr>
              <w:t>M</w:t>
            </w:r>
          </w:p>
        </w:tc>
        <w:tc>
          <w:tcPr>
            <w:tcW w:w="223" w:type="dxa"/>
          </w:tcPr>
          <w:p>
            <w:pPr>
              <w:pStyle w:val="TableParagraph"/>
              <w:rPr>
                <w:sz w:val="18"/>
              </w:rPr>
            </w:pPr>
          </w:p>
        </w:tc>
        <w:tc>
          <w:tcPr>
            <w:tcW w:w="265" w:type="dxa"/>
            <w:tcBorders>
              <w:top w:val="single" w:sz="6" w:space="0" w:color="000000"/>
            </w:tcBorders>
          </w:tcPr>
          <w:p>
            <w:pPr>
              <w:pStyle w:val="TableParagraph"/>
              <w:spacing w:before="41"/>
              <w:ind w:left="54"/>
              <w:rPr>
                <w:sz w:val="18"/>
              </w:rPr>
            </w:pPr>
            <w:r>
              <w:rPr>
                <w:w w:val="103"/>
                <w:sz w:val="18"/>
              </w:rPr>
              <w:t>M</w:t>
            </w:r>
          </w:p>
        </w:tc>
        <w:tc>
          <w:tcPr>
            <w:tcW w:w="223" w:type="dxa"/>
          </w:tcPr>
          <w:p>
            <w:pPr>
              <w:pStyle w:val="TableParagraph"/>
              <w:rPr>
                <w:sz w:val="18"/>
              </w:rPr>
            </w:pPr>
          </w:p>
        </w:tc>
        <w:tc>
          <w:tcPr>
            <w:tcW w:w="251" w:type="dxa"/>
            <w:tcBorders>
              <w:top w:val="single" w:sz="6" w:space="0" w:color="000000"/>
            </w:tcBorders>
          </w:tcPr>
          <w:p>
            <w:pPr>
              <w:pStyle w:val="TableParagraph"/>
              <w:spacing w:before="41"/>
              <w:ind w:left="36"/>
              <w:rPr>
                <w:sz w:val="18"/>
              </w:rPr>
            </w:pPr>
            <w:r>
              <w:rPr>
                <w:w w:val="103"/>
                <w:sz w:val="18"/>
              </w:rPr>
              <w:t>—</w:t>
            </w:r>
          </w:p>
        </w:tc>
      </w:tr>
      <w:tr>
        <w:trPr>
          <w:trHeight w:val="552" w:hRule="atLeast"/>
        </w:trPr>
        <w:tc>
          <w:tcPr>
            <w:tcW w:w="2460" w:type="dxa"/>
          </w:tcPr>
          <w:p>
            <w:pPr>
              <w:pStyle w:val="TableParagraph"/>
              <w:spacing w:before="75"/>
              <w:rPr>
                <w:sz w:val="18"/>
              </w:rPr>
            </w:pPr>
            <w:r>
              <w:rPr>
                <w:w w:val="105"/>
                <w:sz w:val="18"/>
              </w:rPr>
              <w:t>Jocelyn</w:t>
            </w:r>
            <w:r>
              <w:rPr>
                <w:spacing w:val="11"/>
                <w:w w:val="105"/>
                <w:sz w:val="18"/>
              </w:rPr>
              <w:t> </w:t>
            </w:r>
            <w:r>
              <w:rPr>
                <w:w w:val="105"/>
                <w:sz w:val="18"/>
              </w:rPr>
              <w:t>D.</w:t>
            </w:r>
            <w:r>
              <w:rPr>
                <w:spacing w:val="12"/>
                <w:w w:val="105"/>
                <w:sz w:val="18"/>
              </w:rPr>
              <w:t> </w:t>
            </w:r>
            <w:r>
              <w:rPr>
                <w:w w:val="105"/>
                <w:sz w:val="18"/>
              </w:rPr>
              <w:t>Chertoff,</w:t>
            </w:r>
            <w:r>
              <w:rPr>
                <w:spacing w:val="11"/>
                <w:w w:val="105"/>
                <w:sz w:val="18"/>
              </w:rPr>
              <w:t> </w:t>
            </w:r>
            <w:r>
              <w:rPr>
                <w:spacing w:val="-2"/>
                <w:w w:val="105"/>
                <w:sz w:val="18"/>
              </w:rPr>
              <w:t>M.D.</w:t>
            </w:r>
            <w:r>
              <w:rPr>
                <w:spacing w:val="-2"/>
                <w:w w:val="105"/>
                <w:sz w:val="18"/>
                <w:vertAlign w:val="superscript"/>
              </w:rPr>
              <w:t>(I)</w:t>
            </w:r>
          </w:p>
        </w:tc>
        <w:tc>
          <w:tcPr>
            <w:tcW w:w="223" w:type="dxa"/>
          </w:tcPr>
          <w:p>
            <w:pPr>
              <w:pStyle w:val="TableParagraph"/>
              <w:rPr>
                <w:sz w:val="18"/>
              </w:rPr>
            </w:pPr>
          </w:p>
        </w:tc>
        <w:tc>
          <w:tcPr>
            <w:tcW w:w="251" w:type="dxa"/>
          </w:tcPr>
          <w:p>
            <w:pPr>
              <w:pStyle w:val="TableParagraph"/>
              <w:spacing w:before="75"/>
              <w:ind w:left="9" w:right="6"/>
              <w:jc w:val="center"/>
              <w:rPr>
                <w:sz w:val="18"/>
              </w:rPr>
            </w:pPr>
            <w:r>
              <w:rPr>
                <w:spacing w:val="-5"/>
                <w:w w:val="105"/>
                <w:sz w:val="18"/>
              </w:rPr>
              <w:t>67</w:t>
            </w:r>
          </w:p>
        </w:tc>
        <w:tc>
          <w:tcPr>
            <w:tcW w:w="223" w:type="dxa"/>
          </w:tcPr>
          <w:p>
            <w:pPr>
              <w:pStyle w:val="TableParagraph"/>
              <w:rPr>
                <w:sz w:val="18"/>
              </w:rPr>
            </w:pPr>
          </w:p>
        </w:tc>
        <w:tc>
          <w:tcPr>
            <w:tcW w:w="545" w:type="dxa"/>
          </w:tcPr>
          <w:p>
            <w:pPr>
              <w:pStyle w:val="TableParagraph"/>
              <w:spacing w:before="75"/>
              <w:ind w:left="21" w:right="16"/>
              <w:jc w:val="center"/>
              <w:rPr>
                <w:sz w:val="18"/>
              </w:rPr>
            </w:pPr>
            <w:r>
              <w:rPr>
                <w:spacing w:val="-4"/>
                <w:w w:val="105"/>
                <w:sz w:val="18"/>
              </w:rPr>
              <w:t>2017</w:t>
            </w:r>
          </w:p>
        </w:tc>
        <w:tc>
          <w:tcPr>
            <w:tcW w:w="223" w:type="dxa"/>
          </w:tcPr>
          <w:p>
            <w:pPr>
              <w:pStyle w:val="TableParagraph"/>
              <w:rPr>
                <w:sz w:val="18"/>
              </w:rPr>
            </w:pPr>
          </w:p>
        </w:tc>
        <w:tc>
          <w:tcPr>
            <w:tcW w:w="2460" w:type="dxa"/>
          </w:tcPr>
          <w:p>
            <w:pPr>
              <w:pStyle w:val="TableParagraph"/>
              <w:spacing w:line="259" w:lineRule="auto" w:before="75"/>
              <w:ind w:left="3"/>
              <w:rPr>
                <w:sz w:val="18"/>
              </w:rPr>
            </w:pPr>
            <w:r>
              <w:rPr>
                <w:w w:val="105"/>
                <w:sz w:val="18"/>
              </w:rPr>
              <w:t>Chair of Radiology, Dartmouth Hitchcock Medical Center</w:t>
            </w:r>
          </w:p>
        </w:tc>
        <w:tc>
          <w:tcPr>
            <w:tcW w:w="223" w:type="dxa"/>
          </w:tcPr>
          <w:p>
            <w:pPr>
              <w:pStyle w:val="TableParagraph"/>
              <w:rPr>
                <w:sz w:val="18"/>
              </w:rPr>
            </w:pPr>
          </w:p>
        </w:tc>
        <w:tc>
          <w:tcPr>
            <w:tcW w:w="447" w:type="dxa"/>
          </w:tcPr>
          <w:p>
            <w:pPr>
              <w:pStyle w:val="TableParagraph"/>
              <w:spacing w:before="75"/>
              <w:ind w:left="4"/>
              <w:jc w:val="center"/>
              <w:rPr>
                <w:sz w:val="18"/>
              </w:rPr>
            </w:pPr>
            <w:r>
              <w:rPr>
                <w:w w:val="103"/>
                <w:sz w:val="18"/>
              </w:rPr>
              <w:t>—</w:t>
            </w:r>
          </w:p>
        </w:tc>
        <w:tc>
          <w:tcPr>
            <w:tcW w:w="223" w:type="dxa"/>
          </w:tcPr>
          <w:p>
            <w:pPr>
              <w:pStyle w:val="TableParagraph"/>
              <w:rPr>
                <w:sz w:val="18"/>
              </w:rPr>
            </w:pPr>
          </w:p>
        </w:tc>
        <w:tc>
          <w:tcPr>
            <w:tcW w:w="251" w:type="dxa"/>
          </w:tcPr>
          <w:p>
            <w:pPr>
              <w:pStyle w:val="TableParagraph"/>
              <w:spacing w:before="75"/>
              <w:ind w:left="48"/>
              <w:rPr>
                <w:sz w:val="18"/>
              </w:rPr>
            </w:pPr>
            <w:r>
              <w:rPr>
                <w:w w:val="103"/>
                <w:sz w:val="18"/>
              </w:rPr>
              <w:t>M</w:t>
            </w:r>
          </w:p>
        </w:tc>
        <w:tc>
          <w:tcPr>
            <w:tcW w:w="223" w:type="dxa"/>
          </w:tcPr>
          <w:p>
            <w:pPr>
              <w:pStyle w:val="TableParagraph"/>
              <w:rPr>
                <w:sz w:val="18"/>
              </w:rPr>
            </w:pPr>
          </w:p>
        </w:tc>
        <w:tc>
          <w:tcPr>
            <w:tcW w:w="265" w:type="dxa"/>
          </w:tcPr>
          <w:p>
            <w:pPr>
              <w:pStyle w:val="TableParagraph"/>
              <w:spacing w:before="75"/>
              <w:ind w:left="44"/>
              <w:rPr>
                <w:sz w:val="18"/>
              </w:rPr>
            </w:pPr>
            <w:r>
              <w:rPr>
                <w:w w:val="103"/>
                <w:sz w:val="18"/>
              </w:rPr>
              <w:t>—</w:t>
            </w:r>
          </w:p>
        </w:tc>
        <w:tc>
          <w:tcPr>
            <w:tcW w:w="223" w:type="dxa"/>
          </w:tcPr>
          <w:p>
            <w:pPr>
              <w:pStyle w:val="TableParagraph"/>
              <w:rPr>
                <w:sz w:val="18"/>
              </w:rPr>
            </w:pPr>
          </w:p>
        </w:tc>
        <w:tc>
          <w:tcPr>
            <w:tcW w:w="251" w:type="dxa"/>
          </w:tcPr>
          <w:p>
            <w:pPr>
              <w:pStyle w:val="TableParagraph"/>
              <w:spacing w:before="75"/>
              <w:ind w:left="67"/>
              <w:rPr>
                <w:sz w:val="18"/>
              </w:rPr>
            </w:pPr>
            <w:r>
              <w:rPr>
                <w:w w:val="103"/>
                <w:sz w:val="18"/>
              </w:rPr>
              <w:t>C</w:t>
            </w:r>
          </w:p>
        </w:tc>
      </w:tr>
      <w:tr>
        <w:trPr>
          <w:trHeight w:val="486" w:hRule="atLeast"/>
        </w:trPr>
        <w:tc>
          <w:tcPr>
            <w:tcW w:w="2460" w:type="dxa"/>
          </w:tcPr>
          <w:p>
            <w:pPr>
              <w:pStyle w:val="TableParagraph"/>
              <w:spacing w:before="54"/>
              <w:rPr>
                <w:sz w:val="18"/>
              </w:rPr>
            </w:pPr>
            <w:r>
              <w:rPr>
                <w:w w:val="105"/>
                <w:sz w:val="18"/>
              </w:rPr>
              <w:t>Timothy</w:t>
            </w:r>
            <w:r>
              <w:rPr>
                <w:spacing w:val="6"/>
                <w:w w:val="105"/>
                <w:sz w:val="18"/>
              </w:rPr>
              <w:t> </w:t>
            </w:r>
            <w:r>
              <w:rPr>
                <w:w w:val="105"/>
                <w:sz w:val="18"/>
              </w:rPr>
              <w:t>E.</w:t>
            </w:r>
            <w:r>
              <w:rPr>
                <w:spacing w:val="7"/>
                <w:w w:val="105"/>
                <w:sz w:val="18"/>
              </w:rPr>
              <w:t> </w:t>
            </w:r>
            <w:r>
              <w:rPr>
                <w:spacing w:val="-2"/>
                <w:w w:val="105"/>
                <w:sz w:val="18"/>
              </w:rPr>
              <w:t>Guertin</w:t>
            </w:r>
            <w:r>
              <w:rPr>
                <w:spacing w:val="-2"/>
                <w:w w:val="105"/>
                <w:sz w:val="18"/>
                <w:vertAlign w:val="superscript"/>
              </w:rPr>
              <w:t>(I)</w:t>
            </w:r>
          </w:p>
        </w:tc>
        <w:tc>
          <w:tcPr>
            <w:tcW w:w="223" w:type="dxa"/>
          </w:tcPr>
          <w:p>
            <w:pPr>
              <w:pStyle w:val="TableParagraph"/>
              <w:rPr>
                <w:sz w:val="18"/>
              </w:rPr>
            </w:pPr>
          </w:p>
        </w:tc>
        <w:tc>
          <w:tcPr>
            <w:tcW w:w="251" w:type="dxa"/>
          </w:tcPr>
          <w:p>
            <w:pPr>
              <w:pStyle w:val="TableParagraph"/>
              <w:spacing w:before="54"/>
              <w:ind w:left="9" w:right="6"/>
              <w:jc w:val="center"/>
              <w:rPr>
                <w:sz w:val="18"/>
              </w:rPr>
            </w:pPr>
            <w:r>
              <w:rPr>
                <w:spacing w:val="-5"/>
                <w:w w:val="105"/>
                <w:sz w:val="18"/>
              </w:rPr>
              <w:t>73</w:t>
            </w:r>
          </w:p>
        </w:tc>
        <w:tc>
          <w:tcPr>
            <w:tcW w:w="223" w:type="dxa"/>
          </w:tcPr>
          <w:p>
            <w:pPr>
              <w:pStyle w:val="TableParagraph"/>
              <w:rPr>
                <w:sz w:val="18"/>
              </w:rPr>
            </w:pPr>
          </w:p>
        </w:tc>
        <w:tc>
          <w:tcPr>
            <w:tcW w:w="545" w:type="dxa"/>
          </w:tcPr>
          <w:p>
            <w:pPr>
              <w:pStyle w:val="TableParagraph"/>
              <w:spacing w:before="54"/>
              <w:ind w:left="21" w:right="16"/>
              <w:jc w:val="center"/>
              <w:rPr>
                <w:sz w:val="18"/>
              </w:rPr>
            </w:pPr>
            <w:r>
              <w:rPr>
                <w:spacing w:val="-4"/>
                <w:w w:val="105"/>
                <w:sz w:val="18"/>
              </w:rPr>
              <w:t>2020</w:t>
            </w:r>
          </w:p>
        </w:tc>
        <w:tc>
          <w:tcPr>
            <w:tcW w:w="223" w:type="dxa"/>
          </w:tcPr>
          <w:p>
            <w:pPr>
              <w:pStyle w:val="TableParagraph"/>
              <w:rPr>
                <w:sz w:val="18"/>
              </w:rPr>
            </w:pPr>
          </w:p>
        </w:tc>
        <w:tc>
          <w:tcPr>
            <w:tcW w:w="2460" w:type="dxa"/>
          </w:tcPr>
          <w:p>
            <w:pPr>
              <w:pStyle w:val="TableParagraph"/>
              <w:spacing w:line="220" w:lineRule="atLeast" w:before="26"/>
              <w:ind w:left="3" w:right="125"/>
              <w:rPr>
                <w:sz w:val="18"/>
              </w:rPr>
            </w:pPr>
            <w:r>
              <w:rPr>
                <w:w w:val="105"/>
                <w:sz w:val="18"/>
              </w:rPr>
              <w:t>Former</w:t>
            </w:r>
            <w:r>
              <w:rPr>
                <w:spacing w:val="-4"/>
                <w:w w:val="105"/>
                <w:sz w:val="18"/>
              </w:rPr>
              <w:t> </w:t>
            </w:r>
            <w:r>
              <w:rPr>
                <w:w w:val="105"/>
                <w:sz w:val="18"/>
              </w:rPr>
              <w:t>CEO</w:t>
            </w:r>
            <w:r>
              <w:rPr>
                <w:spacing w:val="-4"/>
                <w:w w:val="105"/>
                <w:sz w:val="18"/>
              </w:rPr>
              <w:t> </w:t>
            </w:r>
            <w:r>
              <w:rPr>
                <w:w w:val="105"/>
                <w:sz w:val="18"/>
              </w:rPr>
              <w:t>of</w:t>
            </w:r>
            <w:r>
              <w:rPr>
                <w:spacing w:val="-8"/>
                <w:w w:val="105"/>
                <w:sz w:val="18"/>
              </w:rPr>
              <w:t> </w:t>
            </w:r>
            <w:r>
              <w:rPr>
                <w:w w:val="105"/>
                <w:sz w:val="18"/>
              </w:rPr>
              <w:t>Varian Medical Systems, Inc.</w:t>
            </w:r>
          </w:p>
        </w:tc>
        <w:tc>
          <w:tcPr>
            <w:tcW w:w="223" w:type="dxa"/>
          </w:tcPr>
          <w:p>
            <w:pPr>
              <w:pStyle w:val="TableParagraph"/>
              <w:rPr>
                <w:sz w:val="18"/>
              </w:rPr>
            </w:pPr>
          </w:p>
        </w:tc>
        <w:tc>
          <w:tcPr>
            <w:tcW w:w="447" w:type="dxa"/>
          </w:tcPr>
          <w:p>
            <w:pPr>
              <w:pStyle w:val="TableParagraph"/>
              <w:spacing w:before="54"/>
              <w:ind w:left="5"/>
              <w:jc w:val="center"/>
              <w:rPr>
                <w:sz w:val="18"/>
              </w:rPr>
            </w:pPr>
            <w:r>
              <w:rPr>
                <w:w w:val="103"/>
                <w:sz w:val="18"/>
              </w:rPr>
              <w:t>1</w:t>
            </w:r>
          </w:p>
        </w:tc>
        <w:tc>
          <w:tcPr>
            <w:tcW w:w="223" w:type="dxa"/>
          </w:tcPr>
          <w:p>
            <w:pPr>
              <w:pStyle w:val="TableParagraph"/>
              <w:rPr>
                <w:sz w:val="18"/>
              </w:rPr>
            </w:pPr>
          </w:p>
        </w:tc>
        <w:tc>
          <w:tcPr>
            <w:tcW w:w="251" w:type="dxa"/>
          </w:tcPr>
          <w:p>
            <w:pPr>
              <w:pStyle w:val="TableParagraph"/>
              <w:spacing w:before="54"/>
              <w:ind w:left="38"/>
              <w:rPr>
                <w:sz w:val="18"/>
              </w:rPr>
            </w:pPr>
            <w:r>
              <w:rPr>
                <w:w w:val="103"/>
                <w:sz w:val="18"/>
              </w:rPr>
              <w:t>—</w:t>
            </w:r>
          </w:p>
        </w:tc>
        <w:tc>
          <w:tcPr>
            <w:tcW w:w="223" w:type="dxa"/>
          </w:tcPr>
          <w:p>
            <w:pPr>
              <w:pStyle w:val="TableParagraph"/>
              <w:rPr>
                <w:sz w:val="18"/>
              </w:rPr>
            </w:pPr>
          </w:p>
        </w:tc>
        <w:tc>
          <w:tcPr>
            <w:tcW w:w="265" w:type="dxa"/>
          </w:tcPr>
          <w:p>
            <w:pPr>
              <w:pStyle w:val="TableParagraph"/>
              <w:spacing w:before="54"/>
              <w:ind w:left="54"/>
              <w:rPr>
                <w:sz w:val="18"/>
              </w:rPr>
            </w:pPr>
            <w:r>
              <w:rPr>
                <w:w w:val="103"/>
                <w:sz w:val="18"/>
              </w:rPr>
              <w:t>M</w:t>
            </w:r>
          </w:p>
        </w:tc>
        <w:tc>
          <w:tcPr>
            <w:tcW w:w="223" w:type="dxa"/>
          </w:tcPr>
          <w:p>
            <w:pPr>
              <w:pStyle w:val="TableParagraph"/>
              <w:rPr>
                <w:sz w:val="18"/>
              </w:rPr>
            </w:pPr>
          </w:p>
        </w:tc>
        <w:tc>
          <w:tcPr>
            <w:tcW w:w="251" w:type="dxa"/>
          </w:tcPr>
          <w:p>
            <w:pPr>
              <w:pStyle w:val="TableParagraph"/>
              <w:spacing w:before="54"/>
              <w:ind w:left="46"/>
              <w:rPr>
                <w:sz w:val="18"/>
              </w:rPr>
            </w:pPr>
            <w:r>
              <w:rPr>
                <w:w w:val="103"/>
                <w:sz w:val="18"/>
              </w:rPr>
              <w:t>M</w:t>
            </w:r>
          </w:p>
        </w:tc>
      </w:tr>
    </w:tbl>
    <w:p>
      <w:pPr>
        <w:spacing w:after="0"/>
        <w:rPr>
          <w:sz w:val="18"/>
        </w:rPr>
        <w:sectPr>
          <w:type w:val="continuous"/>
          <w:pgSz w:w="12240" w:h="15840"/>
          <w:pgMar w:header="529" w:footer="1330" w:top="600" w:bottom="960" w:left="480" w:right="460"/>
        </w:sectPr>
      </w:pPr>
    </w:p>
    <w:p>
      <w:pPr>
        <w:pStyle w:val="BodyText"/>
        <w:rPr>
          <w:sz w:val="20"/>
        </w:rPr>
      </w:pPr>
      <w:r>
        <w:rPr/>
        <w:pict>
          <v:group style="position:absolute;margin-left:82.822411pt;margin-top:62.551872pt;width:448.8pt;height:657.1pt;mso-position-horizontal-relative:page;mso-position-vertical-relative:page;z-index:-20512768" id="docshapegroup43" coordorigin="1656,1251" coordsize="8976,13142">
            <v:rect style="position:absolute;left:1663;top:1258;width:8962;height:13128" id="docshape44" filled="false" stroked="true" strokeweight=".698992pt" strokecolor="#000000">
              <v:stroke dashstyle="solid"/>
            </v:rect>
            <v:rect style="position:absolute;left:1894;top:4620;width:2014;height:14" id="docshape45" filled="true" fillcolor="#000000" stroked="false">
              <v:fill type="solid"/>
            </v:rect>
            <w10:wrap type="none"/>
          </v:group>
        </w:pict>
      </w:r>
      <w:r>
        <w:rPr/>
        <w:pict>
          <v:group style="position:absolute;margin-left:28.999998pt;margin-top:755.952332pt;width:555pt;height:1.4pt;mso-position-horizontal-relative:page;mso-position-vertical-relative:page;z-index:15738368" id="docshapegroup46" coordorigin="580,15119" coordsize="11100,28">
            <v:rect style="position:absolute;left:580;top:15119;width:11100;height:14" id="docshape47" filled="true" fillcolor="#999999" stroked="false">
              <v:fill type="solid"/>
            </v:rect>
            <v:shape style="position:absolute;left:579;top:15119;width:11100;height:28" id="docshape48" coordorigin="580,15119" coordsize="11100,28" path="m11680,15119l11666,15133,580,15133,580,15147,11666,15147,11680,15147,11680,15133,11680,15119xe" filled="true" fillcolor="#ededed" stroked="false">
              <v:path arrowok="t"/>
              <v:fill type="solid"/>
            </v:shape>
            <v:shape style="position:absolute;left:580;top:15119;width:14;height:28" id="docshape49" coordorigin="580,15119" coordsize="14,28" path="m580,15147l580,15119,594,15119,594,15133,580,15147xe" filled="true" fillcolor="#999999" stroked="false">
              <v:path arrowok="t"/>
              <v:fill type="solid"/>
            </v:shape>
            <w10:wrap type="none"/>
          </v:group>
        </w:pict>
      </w:r>
    </w:p>
    <w:p>
      <w:pPr>
        <w:pStyle w:val="BodyText"/>
        <w:rPr>
          <w:sz w:val="20"/>
        </w:rPr>
      </w:pPr>
    </w:p>
    <w:p>
      <w:pPr>
        <w:pStyle w:val="BodyText"/>
        <w:rPr>
          <w:sz w:val="20"/>
        </w:rPr>
      </w:pPr>
    </w:p>
    <w:p>
      <w:pPr>
        <w:pStyle w:val="BodyText"/>
        <w:spacing w:before="11"/>
        <w:rPr>
          <w:sz w:val="13"/>
        </w:rPr>
      </w:pPr>
    </w:p>
    <w:tbl>
      <w:tblPr>
        <w:tblW w:w="0" w:type="auto"/>
        <w:jc w:val="left"/>
        <w:tblInd w:w="1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0"/>
        <w:gridCol w:w="223"/>
        <w:gridCol w:w="251"/>
        <w:gridCol w:w="223"/>
        <w:gridCol w:w="545"/>
        <w:gridCol w:w="223"/>
        <w:gridCol w:w="2460"/>
        <w:gridCol w:w="223"/>
        <w:gridCol w:w="447"/>
        <w:gridCol w:w="223"/>
        <w:gridCol w:w="251"/>
        <w:gridCol w:w="223"/>
        <w:gridCol w:w="265"/>
        <w:gridCol w:w="223"/>
        <w:gridCol w:w="251"/>
      </w:tblGrid>
      <w:tr>
        <w:trPr>
          <w:trHeight w:val="551" w:hRule="atLeast"/>
        </w:trPr>
        <w:tc>
          <w:tcPr>
            <w:tcW w:w="2460" w:type="dxa"/>
            <w:tcBorders>
              <w:bottom w:val="single" w:sz="6" w:space="0" w:color="000000"/>
            </w:tcBorders>
          </w:tcPr>
          <w:p>
            <w:pPr>
              <w:pStyle w:val="TableParagraph"/>
              <w:rPr>
                <w:sz w:val="16"/>
              </w:rPr>
            </w:pPr>
          </w:p>
          <w:p>
            <w:pPr>
              <w:pStyle w:val="TableParagraph"/>
              <w:spacing w:before="6"/>
              <w:rPr>
                <w:sz w:val="12"/>
              </w:rPr>
            </w:pPr>
          </w:p>
          <w:p>
            <w:pPr>
              <w:pStyle w:val="TableParagraph"/>
              <w:rPr>
                <w:b/>
                <w:sz w:val="15"/>
              </w:rPr>
            </w:pPr>
            <w:r>
              <w:rPr>
                <w:b/>
                <w:spacing w:val="-4"/>
                <w:sz w:val="15"/>
              </w:rPr>
              <w:t>Name</w:t>
            </w:r>
          </w:p>
        </w:tc>
        <w:tc>
          <w:tcPr>
            <w:tcW w:w="223" w:type="dxa"/>
          </w:tcPr>
          <w:p>
            <w:pPr>
              <w:pStyle w:val="TableParagraph"/>
              <w:rPr>
                <w:sz w:val="18"/>
              </w:rPr>
            </w:pPr>
          </w:p>
        </w:tc>
        <w:tc>
          <w:tcPr>
            <w:tcW w:w="251" w:type="dxa"/>
            <w:tcBorders>
              <w:bottom w:val="single" w:sz="6" w:space="0" w:color="000000"/>
            </w:tcBorders>
          </w:tcPr>
          <w:p>
            <w:pPr>
              <w:pStyle w:val="TableParagraph"/>
              <w:rPr>
                <w:sz w:val="16"/>
              </w:rPr>
            </w:pPr>
          </w:p>
          <w:p>
            <w:pPr>
              <w:pStyle w:val="TableParagraph"/>
              <w:spacing w:before="6"/>
              <w:rPr>
                <w:sz w:val="12"/>
              </w:rPr>
            </w:pPr>
          </w:p>
          <w:p>
            <w:pPr>
              <w:pStyle w:val="TableParagraph"/>
              <w:ind w:left="9" w:right="-15"/>
              <w:jc w:val="center"/>
              <w:rPr>
                <w:b/>
                <w:sz w:val="15"/>
              </w:rPr>
            </w:pPr>
            <w:r>
              <w:rPr>
                <w:b/>
                <w:spacing w:val="-5"/>
                <w:sz w:val="15"/>
              </w:rPr>
              <w:t>Age</w:t>
            </w:r>
          </w:p>
        </w:tc>
        <w:tc>
          <w:tcPr>
            <w:tcW w:w="223" w:type="dxa"/>
          </w:tcPr>
          <w:p>
            <w:pPr>
              <w:pStyle w:val="TableParagraph"/>
              <w:rPr>
                <w:sz w:val="18"/>
              </w:rPr>
            </w:pPr>
          </w:p>
        </w:tc>
        <w:tc>
          <w:tcPr>
            <w:tcW w:w="545" w:type="dxa"/>
            <w:tcBorders>
              <w:bottom w:val="single" w:sz="6" w:space="0" w:color="000000"/>
            </w:tcBorders>
          </w:tcPr>
          <w:p>
            <w:pPr>
              <w:pStyle w:val="TableParagraph"/>
              <w:spacing w:before="3"/>
              <w:rPr>
                <w:sz w:val="14"/>
              </w:rPr>
            </w:pPr>
          </w:p>
          <w:p>
            <w:pPr>
              <w:pStyle w:val="TableParagraph"/>
              <w:spacing w:line="232" w:lineRule="auto"/>
              <w:ind w:left="127" w:hanging="106"/>
              <w:rPr>
                <w:b/>
                <w:sz w:val="15"/>
              </w:rPr>
            </w:pPr>
            <w:r>
              <w:rPr>
                <w:b/>
                <w:spacing w:val="-6"/>
                <w:sz w:val="15"/>
              </w:rPr>
              <w:t>Director</w:t>
            </w:r>
            <w:r>
              <w:rPr>
                <w:b/>
                <w:spacing w:val="40"/>
                <w:sz w:val="15"/>
              </w:rPr>
              <w:t> </w:t>
            </w:r>
            <w:r>
              <w:rPr>
                <w:b/>
                <w:spacing w:val="-2"/>
                <w:sz w:val="15"/>
              </w:rPr>
              <w:t>since</w:t>
            </w:r>
          </w:p>
        </w:tc>
        <w:tc>
          <w:tcPr>
            <w:tcW w:w="223" w:type="dxa"/>
          </w:tcPr>
          <w:p>
            <w:pPr>
              <w:pStyle w:val="TableParagraph"/>
              <w:rPr>
                <w:sz w:val="18"/>
              </w:rPr>
            </w:pPr>
          </w:p>
        </w:tc>
        <w:tc>
          <w:tcPr>
            <w:tcW w:w="2460" w:type="dxa"/>
            <w:tcBorders>
              <w:bottom w:val="single" w:sz="6" w:space="0" w:color="000000"/>
            </w:tcBorders>
          </w:tcPr>
          <w:p>
            <w:pPr>
              <w:pStyle w:val="TableParagraph"/>
              <w:rPr>
                <w:sz w:val="16"/>
              </w:rPr>
            </w:pPr>
          </w:p>
          <w:p>
            <w:pPr>
              <w:pStyle w:val="TableParagraph"/>
              <w:spacing w:before="6"/>
              <w:rPr>
                <w:sz w:val="12"/>
              </w:rPr>
            </w:pPr>
          </w:p>
          <w:p>
            <w:pPr>
              <w:pStyle w:val="TableParagraph"/>
              <w:ind w:left="853" w:right="844"/>
              <w:jc w:val="center"/>
              <w:rPr>
                <w:b/>
                <w:sz w:val="15"/>
              </w:rPr>
            </w:pPr>
            <w:r>
              <w:rPr>
                <w:b/>
                <w:spacing w:val="-2"/>
                <w:sz w:val="15"/>
              </w:rPr>
              <w:t>Occupation</w:t>
            </w:r>
          </w:p>
        </w:tc>
        <w:tc>
          <w:tcPr>
            <w:tcW w:w="223" w:type="dxa"/>
          </w:tcPr>
          <w:p>
            <w:pPr>
              <w:pStyle w:val="TableParagraph"/>
              <w:rPr>
                <w:sz w:val="18"/>
              </w:rPr>
            </w:pPr>
          </w:p>
        </w:tc>
        <w:tc>
          <w:tcPr>
            <w:tcW w:w="447" w:type="dxa"/>
            <w:tcBorders>
              <w:bottom w:val="single" w:sz="6" w:space="0" w:color="000000"/>
            </w:tcBorders>
          </w:tcPr>
          <w:p>
            <w:pPr>
              <w:pStyle w:val="TableParagraph"/>
              <w:spacing w:line="232" w:lineRule="auto"/>
              <w:ind w:left="17" w:right="3" w:firstLine="27"/>
              <w:jc w:val="both"/>
              <w:rPr>
                <w:b/>
                <w:sz w:val="15"/>
              </w:rPr>
            </w:pPr>
            <w:r>
              <w:rPr>
                <w:b/>
                <w:spacing w:val="-2"/>
                <w:sz w:val="15"/>
              </w:rPr>
              <w:t>Other</w:t>
            </w:r>
            <w:r>
              <w:rPr>
                <w:b/>
                <w:spacing w:val="40"/>
                <w:sz w:val="15"/>
              </w:rPr>
              <w:t> </w:t>
            </w:r>
            <w:r>
              <w:rPr>
                <w:b/>
                <w:spacing w:val="-2"/>
                <w:sz w:val="15"/>
              </w:rPr>
              <w:t>public</w:t>
            </w:r>
            <w:r>
              <w:rPr>
                <w:b/>
                <w:spacing w:val="40"/>
                <w:sz w:val="15"/>
              </w:rPr>
              <w:t> </w:t>
            </w:r>
            <w:r>
              <w:rPr>
                <w:b/>
                <w:spacing w:val="-6"/>
                <w:sz w:val="15"/>
              </w:rPr>
              <w:t>boards</w:t>
            </w:r>
          </w:p>
        </w:tc>
        <w:tc>
          <w:tcPr>
            <w:tcW w:w="223" w:type="dxa"/>
          </w:tcPr>
          <w:p>
            <w:pPr>
              <w:pStyle w:val="TableParagraph"/>
              <w:rPr>
                <w:sz w:val="18"/>
              </w:rPr>
            </w:pPr>
          </w:p>
        </w:tc>
        <w:tc>
          <w:tcPr>
            <w:tcW w:w="251" w:type="dxa"/>
            <w:tcBorders>
              <w:bottom w:val="single" w:sz="6" w:space="0" w:color="000000"/>
            </w:tcBorders>
          </w:tcPr>
          <w:p>
            <w:pPr>
              <w:pStyle w:val="TableParagraph"/>
              <w:rPr>
                <w:sz w:val="16"/>
              </w:rPr>
            </w:pPr>
          </w:p>
          <w:p>
            <w:pPr>
              <w:pStyle w:val="TableParagraph"/>
              <w:spacing w:before="6"/>
              <w:rPr>
                <w:sz w:val="12"/>
              </w:rPr>
            </w:pPr>
          </w:p>
          <w:p>
            <w:pPr>
              <w:pStyle w:val="TableParagraph"/>
              <w:ind w:left="28"/>
              <w:rPr>
                <w:b/>
                <w:sz w:val="15"/>
              </w:rPr>
            </w:pPr>
            <w:r>
              <w:rPr>
                <w:b/>
                <w:spacing w:val="-5"/>
                <w:sz w:val="15"/>
              </w:rPr>
              <w:t>AC</w:t>
            </w:r>
          </w:p>
        </w:tc>
        <w:tc>
          <w:tcPr>
            <w:tcW w:w="223" w:type="dxa"/>
          </w:tcPr>
          <w:p>
            <w:pPr>
              <w:pStyle w:val="TableParagraph"/>
              <w:rPr>
                <w:sz w:val="18"/>
              </w:rPr>
            </w:pPr>
          </w:p>
        </w:tc>
        <w:tc>
          <w:tcPr>
            <w:tcW w:w="265" w:type="dxa"/>
            <w:tcBorders>
              <w:bottom w:val="single" w:sz="6" w:space="0" w:color="000000"/>
            </w:tcBorders>
          </w:tcPr>
          <w:p>
            <w:pPr>
              <w:pStyle w:val="TableParagraph"/>
              <w:rPr>
                <w:sz w:val="16"/>
              </w:rPr>
            </w:pPr>
          </w:p>
          <w:p>
            <w:pPr>
              <w:pStyle w:val="TableParagraph"/>
              <w:spacing w:before="6"/>
              <w:rPr>
                <w:sz w:val="12"/>
              </w:rPr>
            </w:pPr>
          </w:p>
          <w:p>
            <w:pPr>
              <w:pStyle w:val="TableParagraph"/>
              <w:ind w:left="34"/>
              <w:rPr>
                <w:b/>
                <w:sz w:val="15"/>
              </w:rPr>
            </w:pPr>
            <w:r>
              <w:rPr>
                <w:b/>
                <w:spacing w:val="-5"/>
                <w:sz w:val="15"/>
              </w:rPr>
              <w:t>CC</w:t>
            </w:r>
          </w:p>
        </w:tc>
        <w:tc>
          <w:tcPr>
            <w:tcW w:w="223" w:type="dxa"/>
          </w:tcPr>
          <w:p>
            <w:pPr>
              <w:pStyle w:val="TableParagraph"/>
              <w:rPr>
                <w:sz w:val="18"/>
              </w:rPr>
            </w:pPr>
          </w:p>
        </w:tc>
        <w:tc>
          <w:tcPr>
            <w:tcW w:w="251" w:type="dxa"/>
            <w:tcBorders>
              <w:bottom w:val="single" w:sz="6" w:space="0" w:color="000000"/>
            </w:tcBorders>
          </w:tcPr>
          <w:p>
            <w:pPr>
              <w:pStyle w:val="TableParagraph"/>
              <w:rPr>
                <w:sz w:val="16"/>
              </w:rPr>
            </w:pPr>
          </w:p>
          <w:p>
            <w:pPr>
              <w:pStyle w:val="TableParagraph"/>
              <w:spacing w:before="6"/>
              <w:rPr>
                <w:sz w:val="12"/>
              </w:rPr>
            </w:pPr>
          </w:p>
          <w:p>
            <w:pPr>
              <w:pStyle w:val="TableParagraph"/>
              <w:ind w:left="26"/>
              <w:rPr>
                <w:b/>
                <w:sz w:val="15"/>
              </w:rPr>
            </w:pPr>
            <w:r>
              <w:rPr>
                <w:b/>
                <w:spacing w:val="-5"/>
                <w:sz w:val="15"/>
              </w:rPr>
              <w:t>NC</w:t>
            </w:r>
          </w:p>
        </w:tc>
      </w:tr>
      <w:tr>
        <w:trPr>
          <w:trHeight w:val="720" w:hRule="atLeast"/>
        </w:trPr>
        <w:tc>
          <w:tcPr>
            <w:tcW w:w="2460" w:type="dxa"/>
            <w:tcBorders>
              <w:top w:val="single" w:sz="6" w:space="0" w:color="000000"/>
            </w:tcBorders>
          </w:tcPr>
          <w:p>
            <w:pPr>
              <w:pStyle w:val="TableParagraph"/>
              <w:spacing w:before="41"/>
              <w:rPr>
                <w:sz w:val="18"/>
              </w:rPr>
            </w:pPr>
            <w:r>
              <w:rPr>
                <w:w w:val="105"/>
                <w:sz w:val="18"/>
              </w:rPr>
              <w:t>Jay</w:t>
            </w:r>
            <w:r>
              <w:rPr>
                <w:spacing w:val="7"/>
                <w:w w:val="105"/>
                <w:sz w:val="18"/>
              </w:rPr>
              <w:t> </w:t>
            </w:r>
            <w:r>
              <w:rPr>
                <w:w w:val="105"/>
                <w:sz w:val="18"/>
              </w:rPr>
              <w:t>K.</w:t>
            </w:r>
            <w:r>
              <w:rPr>
                <w:spacing w:val="7"/>
                <w:w w:val="105"/>
                <w:sz w:val="18"/>
              </w:rPr>
              <w:t> </w:t>
            </w:r>
            <w:r>
              <w:rPr>
                <w:spacing w:val="-2"/>
                <w:w w:val="105"/>
                <w:sz w:val="18"/>
              </w:rPr>
              <w:t>Kunkel</w:t>
            </w:r>
            <w:r>
              <w:rPr>
                <w:spacing w:val="-2"/>
                <w:w w:val="105"/>
                <w:sz w:val="18"/>
                <w:vertAlign w:val="superscript"/>
              </w:rPr>
              <w:t>(I)</w:t>
            </w:r>
          </w:p>
        </w:tc>
        <w:tc>
          <w:tcPr>
            <w:tcW w:w="223" w:type="dxa"/>
          </w:tcPr>
          <w:p>
            <w:pPr>
              <w:pStyle w:val="TableParagraph"/>
              <w:rPr>
                <w:sz w:val="18"/>
              </w:rPr>
            </w:pPr>
          </w:p>
        </w:tc>
        <w:tc>
          <w:tcPr>
            <w:tcW w:w="251" w:type="dxa"/>
            <w:tcBorders>
              <w:top w:val="single" w:sz="6" w:space="0" w:color="000000"/>
            </w:tcBorders>
          </w:tcPr>
          <w:p>
            <w:pPr>
              <w:pStyle w:val="TableParagraph"/>
              <w:spacing w:before="41"/>
              <w:ind w:left="9" w:right="6"/>
              <w:jc w:val="center"/>
              <w:rPr>
                <w:sz w:val="18"/>
              </w:rPr>
            </w:pPr>
            <w:r>
              <w:rPr>
                <w:spacing w:val="-5"/>
                <w:w w:val="105"/>
                <w:sz w:val="18"/>
              </w:rPr>
              <w:t>63</w:t>
            </w:r>
          </w:p>
        </w:tc>
        <w:tc>
          <w:tcPr>
            <w:tcW w:w="223" w:type="dxa"/>
          </w:tcPr>
          <w:p>
            <w:pPr>
              <w:pStyle w:val="TableParagraph"/>
              <w:rPr>
                <w:sz w:val="18"/>
              </w:rPr>
            </w:pPr>
          </w:p>
        </w:tc>
        <w:tc>
          <w:tcPr>
            <w:tcW w:w="545" w:type="dxa"/>
            <w:tcBorders>
              <w:top w:val="single" w:sz="6" w:space="0" w:color="000000"/>
            </w:tcBorders>
          </w:tcPr>
          <w:p>
            <w:pPr>
              <w:pStyle w:val="TableParagraph"/>
              <w:spacing w:before="41"/>
              <w:ind w:left="21" w:right="16"/>
              <w:jc w:val="center"/>
              <w:rPr>
                <w:sz w:val="18"/>
              </w:rPr>
            </w:pPr>
            <w:r>
              <w:rPr>
                <w:spacing w:val="-4"/>
                <w:w w:val="105"/>
                <w:sz w:val="18"/>
              </w:rPr>
              <w:t>2017</w:t>
            </w:r>
          </w:p>
        </w:tc>
        <w:tc>
          <w:tcPr>
            <w:tcW w:w="223" w:type="dxa"/>
          </w:tcPr>
          <w:p>
            <w:pPr>
              <w:pStyle w:val="TableParagraph"/>
              <w:rPr>
                <w:sz w:val="18"/>
              </w:rPr>
            </w:pPr>
          </w:p>
        </w:tc>
        <w:tc>
          <w:tcPr>
            <w:tcW w:w="2460" w:type="dxa"/>
            <w:tcBorders>
              <w:top w:val="single" w:sz="6" w:space="0" w:color="000000"/>
            </w:tcBorders>
          </w:tcPr>
          <w:p>
            <w:pPr>
              <w:pStyle w:val="TableParagraph"/>
              <w:spacing w:line="220" w:lineRule="atLeast" w:before="28"/>
              <w:ind w:left="3"/>
              <w:rPr>
                <w:sz w:val="18"/>
              </w:rPr>
            </w:pPr>
            <w:r>
              <w:rPr>
                <w:w w:val="105"/>
                <w:sz w:val="18"/>
              </w:rPr>
              <w:t>Former President Asia, Executive Vice President, Tenneco Inc.</w:t>
            </w:r>
          </w:p>
        </w:tc>
        <w:tc>
          <w:tcPr>
            <w:tcW w:w="223" w:type="dxa"/>
          </w:tcPr>
          <w:p>
            <w:pPr>
              <w:pStyle w:val="TableParagraph"/>
              <w:rPr>
                <w:sz w:val="18"/>
              </w:rPr>
            </w:pPr>
          </w:p>
        </w:tc>
        <w:tc>
          <w:tcPr>
            <w:tcW w:w="447" w:type="dxa"/>
            <w:tcBorders>
              <w:top w:val="single" w:sz="6" w:space="0" w:color="000000"/>
            </w:tcBorders>
          </w:tcPr>
          <w:p>
            <w:pPr>
              <w:pStyle w:val="TableParagraph"/>
              <w:spacing w:before="41"/>
              <w:ind w:left="4"/>
              <w:jc w:val="center"/>
              <w:rPr>
                <w:sz w:val="18"/>
              </w:rPr>
            </w:pPr>
            <w:r>
              <w:rPr>
                <w:w w:val="103"/>
                <w:sz w:val="18"/>
              </w:rPr>
              <w:t>—</w:t>
            </w:r>
          </w:p>
        </w:tc>
        <w:tc>
          <w:tcPr>
            <w:tcW w:w="223" w:type="dxa"/>
          </w:tcPr>
          <w:p>
            <w:pPr>
              <w:pStyle w:val="TableParagraph"/>
              <w:rPr>
                <w:sz w:val="18"/>
              </w:rPr>
            </w:pPr>
          </w:p>
        </w:tc>
        <w:tc>
          <w:tcPr>
            <w:tcW w:w="251" w:type="dxa"/>
            <w:tcBorders>
              <w:top w:val="single" w:sz="6" w:space="0" w:color="000000"/>
            </w:tcBorders>
          </w:tcPr>
          <w:p>
            <w:pPr>
              <w:pStyle w:val="TableParagraph"/>
              <w:spacing w:before="41"/>
              <w:ind w:left="48"/>
              <w:rPr>
                <w:sz w:val="18"/>
              </w:rPr>
            </w:pPr>
            <w:r>
              <w:rPr>
                <w:w w:val="103"/>
                <w:sz w:val="18"/>
              </w:rPr>
              <w:t>M</w:t>
            </w:r>
          </w:p>
        </w:tc>
        <w:tc>
          <w:tcPr>
            <w:tcW w:w="223" w:type="dxa"/>
          </w:tcPr>
          <w:p>
            <w:pPr>
              <w:pStyle w:val="TableParagraph"/>
              <w:rPr>
                <w:sz w:val="18"/>
              </w:rPr>
            </w:pPr>
          </w:p>
        </w:tc>
        <w:tc>
          <w:tcPr>
            <w:tcW w:w="265" w:type="dxa"/>
            <w:tcBorders>
              <w:top w:val="single" w:sz="6" w:space="0" w:color="000000"/>
            </w:tcBorders>
          </w:tcPr>
          <w:p>
            <w:pPr>
              <w:pStyle w:val="TableParagraph"/>
              <w:spacing w:before="41"/>
              <w:ind w:left="54"/>
              <w:rPr>
                <w:sz w:val="18"/>
              </w:rPr>
            </w:pPr>
            <w:r>
              <w:rPr>
                <w:w w:val="103"/>
                <w:sz w:val="18"/>
              </w:rPr>
              <w:t>M</w:t>
            </w:r>
          </w:p>
        </w:tc>
        <w:tc>
          <w:tcPr>
            <w:tcW w:w="223" w:type="dxa"/>
          </w:tcPr>
          <w:p>
            <w:pPr>
              <w:pStyle w:val="TableParagraph"/>
              <w:rPr>
                <w:sz w:val="18"/>
              </w:rPr>
            </w:pPr>
          </w:p>
        </w:tc>
        <w:tc>
          <w:tcPr>
            <w:tcW w:w="251" w:type="dxa"/>
            <w:tcBorders>
              <w:top w:val="single" w:sz="6" w:space="0" w:color="000000"/>
            </w:tcBorders>
          </w:tcPr>
          <w:p>
            <w:pPr>
              <w:pStyle w:val="TableParagraph"/>
              <w:spacing w:before="41"/>
              <w:ind w:left="36"/>
              <w:rPr>
                <w:sz w:val="18"/>
              </w:rPr>
            </w:pPr>
            <w:r>
              <w:rPr>
                <w:w w:val="103"/>
                <w:sz w:val="18"/>
              </w:rPr>
              <w:t>—</w:t>
            </w:r>
          </w:p>
        </w:tc>
      </w:tr>
      <w:tr>
        <w:trPr>
          <w:trHeight w:val="516" w:hRule="atLeast"/>
        </w:trPr>
        <w:tc>
          <w:tcPr>
            <w:tcW w:w="2460" w:type="dxa"/>
          </w:tcPr>
          <w:p>
            <w:pPr>
              <w:pStyle w:val="TableParagraph"/>
              <w:spacing w:before="47"/>
              <w:rPr>
                <w:sz w:val="18"/>
              </w:rPr>
            </w:pPr>
            <w:r>
              <w:rPr>
                <w:w w:val="105"/>
                <w:sz w:val="18"/>
              </w:rPr>
              <w:t>Walter</w:t>
            </w:r>
            <w:r>
              <w:rPr>
                <w:spacing w:val="6"/>
                <w:w w:val="105"/>
                <w:sz w:val="18"/>
              </w:rPr>
              <w:t> </w:t>
            </w:r>
            <w:r>
              <w:rPr>
                <w:w w:val="105"/>
                <w:sz w:val="18"/>
              </w:rPr>
              <w:t>M</w:t>
            </w:r>
            <w:r>
              <w:rPr>
                <w:spacing w:val="6"/>
                <w:w w:val="105"/>
                <w:sz w:val="18"/>
              </w:rPr>
              <w:t> </w:t>
            </w:r>
            <w:r>
              <w:rPr>
                <w:w w:val="105"/>
                <w:sz w:val="18"/>
              </w:rPr>
              <w:t>Rosebrough,</w:t>
            </w:r>
            <w:r>
              <w:rPr>
                <w:spacing w:val="6"/>
                <w:w w:val="105"/>
                <w:sz w:val="18"/>
              </w:rPr>
              <w:t> </w:t>
            </w:r>
            <w:r>
              <w:rPr>
                <w:spacing w:val="-2"/>
                <w:w w:val="105"/>
                <w:sz w:val="18"/>
              </w:rPr>
              <w:t>Jr.</w:t>
            </w:r>
            <w:r>
              <w:rPr>
                <w:spacing w:val="-2"/>
                <w:w w:val="105"/>
                <w:sz w:val="18"/>
                <w:vertAlign w:val="superscript"/>
              </w:rPr>
              <w:t>(I)</w:t>
            </w:r>
          </w:p>
        </w:tc>
        <w:tc>
          <w:tcPr>
            <w:tcW w:w="223" w:type="dxa"/>
          </w:tcPr>
          <w:p>
            <w:pPr>
              <w:pStyle w:val="TableParagraph"/>
              <w:rPr>
                <w:sz w:val="18"/>
              </w:rPr>
            </w:pPr>
          </w:p>
        </w:tc>
        <w:tc>
          <w:tcPr>
            <w:tcW w:w="251" w:type="dxa"/>
          </w:tcPr>
          <w:p>
            <w:pPr>
              <w:pStyle w:val="TableParagraph"/>
              <w:spacing w:before="47"/>
              <w:ind w:left="9" w:right="6"/>
              <w:jc w:val="center"/>
              <w:rPr>
                <w:sz w:val="18"/>
              </w:rPr>
            </w:pPr>
            <w:r>
              <w:rPr>
                <w:spacing w:val="-5"/>
                <w:w w:val="105"/>
                <w:sz w:val="18"/>
              </w:rPr>
              <w:t>68</w:t>
            </w:r>
          </w:p>
        </w:tc>
        <w:tc>
          <w:tcPr>
            <w:tcW w:w="223" w:type="dxa"/>
          </w:tcPr>
          <w:p>
            <w:pPr>
              <w:pStyle w:val="TableParagraph"/>
              <w:rPr>
                <w:sz w:val="18"/>
              </w:rPr>
            </w:pPr>
          </w:p>
        </w:tc>
        <w:tc>
          <w:tcPr>
            <w:tcW w:w="545" w:type="dxa"/>
          </w:tcPr>
          <w:p>
            <w:pPr>
              <w:pStyle w:val="TableParagraph"/>
              <w:spacing w:before="47"/>
              <w:ind w:left="21" w:right="16"/>
              <w:jc w:val="center"/>
              <w:rPr>
                <w:sz w:val="18"/>
              </w:rPr>
            </w:pPr>
            <w:r>
              <w:rPr>
                <w:spacing w:val="-4"/>
                <w:w w:val="105"/>
                <w:sz w:val="18"/>
              </w:rPr>
              <w:t>2018</w:t>
            </w:r>
          </w:p>
        </w:tc>
        <w:tc>
          <w:tcPr>
            <w:tcW w:w="223" w:type="dxa"/>
          </w:tcPr>
          <w:p>
            <w:pPr>
              <w:pStyle w:val="TableParagraph"/>
              <w:rPr>
                <w:sz w:val="18"/>
              </w:rPr>
            </w:pPr>
          </w:p>
        </w:tc>
        <w:tc>
          <w:tcPr>
            <w:tcW w:w="2460" w:type="dxa"/>
          </w:tcPr>
          <w:p>
            <w:pPr>
              <w:pStyle w:val="TableParagraph"/>
              <w:spacing w:line="259" w:lineRule="auto" w:before="47"/>
              <w:ind w:left="3"/>
              <w:rPr>
                <w:sz w:val="18"/>
              </w:rPr>
            </w:pPr>
            <w:r>
              <w:rPr>
                <w:w w:val="105"/>
                <w:sz w:val="18"/>
              </w:rPr>
              <w:t>CEO Emeritus and Senior Advisor, STERIS plc</w:t>
            </w:r>
          </w:p>
        </w:tc>
        <w:tc>
          <w:tcPr>
            <w:tcW w:w="223" w:type="dxa"/>
          </w:tcPr>
          <w:p>
            <w:pPr>
              <w:pStyle w:val="TableParagraph"/>
              <w:rPr>
                <w:sz w:val="18"/>
              </w:rPr>
            </w:pPr>
          </w:p>
        </w:tc>
        <w:tc>
          <w:tcPr>
            <w:tcW w:w="447" w:type="dxa"/>
          </w:tcPr>
          <w:p>
            <w:pPr>
              <w:pStyle w:val="TableParagraph"/>
              <w:spacing w:before="47"/>
              <w:ind w:left="4"/>
              <w:jc w:val="center"/>
              <w:rPr>
                <w:sz w:val="18"/>
              </w:rPr>
            </w:pPr>
            <w:r>
              <w:rPr>
                <w:w w:val="103"/>
                <w:sz w:val="18"/>
              </w:rPr>
              <w:t>—</w:t>
            </w:r>
          </w:p>
        </w:tc>
        <w:tc>
          <w:tcPr>
            <w:tcW w:w="223" w:type="dxa"/>
          </w:tcPr>
          <w:p>
            <w:pPr>
              <w:pStyle w:val="TableParagraph"/>
              <w:rPr>
                <w:sz w:val="18"/>
              </w:rPr>
            </w:pPr>
          </w:p>
        </w:tc>
        <w:tc>
          <w:tcPr>
            <w:tcW w:w="251" w:type="dxa"/>
          </w:tcPr>
          <w:p>
            <w:pPr>
              <w:pStyle w:val="TableParagraph"/>
              <w:spacing w:before="47"/>
              <w:ind w:left="38"/>
              <w:rPr>
                <w:sz w:val="18"/>
              </w:rPr>
            </w:pPr>
            <w:r>
              <w:rPr>
                <w:w w:val="103"/>
                <w:sz w:val="18"/>
              </w:rPr>
              <w:t>—</w:t>
            </w:r>
          </w:p>
        </w:tc>
        <w:tc>
          <w:tcPr>
            <w:tcW w:w="223" w:type="dxa"/>
          </w:tcPr>
          <w:p>
            <w:pPr>
              <w:pStyle w:val="TableParagraph"/>
              <w:rPr>
                <w:sz w:val="18"/>
              </w:rPr>
            </w:pPr>
          </w:p>
        </w:tc>
        <w:tc>
          <w:tcPr>
            <w:tcW w:w="265" w:type="dxa"/>
          </w:tcPr>
          <w:p>
            <w:pPr>
              <w:pStyle w:val="TableParagraph"/>
              <w:spacing w:before="47"/>
              <w:ind w:left="75"/>
              <w:rPr>
                <w:sz w:val="18"/>
              </w:rPr>
            </w:pPr>
            <w:r>
              <w:rPr>
                <w:w w:val="103"/>
                <w:sz w:val="18"/>
              </w:rPr>
              <w:t>C</w:t>
            </w:r>
          </w:p>
        </w:tc>
        <w:tc>
          <w:tcPr>
            <w:tcW w:w="223" w:type="dxa"/>
          </w:tcPr>
          <w:p>
            <w:pPr>
              <w:pStyle w:val="TableParagraph"/>
              <w:rPr>
                <w:sz w:val="18"/>
              </w:rPr>
            </w:pPr>
          </w:p>
        </w:tc>
        <w:tc>
          <w:tcPr>
            <w:tcW w:w="251" w:type="dxa"/>
          </w:tcPr>
          <w:p>
            <w:pPr>
              <w:pStyle w:val="TableParagraph"/>
              <w:spacing w:before="47"/>
              <w:ind w:left="46"/>
              <w:rPr>
                <w:sz w:val="18"/>
              </w:rPr>
            </w:pPr>
            <w:r>
              <w:rPr>
                <w:w w:val="103"/>
                <w:sz w:val="18"/>
              </w:rPr>
              <w:t>M</w:t>
            </w:r>
          </w:p>
        </w:tc>
      </w:tr>
      <w:tr>
        <w:trPr>
          <w:trHeight w:val="266" w:hRule="atLeast"/>
        </w:trPr>
        <w:tc>
          <w:tcPr>
            <w:tcW w:w="2460" w:type="dxa"/>
          </w:tcPr>
          <w:p>
            <w:pPr>
              <w:pStyle w:val="TableParagraph"/>
              <w:spacing w:before="34"/>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251" w:type="dxa"/>
          </w:tcPr>
          <w:p>
            <w:pPr>
              <w:pStyle w:val="TableParagraph"/>
              <w:spacing w:before="34"/>
              <w:ind w:left="9" w:right="6"/>
              <w:jc w:val="center"/>
              <w:rPr>
                <w:sz w:val="18"/>
              </w:rPr>
            </w:pPr>
            <w:r>
              <w:rPr>
                <w:spacing w:val="-5"/>
                <w:w w:val="105"/>
                <w:sz w:val="18"/>
              </w:rPr>
              <w:t>58</w:t>
            </w:r>
          </w:p>
        </w:tc>
        <w:tc>
          <w:tcPr>
            <w:tcW w:w="223" w:type="dxa"/>
          </w:tcPr>
          <w:p>
            <w:pPr>
              <w:pStyle w:val="TableParagraph"/>
              <w:rPr>
                <w:sz w:val="18"/>
              </w:rPr>
            </w:pPr>
          </w:p>
        </w:tc>
        <w:tc>
          <w:tcPr>
            <w:tcW w:w="545" w:type="dxa"/>
          </w:tcPr>
          <w:p>
            <w:pPr>
              <w:pStyle w:val="TableParagraph"/>
              <w:spacing w:before="34"/>
              <w:ind w:left="21" w:right="16"/>
              <w:jc w:val="center"/>
              <w:rPr>
                <w:sz w:val="18"/>
              </w:rPr>
            </w:pPr>
            <w:r>
              <w:rPr>
                <w:spacing w:val="-4"/>
                <w:w w:val="105"/>
                <w:sz w:val="18"/>
              </w:rPr>
              <w:t>2017</w:t>
            </w:r>
          </w:p>
        </w:tc>
        <w:tc>
          <w:tcPr>
            <w:tcW w:w="223" w:type="dxa"/>
          </w:tcPr>
          <w:p>
            <w:pPr>
              <w:pStyle w:val="TableParagraph"/>
              <w:rPr>
                <w:sz w:val="18"/>
              </w:rPr>
            </w:pPr>
          </w:p>
        </w:tc>
        <w:tc>
          <w:tcPr>
            <w:tcW w:w="2460" w:type="dxa"/>
          </w:tcPr>
          <w:p>
            <w:pPr>
              <w:pStyle w:val="TableParagraph"/>
              <w:spacing w:before="34"/>
              <w:ind w:left="3"/>
              <w:rPr>
                <w:sz w:val="18"/>
              </w:rPr>
            </w:pPr>
            <w:r>
              <w:rPr>
                <w:w w:val="105"/>
                <w:sz w:val="18"/>
              </w:rPr>
              <w:t>President</w:t>
            </w:r>
            <w:r>
              <w:rPr>
                <w:spacing w:val="10"/>
                <w:w w:val="105"/>
                <w:sz w:val="18"/>
              </w:rPr>
              <w:t> </w:t>
            </w:r>
            <w:r>
              <w:rPr>
                <w:w w:val="105"/>
                <w:sz w:val="18"/>
              </w:rPr>
              <w:t>and</w:t>
            </w:r>
            <w:r>
              <w:rPr>
                <w:spacing w:val="11"/>
                <w:w w:val="105"/>
                <w:sz w:val="18"/>
              </w:rPr>
              <w:t> </w:t>
            </w:r>
            <w:r>
              <w:rPr>
                <w:w w:val="105"/>
                <w:sz w:val="18"/>
              </w:rPr>
              <w:t>CEO,</w:t>
            </w:r>
            <w:r>
              <w:rPr>
                <w:spacing w:val="7"/>
                <w:w w:val="105"/>
                <w:sz w:val="18"/>
              </w:rPr>
              <w:t> </w:t>
            </w:r>
            <w:r>
              <w:rPr>
                <w:spacing w:val="-4"/>
                <w:w w:val="105"/>
                <w:sz w:val="18"/>
              </w:rPr>
              <w:t>Varex</w:t>
            </w:r>
          </w:p>
        </w:tc>
        <w:tc>
          <w:tcPr>
            <w:tcW w:w="223" w:type="dxa"/>
          </w:tcPr>
          <w:p>
            <w:pPr>
              <w:pStyle w:val="TableParagraph"/>
              <w:rPr>
                <w:sz w:val="18"/>
              </w:rPr>
            </w:pPr>
          </w:p>
        </w:tc>
        <w:tc>
          <w:tcPr>
            <w:tcW w:w="447" w:type="dxa"/>
          </w:tcPr>
          <w:p>
            <w:pPr>
              <w:pStyle w:val="TableParagraph"/>
              <w:spacing w:before="34"/>
              <w:ind w:left="4"/>
              <w:jc w:val="center"/>
              <w:rPr>
                <w:sz w:val="18"/>
              </w:rPr>
            </w:pPr>
            <w:r>
              <w:rPr>
                <w:w w:val="103"/>
                <w:sz w:val="18"/>
              </w:rPr>
              <w:t>—</w:t>
            </w:r>
          </w:p>
        </w:tc>
        <w:tc>
          <w:tcPr>
            <w:tcW w:w="223" w:type="dxa"/>
          </w:tcPr>
          <w:p>
            <w:pPr>
              <w:pStyle w:val="TableParagraph"/>
              <w:rPr>
                <w:sz w:val="18"/>
              </w:rPr>
            </w:pPr>
          </w:p>
        </w:tc>
        <w:tc>
          <w:tcPr>
            <w:tcW w:w="251" w:type="dxa"/>
          </w:tcPr>
          <w:p>
            <w:pPr>
              <w:pStyle w:val="TableParagraph"/>
              <w:spacing w:before="34"/>
              <w:ind w:left="38"/>
              <w:rPr>
                <w:sz w:val="18"/>
              </w:rPr>
            </w:pPr>
            <w:r>
              <w:rPr>
                <w:w w:val="103"/>
                <w:sz w:val="18"/>
              </w:rPr>
              <w:t>—</w:t>
            </w:r>
          </w:p>
        </w:tc>
        <w:tc>
          <w:tcPr>
            <w:tcW w:w="223" w:type="dxa"/>
          </w:tcPr>
          <w:p>
            <w:pPr>
              <w:pStyle w:val="TableParagraph"/>
              <w:rPr>
                <w:sz w:val="18"/>
              </w:rPr>
            </w:pPr>
          </w:p>
        </w:tc>
        <w:tc>
          <w:tcPr>
            <w:tcW w:w="265" w:type="dxa"/>
          </w:tcPr>
          <w:p>
            <w:pPr>
              <w:pStyle w:val="TableParagraph"/>
              <w:spacing w:before="34"/>
              <w:ind w:left="44"/>
              <w:rPr>
                <w:sz w:val="18"/>
              </w:rPr>
            </w:pPr>
            <w:r>
              <w:rPr>
                <w:w w:val="103"/>
                <w:sz w:val="18"/>
              </w:rPr>
              <w:t>—</w:t>
            </w:r>
          </w:p>
        </w:tc>
        <w:tc>
          <w:tcPr>
            <w:tcW w:w="223" w:type="dxa"/>
          </w:tcPr>
          <w:p>
            <w:pPr>
              <w:pStyle w:val="TableParagraph"/>
              <w:rPr>
                <w:sz w:val="18"/>
              </w:rPr>
            </w:pPr>
          </w:p>
        </w:tc>
        <w:tc>
          <w:tcPr>
            <w:tcW w:w="251" w:type="dxa"/>
          </w:tcPr>
          <w:p>
            <w:pPr>
              <w:pStyle w:val="TableParagraph"/>
              <w:spacing w:before="34"/>
              <w:ind w:left="36"/>
              <w:rPr>
                <w:sz w:val="18"/>
              </w:rPr>
            </w:pPr>
            <w:r>
              <w:rPr>
                <w:w w:val="103"/>
                <w:sz w:val="18"/>
              </w:rPr>
              <w:t>—</w:t>
            </w:r>
          </w:p>
        </w:tc>
      </w:tr>
      <w:tr>
        <w:trPr>
          <w:trHeight w:val="689" w:hRule="atLeast"/>
        </w:trPr>
        <w:tc>
          <w:tcPr>
            <w:tcW w:w="2460" w:type="dxa"/>
          </w:tcPr>
          <w:p>
            <w:pPr>
              <w:pStyle w:val="TableParagraph"/>
              <w:spacing w:before="33"/>
              <w:rPr>
                <w:sz w:val="18"/>
              </w:rPr>
            </w:pPr>
            <w:r>
              <w:rPr>
                <w:w w:val="105"/>
                <w:sz w:val="18"/>
              </w:rPr>
              <w:t>Christine A.</w:t>
            </w:r>
            <w:r>
              <w:rPr>
                <w:spacing w:val="8"/>
                <w:w w:val="105"/>
                <w:sz w:val="18"/>
              </w:rPr>
              <w:t> </w:t>
            </w:r>
            <w:r>
              <w:rPr>
                <w:spacing w:val="-2"/>
                <w:w w:val="105"/>
                <w:sz w:val="18"/>
              </w:rPr>
              <w:t>Tsingos</w:t>
            </w:r>
            <w:r>
              <w:rPr>
                <w:spacing w:val="-2"/>
                <w:w w:val="105"/>
                <w:sz w:val="18"/>
                <w:vertAlign w:val="superscript"/>
              </w:rPr>
              <w:t>(FE)(I)</w:t>
            </w:r>
          </w:p>
        </w:tc>
        <w:tc>
          <w:tcPr>
            <w:tcW w:w="223" w:type="dxa"/>
          </w:tcPr>
          <w:p>
            <w:pPr>
              <w:pStyle w:val="TableParagraph"/>
              <w:rPr>
                <w:sz w:val="18"/>
              </w:rPr>
            </w:pPr>
          </w:p>
        </w:tc>
        <w:tc>
          <w:tcPr>
            <w:tcW w:w="251" w:type="dxa"/>
          </w:tcPr>
          <w:p>
            <w:pPr>
              <w:pStyle w:val="TableParagraph"/>
              <w:spacing w:before="33"/>
              <w:ind w:left="9" w:right="6"/>
              <w:jc w:val="center"/>
              <w:rPr>
                <w:sz w:val="18"/>
              </w:rPr>
            </w:pPr>
            <w:r>
              <w:rPr>
                <w:spacing w:val="-5"/>
                <w:w w:val="105"/>
                <w:sz w:val="18"/>
              </w:rPr>
              <w:t>64</w:t>
            </w:r>
          </w:p>
        </w:tc>
        <w:tc>
          <w:tcPr>
            <w:tcW w:w="223" w:type="dxa"/>
          </w:tcPr>
          <w:p>
            <w:pPr>
              <w:pStyle w:val="TableParagraph"/>
              <w:rPr>
                <w:sz w:val="18"/>
              </w:rPr>
            </w:pPr>
          </w:p>
        </w:tc>
        <w:tc>
          <w:tcPr>
            <w:tcW w:w="545" w:type="dxa"/>
          </w:tcPr>
          <w:p>
            <w:pPr>
              <w:pStyle w:val="TableParagraph"/>
              <w:spacing w:before="33"/>
              <w:ind w:left="21" w:right="16"/>
              <w:jc w:val="center"/>
              <w:rPr>
                <w:sz w:val="18"/>
              </w:rPr>
            </w:pPr>
            <w:r>
              <w:rPr>
                <w:spacing w:val="-4"/>
                <w:w w:val="105"/>
                <w:sz w:val="18"/>
              </w:rPr>
              <w:t>2017</w:t>
            </w:r>
          </w:p>
        </w:tc>
        <w:tc>
          <w:tcPr>
            <w:tcW w:w="223" w:type="dxa"/>
          </w:tcPr>
          <w:p>
            <w:pPr>
              <w:pStyle w:val="TableParagraph"/>
              <w:rPr>
                <w:sz w:val="18"/>
              </w:rPr>
            </w:pPr>
          </w:p>
        </w:tc>
        <w:tc>
          <w:tcPr>
            <w:tcW w:w="2460" w:type="dxa"/>
          </w:tcPr>
          <w:p>
            <w:pPr>
              <w:pStyle w:val="TableParagraph"/>
              <w:spacing w:line="220" w:lineRule="atLeast" w:before="9"/>
              <w:ind w:left="3" w:right="125"/>
              <w:rPr>
                <w:sz w:val="18"/>
              </w:rPr>
            </w:pPr>
            <w:r>
              <w:rPr>
                <w:w w:val="105"/>
                <w:sz w:val="18"/>
              </w:rPr>
              <w:t>Former Executive Vice President and CFO, Bio-Rad </w:t>
            </w:r>
            <w:r>
              <w:rPr>
                <w:spacing w:val="-2"/>
                <w:w w:val="105"/>
                <w:sz w:val="18"/>
              </w:rPr>
              <w:t>Laboratories</w:t>
            </w:r>
          </w:p>
        </w:tc>
        <w:tc>
          <w:tcPr>
            <w:tcW w:w="223" w:type="dxa"/>
          </w:tcPr>
          <w:p>
            <w:pPr>
              <w:pStyle w:val="TableParagraph"/>
              <w:rPr>
                <w:sz w:val="18"/>
              </w:rPr>
            </w:pPr>
          </w:p>
        </w:tc>
        <w:tc>
          <w:tcPr>
            <w:tcW w:w="447" w:type="dxa"/>
          </w:tcPr>
          <w:p>
            <w:pPr>
              <w:pStyle w:val="TableParagraph"/>
              <w:spacing w:before="33"/>
              <w:ind w:left="5"/>
              <w:jc w:val="center"/>
              <w:rPr>
                <w:sz w:val="18"/>
              </w:rPr>
            </w:pPr>
            <w:r>
              <w:rPr>
                <w:w w:val="103"/>
                <w:sz w:val="18"/>
              </w:rPr>
              <w:t>3</w:t>
            </w:r>
          </w:p>
        </w:tc>
        <w:tc>
          <w:tcPr>
            <w:tcW w:w="223" w:type="dxa"/>
          </w:tcPr>
          <w:p>
            <w:pPr>
              <w:pStyle w:val="TableParagraph"/>
              <w:rPr>
                <w:sz w:val="18"/>
              </w:rPr>
            </w:pPr>
          </w:p>
        </w:tc>
        <w:tc>
          <w:tcPr>
            <w:tcW w:w="251" w:type="dxa"/>
          </w:tcPr>
          <w:p>
            <w:pPr>
              <w:pStyle w:val="TableParagraph"/>
              <w:spacing w:before="33"/>
              <w:ind w:left="69"/>
              <w:rPr>
                <w:sz w:val="18"/>
              </w:rPr>
            </w:pPr>
            <w:r>
              <w:rPr>
                <w:w w:val="103"/>
                <w:sz w:val="18"/>
              </w:rPr>
              <w:t>C</w:t>
            </w:r>
          </w:p>
        </w:tc>
        <w:tc>
          <w:tcPr>
            <w:tcW w:w="223" w:type="dxa"/>
          </w:tcPr>
          <w:p>
            <w:pPr>
              <w:pStyle w:val="TableParagraph"/>
              <w:rPr>
                <w:sz w:val="18"/>
              </w:rPr>
            </w:pPr>
          </w:p>
        </w:tc>
        <w:tc>
          <w:tcPr>
            <w:tcW w:w="265" w:type="dxa"/>
          </w:tcPr>
          <w:p>
            <w:pPr>
              <w:pStyle w:val="TableParagraph"/>
              <w:spacing w:before="33"/>
              <w:ind w:left="44"/>
              <w:rPr>
                <w:sz w:val="18"/>
              </w:rPr>
            </w:pPr>
            <w:r>
              <w:rPr>
                <w:w w:val="103"/>
                <w:sz w:val="18"/>
              </w:rPr>
              <w:t>—</w:t>
            </w:r>
          </w:p>
        </w:tc>
        <w:tc>
          <w:tcPr>
            <w:tcW w:w="223" w:type="dxa"/>
          </w:tcPr>
          <w:p>
            <w:pPr>
              <w:pStyle w:val="TableParagraph"/>
              <w:rPr>
                <w:sz w:val="18"/>
              </w:rPr>
            </w:pPr>
          </w:p>
        </w:tc>
        <w:tc>
          <w:tcPr>
            <w:tcW w:w="251" w:type="dxa"/>
          </w:tcPr>
          <w:p>
            <w:pPr>
              <w:pStyle w:val="TableParagraph"/>
              <w:spacing w:before="33"/>
              <w:ind w:left="46"/>
              <w:rPr>
                <w:sz w:val="18"/>
              </w:rPr>
            </w:pPr>
            <w:r>
              <w:rPr>
                <w:w w:val="103"/>
                <w:sz w:val="18"/>
              </w:rPr>
              <w:t>M</w:t>
            </w:r>
          </w:p>
        </w:tc>
      </w:tr>
    </w:tbl>
    <w:p>
      <w:pPr>
        <w:pStyle w:val="BodyText"/>
        <w:spacing w:before="5"/>
        <w:rPr>
          <w:sz w:val="29"/>
        </w:rPr>
      </w:pPr>
    </w:p>
    <w:p>
      <w:pPr>
        <w:pStyle w:val="BodyText"/>
        <w:tabs>
          <w:tab w:pos="1861" w:val="left" w:leader="none"/>
        </w:tabs>
        <w:spacing w:before="98"/>
        <w:ind w:left="1414"/>
      </w:pPr>
      <w:r>
        <w:rPr>
          <w:spacing w:val="-5"/>
          <w:w w:val="105"/>
        </w:rPr>
        <w:t>(I)</w:t>
      </w:r>
      <w:r>
        <w:rPr/>
        <w:tab/>
      </w:r>
      <w:r>
        <w:rPr>
          <w:w w:val="105"/>
        </w:rPr>
        <w:t>Independent</w:t>
      </w:r>
      <w:r>
        <w:rPr>
          <w:spacing w:val="18"/>
          <w:w w:val="105"/>
        </w:rPr>
        <w:t> </w:t>
      </w:r>
      <w:r>
        <w:rPr>
          <w:spacing w:val="-2"/>
          <w:w w:val="105"/>
        </w:rPr>
        <w:t>Director</w:t>
      </w:r>
    </w:p>
    <w:p>
      <w:pPr>
        <w:pStyle w:val="BodyText"/>
        <w:spacing w:before="87"/>
        <w:ind w:left="1414"/>
      </w:pPr>
      <w:r>
        <w:rPr>
          <w:w w:val="105"/>
        </w:rPr>
        <w:t>(FE)</w:t>
      </w:r>
      <w:r>
        <w:rPr>
          <w:spacing w:val="55"/>
          <w:w w:val="105"/>
        </w:rPr>
        <w:t> </w:t>
      </w:r>
      <w:r>
        <w:rPr>
          <w:w w:val="105"/>
        </w:rPr>
        <w:t>Audit</w:t>
      </w:r>
      <w:r>
        <w:rPr>
          <w:spacing w:val="12"/>
          <w:w w:val="105"/>
        </w:rPr>
        <w:t> </w:t>
      </w:r>
      <w:r>
        <w:rPr>
          <w:w w:val="105"/>
        </w:rPr>
        <w:t>Committee</w:t>
      </w:r>
      <w:r>
        <w:rPr>
          <w:spacing w:val="12"/>
          <w:w w:val="105"/>
        </w:rPr>
        <w:t> </w:t>
      </w:r>
      <w:r>
        <w:rPr>
          <w:w w:val="105"/>
        </w:rPr>
        <w:t>Financial</w:t>
      </w:r>
      <w:r>
        <w:rPr>
          <w:spacing w:val="12"/>
          <w:w w:val="105"/>
        </w:rPr>
        <w:t> </w:t>
      </w:r>
      <w:r>
        <w:rPr>
          <w:spacing w:val="-2"/>
          <w:w w:val="105"/>
        </w:rPr>
        <w:t>Expert</w:t>
      </w:r>
    </w:p>
    <w:p>
      <w:pPr>
        <w:pStyle w:val="BodyText"/>
        <w:tabs>
          <w:tab w:pos="1861" w:val="left" w:leader="none"/>
        </w:tabs>
        <w:spacing w:before="87"/>
        <w:ind w:left="1414"/>
      </w:pPr>
      <w:r>
        <w:rPr>
          <w:spacing w:val="-10"/>
          <w:w w:val="105"/>
        </w:rPr>
        <w:t>C</w:t>
      </w:r>
      <w:r>
        <w:rPr/>
        <w:tab/>
      </w:r>
      <w:r>
        <w:rPr>
          <w:spacing w:val="-4"/>
          <w:w w:val="105"/>
        </w:rPr>
        <w:t>Chair</w:t>
      </w:r>
    </w:p>
    <w:p>
      <w:pPr>
        <w:pStyle w:val="BodyText"/>
        <w:tabs>
          <w:tab w:pos="1861" w:val="left" w:leader="none"/>
        </w:tabs>
        <w:spacing w:before="86"/>
        <w:ind w:left="1414"/>
      </w:pPr>
      <w:r>
        <w:rPr>
          <w:spacing w:val="-10"/>
          <w:w w:val="105"/>
        </w:rPr>
        <w:t>M</w:t>
      </w:r>
      <w:r>
        <w:rPr/>
        <w:tab/>
      </w:r>
      <w:r>
        <w:rPr>
          <w:spacing w:val="-2"/>
          <w:w w:val="105"/>
        </w:rPr>
        <w:t>Member</w:t>
      </w:r>
    </w:p>
    <w:p>
      <w:pPr>
        <w:pStyle w:val="BodyText"/>
        <w:spacing w:before="101"/>
        <w:ind w:left="1414"/>
      </w:pPr>
      <w:r>
        <w:rPr>
          <w:w w:val="105"/>
        </w:rPr>
        <w:t>AC</w:t>
      </w:r>
      <w:r>
        <w:rPr>
          <w:spacing w:val="45"/>
          <w:w w:val="105"/>
        </w:rPr>
        <w:t>  </w:t>
      </w:r>
      <w:r>
        <w:rPr>
          <w:w w:val="105"/>
        </w:rPr>
        <w:t>Audit</w:t>
      </w:r>
      <w:r>
        <w:rPr>
          <w:spacing w:val="8"/>
          <w:w w:val="105"/>
        </w:rPr>
        <w:t> </w:t>
      </w:r>
      <w:r>
        <w:rPr>
          <w:spacing w:val="-2"/>
          <w:w w:val="105"/>
        </w:rPr>
        <w:t>Committee</w:t>
      </w:r>
    </w:p>
    <w:p>
      <w:pPr>
        <w:spacing w:line="340" w:lineRule="auto" w:before="86"/>
        <w:ind w:left="1414" w:right="2280" w:firstLine="0"/>
        <w:jc w:val="left"/>
        <w:rPr>
          <w:sz w:val="18"/>
        </w:rPr>
      </w:pPr>
      <w:r>
        <w:rPr>
          <w:w w:val="105"/>
          <w:sz w:val="18"/>
        </w:rPr>
        <w:t>CC</w:t>
      </w:r>
      <w:r>
        <w:rPr>
          <w:spacing w:val="80"/>
          <w:w w:val="150"/>
          <w:sz w:val="18"/>
        </w:rPr>
        <w:t> </w:t>
      </w:r>
      <w:r>
        <w:rPr>
          <w:w w:val="105"/>
          <w:sz w:val="18"/>
        </w:rPr>
        <w:t>Compensation and Human Capital Management Committee (“</w:t>
      </w:r>
      <w:r>
        <w:rPr>
          <w:b/>
          <w:w w:val="105"/>
          <w:sz w:val="18"/>
        </w:rPr>
        <w:t>Compensation</w:t>
      </w:r>
      <w:r>
        <w:rPr>
          <w:b/>
          <w:spacing w:val="-12"/>
          <w:w w:val="105"/>
          <w:sz w:val="18"/>
        </w:rPr>
        <w:t> </w:t>
      </w:r>
      <w:r>
        <w:rPr>
          <w:b/>
          <w:w w:val="105"/>
          <w:sz w:val="18"/>
        </w:rPr>
        <w:t>Committee</w:t>
      </w:r>
      <w:r>
        <w:rPr>
          <w:w w:val="105"/>
          <w:sz w:val="18"/>
        </w:rPr>
        <w:t>”) NC</w:t>
      </w:r>
      <w:r>
        <w:rPr>
          <w:spacing w:val="80"/>
          <w:w w:val="105"/>
          <w:sz w:val="18"/>
        </w:rPr>
        <w:t> </w:t>
      </w:r>
      <w:r>
        <w:rPr>
          <w:w w:val="105"/>
          <w:sz w:val="18"/>
        </w:rPr>
        <w:t>Nominating and Corporate Governance Committee (“</w:t>
      </w:r>
      <w:r>
        <w:rPr>
          <w:b/>
          <w:w w:val="105"/>
          <w:sz w:val="18"/>
        </w:rPr>
        <w:t>Nominating Committee</w:t>
      </w:r>
      <w:r>
        <w:rPr>
          <w:w w:val="105"/>
          <w:sz w:val="18"/>
        </w:rPr>
        <w:t>”)</w:t>
      </w:r>
    </w:p>
    <w:p>
      <w:pPr>
        <w:pStyle w:val="BodyText"/>
        <w:spacing w:before="69"/>
        <w:ind w:left="1786"/>
      </w:pPr>
      <w:r>
        <w:rPr>
          <w:w w:val="105"/>
        </w:rPr>
        <w:t>Our</w:t>
      </w:r>
      <w:r>
        <w:rPr>
          <w:spacing w:val="11"/>
          <w:w w:val="105"/>
        </w:rPr>
        <w:t> </w:t>
      </w:r>
      <w:r>
        <w:rPr>
          <w:w w:val="105"/>
        </w:rPr>
        <w:t>Board</w:t>
      </w:r>
      <w:r>
        <w:rPr>
          <w:spacing w:val="11"/>
          <w:w w:val="105"/>
        </w:rPr>
        <w:t> </w:t>
      </w:r>
      <w:r>
        <w:rPr>
          <w:w w:val="105"/>
        </w:rPr>
        <w:t>recommends</w:t>
      </w:r>
      <w:r>
        <w:rPr>
          <w:spacing w:val="11"/>
          <w:w w:val="105"/>
        </w:rPr>
        <w:t> </w:t>
      </w:r>
      <w:r>
        <w:rPr>
          <w:w w:val="105"/>
        </w:rPr>
        <w:t>that</w:t>
      </w:r>
      <w:r>
        <w:rPr>
          <w:spacing w:val="11"/>
          <w:w w:val="105"/>
        </w:rPr>
        <w:t> </w:t>
      </w:r>
      <w:r>
        <w:rPr>
          <w:w w:val="105"/>
        </w:rPr>
        <w:t>our</w:t>
      </w:r>
      <w:r>
        <w:rPr>
          <w:spacing w:val="11"/>
          <w:w w:val="105"/>
        </w:rPr>
        <w:t> </w:t>
      </w:r>
      <w:r>
        <w:rPr>
          <w:w w:val="105"/>
        </w:rPr>
        <w:t>stockholders</w:t>
      </w:r>
      <w:r>
        <w:rPr>
          <w:spacing w:val="11"/>
          <w:w w:val="105"/>
        </w:rPr>
        <w:t> </w:t>
      </w:r>
      <w:r>
        <w:rPr>
          <w:w w:val="105"/>
        </w:rPr>
        <w:t>vote</w:t>
      </w:r>
      <w:r>
        <w:rPr>
          <w:spacing w:val="11"/>
          <w:w w:val="105"/>
        </w:rPr>
        <w:t> </w:t>
      </w:r>
      <w:r>
        <w:rPr>
          <w:w w:val="105"/>
        </w:rPr>
        <w:t>“for”</w:t>
      </w:r>
      <w:r>
        <w:rPr>
          <w:spacing w:val="11"/>
          <w:w w:val="105"/>
        </w:rPr>
        <w:t> </w:t>
      </w:r>
      <w:r>
        <w:rPr>
          <w:w w:val="105"/>
        </w:rPr>
        <w:t>the</w:t>
      </w:r>
      <w:r>
        <w:rPr>
          <w:spacing w:val="11"/>
          <w:w w:val="105"/>
        </w:rPr>
        <w:t> </w:t>
      </w:r>
      <w:r>
        <w:rPr>
          <w:w w:val="105"/>
        </w:rPr>
        <w:t>election</w:t>
      </w:r>
      <w:r>
        <w:rPr>
          <w:spacing w:val="11"/>
          <w:w w:val="105"/>
        </w:rPr>
        <w:t> </w:t>
      </w:r>
      <w:r>
        <w:rPr>
          <w:w w:val="105"/>
        </w:rPr>
        <w:t>of</w:t>
      </w:r>
      <w:r>
        <w:rPr>
          <w:spacing w:val="11"/>
          <w:w w:val="105"/>
        </w:rPr>
        <w:t> </w:t>
      </w:r>
      <w:r>
        <w:rPr>
          <w:w w:val="105"/>
        </w:rPr>
        <w:t>each</w:t>
      </w:r>
      <w:r>
        <w:rPr>
          <w:spacing w:val="11"/>
          <w:w w:val="105"/>
        </w:rPr>
        <w:t> </w:t>
      </w:r>
      <w:r>
        <w:rPr>
          <w:w w:val="105"/>
        </w:rPr>
        <w:t>of</w:t>
      </w:r>
      <w:r>
        <w:rPr>
          <w:spacing w:val="11"/>
          <w:w w:val="105"/>
        </w:rPr>
        <w:t> </w:t>
      </w:r>
      <w:r>
        <w:rPr>
          <w:w w:val="105"/>
        </w:rPr>
        <w:t>the</w:t>
      </w:r>
      <w:r>
        <w:rPr>
          <w:spacing w:val="11"/>
          <w:w w:val="105"/>
        </w:rPr>
        <w:t> </w:t>
      </w:r>
      <w:r>
        <w:rPr>
          <w:w w:val="105"/>
        </w:rPr>
        <w:t>director</w:t>
      </w:r>
      <w:r>
        <w:rPr>
          <w:spacing w:val="11"/>
          <w:w w:val="105"/>
        </w:rPr>
        <w:t> </w:t>
      </w:r>
      <w:r>
        <w:rPr>
          <w:spacing w:val="-2"/>
          <w:w w:val="105"/>
        </w:rPr>
        <w:t>nominees.</w:t>
      </w:r>
    </w:p>
    <w:p>
      <w:pPr>
        <w:pStyle w:val="BodyText"/>
        <w:spacing w:before="5"/>
        <w:rPr>
          <w:sz w:val="12"/>
        </w:rPr>
      </w:pPr>
    </w:p>
    <w:p>
      <w:pPr>
        <w:pStyle w:val="Heading2"/>
        <w:spacing w:before="98"/>
        <w:ind w:left="1414"/>
      </w:pPr>
      <w:r>
        <w:rPr>
          <w:spacing w:val="-2"/>
        </w:rPr>
        <w:t>Corporate</w:t>
      </w:r>
      <w:r>
        <w:rPr>
          <w:spacing w:val="4"/>
        </w:rPr>
        <w:t> </w:t>
      </w:r>
      <w:r>
        <w:rPr>
          <w:spacing w:val="-2"/>
        </w:rPr>
        <w:t>Governance</w:t>
      </w:r>
      <w:r>
        <w:rPr>
          <w:spacing w:val="5"/>
        </w:rPr>
        <w:t> </w:t>
      </w:r>
      <w:r>
        <w:rPr>
          <w:spacing w:val="-2"/>
        </w:rPr>
        <w:t>Highlights</w:t>
      </w:r>
    </w:p>
    <w:p>
      <w:pPr>
        <w:pStyle w:val="BodyText"/>
        <w:spacing w:line="242" w:lineRule="auto" w:before="170"/>
        <w:ind w:left="1414" w:right="1680" w:firstLine="372"/>
      </w:pPr>
      <w:r>
        <w:rPr>
          <w:w w:val="105"/>
        </w:rPr>
        <w:t>We are committed to having sound corporate governance principles that we believe serve the best interest</w:t>
      </w:r>
      <w:r>
        <w:rPr>
          <w:spacing w:val="16"/>
          <w:w w:val="105"/>
        </w:rPr>
        <w:t> </w:t>
      </w:r>
      <w:r>
        <w:rPr>
          <w:w w:val="105"/>
        </w:rPr>
        <w:t>of</w:t>
      </w:r>
      <w:r>
        <w:rPr>
          <w:spacing w:val="16"/>
          <w:w w:val="105"/>
        </w:rPr>
        <w:t> </w:t>
      </w:r>
      <w:r>
        <w:rPr>
          <w:w w:val="105"/>
        </w:rPr>
        <w:t>all</w:t>
      </w:r>
      <w:r>
        <w:rPr>
          <w:spacing w:val="16"/>
          <w:w w:val="105"/>
        </w:rPr>
        <w:t> </w:t>
      </w:r>
      <w:r>
        <w:rPr>
          <w:w w:val="105"/>
        </w:rPr>
        <w:t>our</w:t>
      </w:r>
      <w:r>
        <w:rPr>
          <w:spacing w:val="16"/>
          <w:w w:val="105"/>
        </w:rPr>
        <w:t> </w:t>
      </w:r>
      <w:r>
        <w:rPr>
          <w:w w:val="105"/>
        </w:rPr>
        <w:t>stockholders.</w:t>
      </w:r>
      <w:r>
        <w:rPr>
          <w:spacing w:val="16"/>
          <w:w w:val="105"/>
        </w:rPr>
        <w:t> </w:t>
      </w:r>
      <w:r>
        <w:rPr>
          <w:w w:val="105"/>
        </w:rPr>
        <w:t>Some</w:t>
      </w:r>
      <w:r>
        <w:rPr>
          <w:spacing w:val="16"/>
          <w:w w:val="105"/>
        </w:rPr>
        <w:t> </w:t>
      </w:r>
      <w:r>
        <w:rPr>
          <w:w w:val="105"/>
        </w:rPr>
        <w:t>highlights</w:t>
      </w:r>
      <w:r>
        <w:rPr>
          <w:spacing w:val="16"/>
          <w:w w:val="105"/>
        </w:rPr>
        <w:t> </w:t>
      </w:r>
      <w:r>
        <w:rPr>
          <w:w w:val="105"/>
        </w:rPr>
        <w:t>of</w:t>
      </w:r>
      <w:r>
        <w:rPr>
          <w:spacing w:val="16"/>
          <w:w w:val="105"/>
        </w:rPr>
        <w:t> </w:t>
      </w:r>
      <w:r>
        <w:rPr>
          <w:w w:val="105"/>
        </w:rPr>
        <w:t>our</w:t>
      </w:r>
      <w:r>
        <w:rPr>
          <w:spacing w:val="16"/>
          <w:w w:val="105"/>
        </w:rPr>
        <w:t> </w:t>
      </w:r>
      <w:r>
        <w:rPr>
          <w:w w:val="105"/>
        </w:rPr>
        <w:t>corporate</w:t>
      </w:r>
      <w:r>
        <w:rPr>
          <w:spacing w:val="16"/>
          <w:w w:val="105"/>
        </w:rPr>
        <w:t> </w:t>
      </w:r>
      <w:r>
        <w:rPr>
          <w:w w:val="105"/>
        </w:rPr>
        <w:t>governance</w:t>
      </w:r>
      <w:r>
        <w:rPr>
          <w:spacing w:val="16"/>
          <w:w w:val="105"/>
        </w:rPr>
        <w:t> </w:t>
      </w:r>
      <w:r>
        <w:rPr>
          <w:w w:val="105"/>
        </w:rPr>
        <w:t>practices</w:t>
      </w:r>
      <w:r>
        <w:rPr>
          <w:spacing w:val="16"/>
          <w:w w:val="105"/>
        </w:rPr>
        <w:t> </w:t>
      </w:r>
      <w:r>
        <w:rPr>
          <w:w w:val="105"/>
        </w:rPr>
        <w:t>are</w:t>
      </w:r>
      <w:r>
        <w:rPr>
          <w:spacing w:val="16"/>
          <w:w w:val="105"/>
        </w:rPr>
        <w:t> </w:t>
      </w:r>
      <w:r>
        <w:rPr>
          <w:w w:val="105"/>
        </w:rPr>
        <w:t>listed</w:t>
      </w:r>
      <w:r>
        <w:rPr>
          <w:spacing w:val="16"/>
          <w:w w:val="105"/>
        </w:rPr>
        <w:t> </w:t>
      </w:r>
      <w:r>
        <w:rPr>
          <w:w w:val="105"/>
        </w:rPr>
        <w:t>below.</w:t>
      </w:r>
    </w:p>
    <w:p>
      <w:pPr>
        <w:pStyle w:val="ListParagraph"/>
        <w:numPr>
          <w:ilvl w:val="0"/>
          <w:numId w:val="4"/>
        </w:numPr>
        <w:tabs>
          <w:tab w:pos="1974" w:val="left" w:leader="none"/>
        </w:tabs>
        <w:spacing w:line="259" w:lineRule="auto" w:before="113" w:after="0"/>
        <w:ind w:left="1973" w:right="1785" w:hanging="187"/>
        <w:jc w:val="left"/>
        <w:rPr>
          <w:sz w:val="18"/>
        </w:rPr>
      </w:pPr>
      <w:r>
        <w:rPr>
          <w:w w:val="105"/>
          <w:sz w:val="18"/>
        </w:rPr>
        <w:t>All but one of the members of our Board of Directors (the “</w:t>
      </w:r>
      <w:r>
        <w:rPr>
          <w:b/>
          <w:w w:val="105"/>
          <w:sz w:val="18"/>
        </w:rPr>
        <w:t>Board</w:t>
      </w:r>
      <w:r>
        <w:rPr>
          <w:w w:val="105"/>
          <w:sz w:val="18"/>
        </w:rPr>
        <w:t>”), and all members of our key Board committees, are independent;</w:t>
      </w:r>
    </w:p>
    <w:p>
      <w:pPr>
        <w:pStyle w:val="ListParagraph"/>
        <w:numPr>
          <w:ilvl w:val="0"/>
          <w:numId w:val="4"/>
        </w:numPr>
        <w:tabs>
          <w:tab w:pos="1974" w:val="left" w:leader="none"/>
        </w:tabs>
        <w:spacing w:line="240" w:lineRule="auto" w:before="113" w:after="0"/>
        <w:ind w:left="1973" w:right="0" w:hanging="188"/>
        <w:jc w:val="left"/>
        <w:rPr>
          <w:sz w:val="18"/>
        </w:rPr>
      </w:pPr>
      <w:r>
        <w:rPr>
          <w:w w:val="105"/>
          <w:sz w:val="18"/>
        </w:rPr>
        <w:t>Average</w:t>
      </w:r>
      <w:r>
        <w:rPr>
          <w:spacing w:val="10"/>
          <w:w w:val="105"/>
          <w:sz w:val="18"/>
        </w:rPr>
        <w:t> </w:t>
      </w:r>
      <w:r>
        <w:rPr>
          <w:w w:val="105"/>
          <w:sz w:val="18"/>
        </w:rPr>
        <w:t>director</w:t>
      </w:r>
      <w:r>
        <w:rPr>
          <w:spacing w:val="10"/>
          <w:w w:val="105"/>
          <w:sz w:val="18"/>
        </w:rPr>
        <w:t> </w:t>
      </w:r>
      <w:r>
        <w:rPr>
          <w:w w:val="105"/>
          <w:sz w:val="18"/>
        </w:rPr>
        <w:t>tenure</w:t>
      </w:r>
      <w:r>
        <w:rPr>
          <w:spacing w:val="10"/>
          <w:w w:val="105"/>
          <w:sz w:val="18"/>
        </w:rPr>
        <w:t> </w:t>
      </w:r>
      <w:r>
        <w:rPr>
          <w:w w:val="105"/>
          <w:sz w:val="18"/>
        </w:rPr>
        <w:t>is</w:t>
      </w:r>
      <w:r>
        <w:rPr>
          <w:spacing w:val="10"/>
          <w:w w:val="105"/>
          <w:sz w:val="18"/>
        </w:rPr>
        <w:t> </w:t>
      </w:r>
      <w:r>
        <w:rPr>
          <w:w w:val="105"/>
          <w:sz w:val="18"/>
        </w:rPr>
        <w:t>approximately</w:t>
      </w:r>
      <w:r>
        <w:rPr>
          <w:spacing w:val="10"/>
          <w:w w:val="105"/>
          <w:sz w:val="18"/>
        </w:rPr>
        <w:t> </w:t>
      </w:r>
      <w:r>
        <w:rPr>
          <w:w w:val="105"/>
          <w:sz w:val="18"/>
        </w:rPr>
        <w:t>4.5</w:t>
      </w:r>
      <w:r>
        <w:rPr>
          <w:spacing w:val="10"/>
          <w:w w:val="105"/>
          <w:sz w:val="18"/>
        </w:rPr>
        <w:t> </w:t>
      </w:r>
      <w:r>
        <w:rPr>
          <w:w w:val="105"/>
          <w:sz w:val="18"/>
        </w:rPr>
        <w:t>years</w:t>
      </w:r>
      <w:r>
        <w:rPr>
          <w:spacing w:val="10"/>
          <w:w w:val="105"/>
          <w:sz w:val="18"/>
        </w:rPr>
        <w:t> </w:t>
      </w:r>
      <w:r>
        <w:rPr>
          <w:w w:val="105"/>
          <w:sz w:val="18"/>
        </w:rPr>
        <w:t>as</w:t>
      </w:r>
      <w:r>
        <w:rPr>
          <w:spacing w:val="10"/>
          <w:w w:val="105"/>
          <w:sz w:val="18"/>
        </w:rPr>
        <w:t> </w:t>
      </w:r>
      <w:r>
        <w:rPr>
          <w:w w:val="105"/>
          <w:sz w:val="18"/>
        </w:rPr>
        <w:t>of</w:t>
      </w:r>
      <w:r>
        <w:rPr>
          <w:spacing w:val="11"/>
          <w:w w:val="105"/>
          <w:sz w:val="18"/>
        </w:rPr>
        <w:t> </w:t>
      </w:r>
      <w:r>
        <w:rPr>
          <w:w w:val="105"/>
          <w:sz w:val="18"/>
        </w:rPr>
        <w:t>December</w:t>
      </w:r>
      <w:r>
        <w:rPr>
          <w:spacing w:val="10"/>
          <w:w w:val="105"/>
          <w:sz w:val="18"/>
        </w:rPr>
        <w:t> </w:t>
      </w:r>
      <w:r>
        <w:rPr>
          <w:w w:val="105"/>
          <w:sz w:val="18"/>
        </w:rPr>
        <w:t>12,</w:t>
      </w:r>
      <w:r>
        <w:rPr>
          <w:spacing w:val="10"/>
          <w:w w:val="105"/>
          <w:sz w:val="18"/>
        </w:rPr>
        <w:t> </w:t>
      </w:r>
      <w:r>
        <w:rPr>
          <w:spacing w:val="-2"/>
          <w:w w:val="105"/>
          <w:sz w:val="18"/>
        </w:rPr>
        <w:t>2022;</w:t>
      </w:r>
    </w:p>
    <w:p>
      <w:pPr>
        <w:pStyle w:val="ListParagraph"/>
        <w:numPr>
          <w:ilvl w:val="0"/>
          <w:numId w:val="4"/>
        </w:numPr>
        <w:tabs>
          <w:tab w:pos="1974" w:val="left" w:leader="none"/>
        </w:tabs>
        <w:spacing w:line="240" w:lineRule="auto" w:before="128" w:after="0"/>
        <w:ind w:left="1973" w:right="0" w:hanging="188"/>
        <w:jc w:val="left"/>
        <w:rPr>
          <w:sz w:val="18"/>
        </w:rPr>
      </w:pPr>
      <w:r>
        <w:rPr>
          <w:w w:val="105"/>
          <w:sz w:val="18"/>
        </w:rPr>
        <w:t>Our</w:t>
      </w:r>
      <w:r>
        <w:rPr>
          <w:spacing w:val="10"/>
          <w:w w:val="105"/>
          <w:sz w:val="18"/>
        </w:rPr>
        <w:t> </w:t>
      </w:r>
      <w:r>
        <w:rPr>
          <w:w w:val="105"/>
          <w:sz w:val="18"/>
        </w:rPr>
        <w:t>entire</w:t>
      </w:r>
      <w:r>
        <w:rPr>
          <w:spacing w:val="10"/>
          <w:w w:val="105"/>
          <w:sz w:val="18"/>
        </w:rPr>
        <w:t> </w:t>
      </w:r>
      <w:r>
        <w:rPr>
          <w:w w:val="105"/>
          <w:sz w:val="18"/>
        </w:rPr>
        <w:t>Board</w:t>
      </w:r>
      <w:r>
        <w:rPr>
          <w:spacing w:val="10"/>
          <w:w w:val="105"/>
          <w:sz w:val="18"/>
        </w:rPr>
        <w:t> </w:t>
      </w:r>
      <w:r>
        <w:rPr>
          <w:w w:val="105"/>
          <w:sz w:val="18"/>
        </w:rPr>
        <w:t>is</w:t>
      </w:r>
      <w:r>
        <w:rPr>
          <w:spacing w:val="10"/>
          <w:w w:val="105"/>
          <w:sz w:val="18"/>
        </w:rPr>
        <w:t> </w:t>
      </w:r>
      <w:r>
        <w:rPr>
          <w:w w:val="105"/>
          <w:sz w:val="18"/>
        </w:rPr>
        <w:t>required</w:t>
      </w:r>
      <w:r>
        <w:rPr>
          <w:spacing w:val="11"/>
          <w:w w:val="105"/>
          <w:sz w:val="18"/>
        </w:rPr>
        <w:t> </w:t>
      </w:r>
      <w:r>
        <w:rPr>
          <w:w w:val="105"/>
          <w:sz w:val="18"/>
        </w:rPr>
        <w:t>to</w:t>
      </w:r>
      <w:r>
        <w:rPr>
          <w:spacing w:val="10"/>
          <w:w w:val="105"/>
          <w:sz w:val="18"/>
        </w:rPr>
        <w:t> </w:t>
      </w:r>
      <w:r>
        <w:rPr>
          <w:w w:val="105"/>
          <w:sz w:val="18"/>
        </w:rPr>
        <w:t>be</w:t>
      </w:r>
      <w:r>
        <w:rPr>
          <w:spacing w:val="10"/>
          <w:w w:val="105"/>
          <w:sz w:val="18"/>
        </w:rPr>
        <w:t> </w:t>
      </w:r>
      <w:r>
        <w:rPr>
          <w:w w:val="105"/>
          <w:sz w:val="18"/>
        </w:rPr>
        <w:t>elected</w:t>
      </w:r>
      <w:r>
        <w:rPr>
          <w:spacing w:val="10"/>
          <w:w w:val="105"/>
          <w:sz w:val="18"/>
        </w:rPr>
        <w:t> </w:t>
      </w:r>
      <w:r>
        <w:rPr>
          <w:spacing w:val="-2"/>
          <w:w w:val="105"/>
          <w:sz w:val="18"/>
        </w:rPr>
        <w:t>annually;</w:t>
      </w:r>
    </w:p>
    <w:p>
      <w:pPr>
        <w:pStyle w:val="ListParagraph"/>
        <w:numPr>
          <w:ilvl w:val="0"/>
          <w:numId w:val="4"/>
        </w:numPr>
        <w:tabs>
          <w:tab w:pos="1974" w:val="left" w:leader="none"/>
        </w:tabs>
        <w:spacing w:line="259" w:lineRule="auto" w:before="129" w:after="0"/>
        <w:ind w:left="1973" w:right="1432" w:hanging="187"/>
        <w:jc w:val="left"/>
        <w:rPr>
          <w:sz w:val="18"/>
        </w:rPr>
      </w:pPr>
      <w:r>
        <w:rPr>
          <w:w w:val="105"/>
          <w:sz w:val="18"/>
        </w:rPr>
        <w:t>An “independent” non-employee director is Chair and the roles of Chair and Chief Executive Officer</w:t>
      </w:r>
      <w:r>
        <w:rPr>
          <w:spacing w:val="40"/>
          <w:w w:val="105"/>
          <w:sz w:val="18"/>
        </w:rPr>
        <w:t> </w:t>
      </w:r>
      <w:r>
        <w:rPr>
          <w:w w:val="105"/>
          <w:sz w:val="18"/>
        </w:rPr>
        <w:t>are separate;</w:t>
      </w:r>
    </w:p>
    <w:p>
      <w:pPr>
        <w:pStyle w:val="ListParagraph"/>
        <w:numPr>
          <w:ilvl w:val="0"/>
          <w:numId w:val="4"/>
        </w:numPr>
        <w:tabs>
          <w:tab w:pos="1974" w:val="left" w:leader="none"/>
        </w:tabs>
        <w:spacing w:line="240" w:lineRule="auto" w:before="112" w:after="0"/>
        <w:ind w:left="1973" w:right="0" w:hanging="188"/>
        <w:jc w:val="left"/>
        <w:rPr>
          <w:sz w:val="18"/>
        </w:rPr>
      </w:pPr>
      <w:r>
        <w:rPr>
          <w:w w:val="105"/>
          <w:sz w:val="18"/>
        </w:rPr>
        <w:t>50%</w:t>
      </w:r>
      <w:r>
        <w:rPr>
          <w:spacing w:val="9"/>
          <w:w w:val="105"/>
          <w:sz w:val="18"/>
        </w:rPr>
        <w:t> </w:t>
      </w:r>
      <w:r>
        <w:rPr>
          <w:w w:val="105"/>
          <w:sz w:val="18"/>
        </w:rPr>
        <w:t>of</w:t>
      </w:r>
      <w:r>
        <w:rPr>
          <w:spacing w:val="9"/>
          <w:w w:val="105"/>
          <w:sz w:val="18"/>
        </w:rPr>
        <w:t> </w:t>
      </w:r>
      <w:r>
        <w:rPr>
          <w:w w:val="105"/>
          <w:sz w:val="18"/>
        </w:rPr>
        <w:t>our</w:t>
      </w:r>
      <w:r>
        <w:rPr>
          <w:spacing w:val="10"/>
          <w:w w:val="105"/>
          <w:sz w:val="18"/>
        </w:rPr>
        <w:t> </w:t>
      </w:r>
      <w:r>
        <w:rPr>
          <w:w w:val="105"/>
          <w:sz w:val="18"/>
        </w:rPr>
        <w:t>Board</w:t>
      </w:r>
      <w:r>
        <w:rPr>
          <w:spacing w:val="9"/>
          <w:w w:val="105"/>
          <w:sz w:val="18"/>
        </w:rPr>
        <w:t> </w:t>
      </w:r>
      <w:r>
        <w:rPr>
          <w:w w:val="105"/>
          <w:sz w:val="18"/>
        </w:rPr>
        <w:t>members</w:t>
      </w:r>
      <w:r>
        <w:rPr>
          <w:spacing w:val="10"/>
          <w:w w:val="105"/>
          <w:sz w:val="18"/>
        </w:rPr>
        <w:t> </w:t>
      </w:r>
      <w:r>
        <w:rPr>
          <w:w w:val="105"/>
          <w:sz w:val="18"/>
        </w:rPr>
        <w:t>are</w:t>
      </w:r>
      <w:r>
        <w:rPr>
          <w:spacing w:val="9"/>
          <w:w w:val="105"/>
          <w:sz w:val="18"/>
        </w:rPr>
        <w:t> </w:t>
      </w:r>
      <w:r>
        <w:rPr>
          <w:w w:val="105"/>
          <w:sz w:val="18"/>
        </w:rPr>
        <w:t>women</w:t>
      </w:r>
      <w:r>
        <w:rPr>
          <w:spacing w:val="10"/>
          <w:w w:val="105"/>
          <w:sz w:val="18"/>
        </w:rPr>
        <w:t> </w:t>
      </w:r>
      <w:r>
        <w:rPr>
          <w:w w:val="105"/>
          <w:sz w:val="18"/>
        </w:rPr>
        <w:t>or</w:t>
      </w:r>
      <w:r>
        <w:rPr>
          <w:spacing w:val="9"/>
          <w:w w:val="105"/>
          <w:sz w:val="18"/>
        </w:rPr>
        <w:t> </w:t>
      </w:r>
      <w:r>
        <w:rPr>
          <w:w w:val="105"/>
          <w:sz w:val="18"/>
        </w:rPr>
        <w:t>ethnically</w:t>
      </w:r>
      <w:r>
        <w:rPr>
          <w:spacing w:val="10"/>
          <w:w w:val="105"/>
          <w:sz w:val="18"/>
        </w:rPr>
        <w:t> </w:t>
      </w:r>
      <w:r>
        <w:rPr>
          <w:spacing w:val="-2"/>
          <w:w w:val="105"/>
          <w:sz w:val="18"/>
        </w:rPr>
        <w:t>diverse;</w:t>
      </w:r>
    </w:p>
    <w:p>
      <w:pPr>
        <w:pStyle w:val="ListParagraph"/>
        <w:numPr>
          <w:ilvl w:val="0"/>
          <w:numId w:val="4"/>
        </w:numPr>
        <w:tabs>
          <w:tab w:pos="1974" w:val="left" w:leader="none"/>
        </w:tabs>
        <w:spacing w:line="240" w:lineRule="auto" w:before="128" w:after="0"/>
        <w:ind w:left="1973" w:right="0" w:hanging="188"/>
        <w:jc w:val="left"/>
        <w:rPr>
          <w:sz w:val="18"/>
        </w:rPr>
      </w:pPr>
      <w:r>
        <w:rPr>
          <w:w w:val="105"/>
          <w:sz w:val="18"/>
        </w:rPr>
        <w:t>Majority</w:t>
      </w:r>
      <w:r>
        <w:rPr>
          <w:spacing w:val="13"/>
          <w:w w:val="105"/>
          <w:sz w:val="18"/>
        </w:rPr>
        <w:t> </w:t>
      </w:r>
      <w:r>
        <w:rPr>
          <w:w w:val="105"/>
          <w:sz w:val="18"/>
        </w:rPr>
        <w:t>voting</w:t>
      </w:r>
      <w:r>
        <w:rPr>
          <w:spacing w:val="14"/>
          <w:w w:val="105"/>
          <w:sz w:val="18"/>
        </w:rPr>
        <w:t> </w:t>
      </w:r>
      <w:r>
        <w:rPr>
          <w:w w:val="105"/>
          <w:sz w:val="18"/>
        </w:rPr>
        <w:t>and</w:t>
      </w:r>
      <w:r>
        <w:rPr>
          <w:spacing w:val="14"/>
          <w:w w:val="105"/>
          <w:sz w:val="18"/>
        </w:rPr>
        <w:t> </w:t>
      </w:r>
      <w:r>
        <w:rPr>
          <w:w w:val="105"/>
          <w:sz w:val="18"/>
        </w:rPr>
        <w:t>director</w:t>
      </w:r>
      <w:r>
        <w:rPr>
          <w:spacing w:val="14"/>
          <w:w w:val="105"/>
          <w:sz w:val="18"/>
        </w:rPr>
        <w:t> </w:t>
      </w:r>
      <w:r>
        <w:rPr>
          <w:w w:val="105"/>
          <w:sz w:val="18"/>
        </w:rPr>
        <w:t>resignation</w:t>
      </w:r>
      <w:r>
        <w:rPr>
          <w:spacing w:val="14"/>
          <w:w w:val="105"/>
          <w:sz w:val="18"/>
        </w:rPr>
        <w:t> </w:t>
      </w:r>
      <w:r>
        <w:rPr>
          <w:w w:val="105"/>
          <w:sz w:val="18"/>
        </w:rPr>
        <w:t>policy</w:t>
      </w:r>
      <w:r>
        <w:rPr>
          <w:spacing w:val="14"/>
          <w:w w:val="105"/>
          <w:sz w:val="18"/>
        </w:rPr>
        <w:t> </w:t>
      </w:r>
      <w:r>
        <w:rPr>
          <w:w w:val="105"/>
          <w:sz w:val="18"/>
        </w:rPr>
        <w:t>for</w:t>
      </w:r>
      <w:r>
        <w:rPr>
          <w:spacing w:val="13"/>
          <w:w w:val="105"/>
          <w:sz w:val="18"/>
        </w:rPr>
        <w:t> </w:t>
      </w:r>
      <w:r>
        <w:rPr>
          <w:w w:val="105"/>
          <w:sz w:val="18"/>
        </w:rPr>
        <w:t>directors</w:t>
      </w:r>
      <w:r>
        <w:rPr>
          <w:spacing w:val="14"/>
          <w:w w:val="105"/>
          <w:sz w:val="18"/>
        </w:rPr>
        <w:t> </w:t>
      </w:r>
      <w:r>
        <w:rPr>
          <w:w w:val="105"/>
          <w:sz w:val="18"/>
        </w:rPr>
        <w:t>in</w:t>
      </w:r>
      <w:r>
        <w:rPr>
          <w:spacing w:val="14"/>
          <w:w w:val="105"/>
          <w:sz w:val="18"/>
        </w:rPr>
        <w:t> </w:t>
      </w:r>
      <w:r>
        <w:rPr>
          <w:w w:val="105"/>
          <w:sz w:val="18"/>
        </w:rPr>
        <w:t>uncontested</w:t>
      </w:r>
      <w:r>
        <w:rPr>
          <w:spacing w:val="14"/>
          <w:w w:val="105"/>
          <w:sz w:val="18"/>
        </w:rPr>
        <w:t> </w:t>
      </w:r>
      <w:r>
        <w:rPr>
          <w:spacing w:val="-2"/>
          <w:w w:val="105"/>
          <w:sz w:val="18"/>
        </w:rPr>
        <w:t>elections;</w:t>
      </w:r>
    </w:p>
    <w:p>
      <w:pPr>
        <w:pStyle w:val="ListParagraph"/>
        <w:numPr>
          <w:ilvl w:val="0"/>
          <w:numId w:val="4"/>
        </w:numPr>
        <w:tabs>
          <w:tab w:pos="1974" w:val="left" w:leader="none"/>
        </w:tabs>
        <w:spacing w:line="240" w:lineRule="auto" w:before="129" w:after="0"/>
        <w:ind w:left="1973" w:right="0" w:hanging="188"/>
        <w:jc w:val="left"/>
        <w:rPr>
          <w:sz w:val="18"/>
        </w:rPr>
      </w:pPr>
      <w:r>
        <w:rPr>
          <w:w w:val="105"/>
          <w:sz w:val="18"/>
        </w:rPr>
        <w:t>Annual</w:t>
      </w:r>
      <w:r>
        <w:rPr>
          <w:spacing w:val="10"/>
          <w:w w:val="105"/>
          <w:sz w:val="18"/>
        </w:rPr>
        <w:t> </w:t>
      </w:r>
      <w:r>
        <w:rPr>
          <w:w w:val="105"/>
          <w:sz w:val="18"/>
        </w:rPr>
        <w:t>assessments</w:t>
      </w:r>
      <w:r>
        <w:rPr>
          <w:spacing w:val="10"/>
          <w:w w:val="105"/>
          <w:sz w:val="18"/>
        </w:rPr>
        <w:t> </w:t>
      </w:r>
      <w:r>
        <w:rPr>
          <w:w w:val="105"/>
          <w:sz w:val="18"/>
        </w:rPr>
        <w:t>of</w:t>
      </w:r>
      <w:r>
        <w:rPr>
          <w:spacing w:val="10"/>
          <w:w w:val="105"/>
          <w:sz w:val="18"/>
        </w:rPr>
        <w:t> </w:t>
      </w:r>
      <w:r>
        <w:rPr>
          <w:w w:val="105"/>
          <w:sz w:val="18"/>
        </w:rPr>
        <w:t>our</w:t>
      </w:r>
      <w:r>
        <w:rPr>
          <w:spacing w:val="11"/>
          <w:w w:val="105"/>
          <w:sz w:val="18"/>
        </w:rPr>
        <w:t> </w:t>
      </w:r>
      <w:r>
        <w:rPr>
          <w:w w:val="105"/>
          <w:sz w:val="18"/>
        </w:rPr>
        <w:t>Board</w:t>
      </w:r>
      <w:r>
        <w:rPr>
          <w:spacing w:val="10"/>
          <w:w w:val="105"/>
          <w:sz w:val="18"/>
        </w:rPr>
        <w:t> </w:t>
      </w:r>
      <w:r>
        <w:rPr>
          <w:w w:val="105"/>
          <w:sz w:val="18"/>
        </w:rPr>
        <w:t>and</w:t>
      </w:r>
      <w:r>
        <w:rPr>
          <w:spacing w:val="10"/>
          <w:w w:val="105"/>
          <w:sz w:val="18"/>
        </w:rPr>
        <w:t> </w:t>
      </w:r>
      <w:r>
        <w:rPr>
          <w:w w:val="105"/>
          <w:sz w:val="18"/>
        </w:rPr>
        <w:t>its</w:t>
      </w:r>
      <w:r>
        <w:rPr>
          <w:spacing w:val="11"/>
          <w:w w:val="105"/>
          <w:sz w:val="18"/>
        </w:rPr>
        <w:t> </w:t>
      </w:r>
      <w:r>
        <w:rPr>
          <w:spacing w:val="-2"/>
          <w:w w:val="105"/>
          <w:sz w:val="18"/>
        </w:rPr>
        <w:t>committees;</w:t>
      </w:r>
    </w:p>
    <w:p>
      <w:pPr>
        <w:pStyle w:val="ListParagraph"/>
        <w:numPr>
          <w:ilvl w:val="0"/>
          <w:numId w:val="4"/>
        </w:numPr>
        <w:tabs>
          <w:tab w:pos="1974" w:val="left" w:leader="none"/>
        </w:tabs>
        <w:spacing w:line="240" w:lineRule="auto" w:before="114" w:after="0"/>
        <w:ind w:left="1973" w:right="0" w:hanging="188"/>
        <w:jc w:val="left"/>
        <w:rPr>
          <w:sz w:val="18"/>
        </w:rPr>
      </w:pPr>
      <w:r>
        <w:rPr>
          <w:w w:val="105"/>
          <w:sz w:val="18"/>
        </w:rPr>
        <w:t>Regular</w:t>
      </w:r>
      <w:r>
        <w:rPr>
          <w:spacing w:val="14"/>
          <w:w w:val="105"/>
          <w:sz w:val="18"/>
        </w:rPr>
        <w:t> </w:t>
      </w:r>
      <w:r>
        <w:rPr>
          <w:w w:val="105"/>
          <w:sz w:val="18"/>
        </w:rPr>
        <w:t>executive</w:t>
      </w:r>
      <w:r>
        <w:rPr>
          <w:spacing w:val="14"/>
          <w:w w:val="105"/>
          <w:sz w:val="18"/>
        </w:rPr>
        <w:t> </w:t>
      </w:r>
      <w:r>
        <w:rPr>
          <w:w w:val="105"/>
          <w:sz w:val="18"/>
        </w:rPr>
        <w:t>sessions</w:t>
      </w:r>
      <w:r>
        <w:rPr>
          <w:spacing w:val="15"/>
          <w:w w:val="105"/>
          <w:sz w:val="18"/>
        </w:rPr>
        <w:t> </w:t>
      </w:r>
      <w:r>
        <w:rPr>
          <w:w w:val="105"/>
          <w:sz w:val="18"/>
        </w:rPr>
        <w:t>of</w:t>
      </w:r>
      <w:r>
        <w:rPr>
          <w:spacing w:val="14"/>
          <w:w w:val="105"/>
          <w:sz w:val="18"/>
        </w:rPr>
        <w:t> </w:t>
      </w:r>
      <w:r>
        <w:rPr>
          <w:w w:val="105"/>
          <w:sz w:val="18"/>
        </w:rPr>
        <w:t>independent</w:t>
      </w:r>
      <w:r>
        <w:rPr>
          <w:spacing w:val="15"/>
          <w:w w:val="105"/>
          <w:sz w:val="18"/>
        </w:rPr>
        <w:t> </w:t>
      </w:r>
      <w:r>
        <w:rPr>
          <w:spacing w:val="-2"/>
          <w:w w:val="105"/>
          <w:sz w:val="18"/>
        </w:rPr>
        <w:t>directors;</w:t>
      </w:r>
    </w:p>
    <w:p>
      <w:pPr>
        <w:pStyle w:val="ListParagraph"/>
        <w:numPr>
          <w:ilvl w:val="0"/>
          <w:numId w:val="4"/>
        </w:numPr>
        <w:tabs>
          <w:tab w:pos="1974" w:val="left" w:leader="none"/>
        </w:tabs>
        <w:spacing w:line="240" w:lineRule="auto" w:before="129" w:after="0"/>
        <w:ind w:left="1973" w:right="0" w:hanging="188"/>
        <w:jc w:val="left"/>
        <w:rPr>
          <w:sz w:val="18"/>
        </w:rPr>
      </w:pPr>
      <w:r>
        <w:rPr>
          <w:w w:val="105"/>
          <w:sz w:val="18"/>
        </w:rPr>
        <w:t>Regular</w:t>
      </w:r>
      <w:r>
        <w:rPr>
          <w:spacing w:val="12"/>
          <w:w w:val="105"/>
          <w:sz w:val="18"/>
        </w:rPr>
        <w:t> </w:t>
      </w:r>
      <w:r>
        <w:rPr>
          <w:w w:val="105"/>
          <w:sz w:val="18"/>
        </w:rPr>
        <w:t>focus</w:t>
      </w:r>
      <w:r>
        <w:rPr>
          <w:spacing w:val="13"/>
          <w:w w:val="105"/>
          <w:sz w:val="18"/>
        </w:rPr>
        <w:t> </w:t>
      </w:r>
      <w:r>
        <w:rPr>
          <w:w w:val="105"/>
          <w:sz w:val="18"/>
        </w:rPr>
        <w:t>on</w:t>
      </w:r>
      <w:r>
        <w:rPr>
          <w:spacing w:val="12"/>
          <w:w w:val="105"/>
          <w:sz w:val="18"/>
        </w:rPr>
        <w:t> </w:t>
      </w:r>
      <w:r>
        <w:rPr>
          <w:w w:val="105"/>
          <w:sz w:val="18"/>
        </w:rPr>
        <w:t>management</w:t>
      </w:r>
      <w:r>
        <w:rPr>
          <w:spacing w:val="13"/>
          <w:w w:val="105"/>
          <w:sz w:val="18"/>
        </w:rPr>
        <w:t> </w:t>
      </w:r>
      <w:r>
        <w:rPr>
          <w:w w:val="105"/>
          <w:sz w:val="18"/>
        </w:rPr>
        <w:t>and</w:t>
      </w:r>
      <w:r>
        <w:rPr>
          <w:spacing w:val="13"/>
          <w:w w:val="105"/>
          <w:sz w:val="18"/>
        </w:rPr>
        <w:t> </w:t>
      </w:r>
      <w:r>
        <w:rPr>
          <w:w w:val="105"/>
          <w:sz w:val="18"/>
        </w:rPr>
        <w:t>director</w:t>
      </w:r>
      <w:r>
        <w:rPr>
          <w:spacing w:val="12"/>
          <w:w w:val="105"/>
          <w:sz w:val="18"/>
        </w:rPr>
        <w:t> </w:t>
      </w:r>
      <w:r>
        <w:rPr>
          <w:w w:val="105"/>
          <w:sz w:val="18"/>
        </w:rPr>
        <w:t>succession</w:t>
      </w:r>
      <w:r>
        <w:rPr>
          <w:spacing w:val="13"/>
          <w:w w:val="105"/>
          <w:sz w:val="18"/>
        </w:rPr>
        <w:t> </w:t>
      </w:r>
      <w:r>
        <w:rPr>
          <w:spacing w:val="-2"/>
          <w:w w:val="105"/>
          <w:sz w:val="18"/>
        </w:rPr>
        <w:t>planning;</w:t>
      </w:r>
    </w:p>
    <w:p>
      <w:pPr>
        <w:pStyle w:val="ListParagraph"/>
        <w:numPr>
          <w:ilvl w:val="0"/>
          <w:numId w:val="4"/>
        </w:numPr>
        <w:tabs>
          <w:tab w:pos="1974" w:val="left" w:leader="none"/>
        </w:tabs>
        <w:spacing w:line="240" w:lineRule="auto" w:before="128" w:after="0"/>
        <w:ind w:left="1973" w:right="0" w:hanging="188"/>
        <w:jc w:val="left"/>
        <w:rPr>
          <w:sz w:val="18"/>
        </w:rPr>
      </w:pPr>
      <w:r>
        <w:rPr>
          <w:w w:val="105"/>
          <w:sz w:val="18"/>
        </w:rPr>
        <w:t>Stock</w:t>
      </w:r>
      <w:r>
        <w:rPr>
          <w:spacing w:val="13"/>
          <w:w w:val="105"/>
          <w:sz w:val="18"/>
        </w:rPr>
        <w:t> </w:t>
      </w:r>
      <w:r>
        <w:rPr>
          <w:w w:val="105"/>
          <w:sz w:val="18"/>
        </w:rPr>
        <w:t>ownership</w:t>
      </w:r>
      <w:r>
        <w:rPr>
          <w:spacing w:val="13"/>
          <w:w w:val="105"/>
          <w:sz w:val="18"/>
        </w:rPr>
        <w:t> </w:t>
      </w:r>
      <w:r>
        <w:rPr>
          <w:w w:val="105"/>
          <w:sz w:val="18"/>
        </w:rPr>
        <w:t>guidelines</w:t>
      </w:r>
      <w:r>
        <w:rPr>
          <w:spacing w:val="13"/>
          <w:w w:val="105"/>
          <w:sz w:val="18"/>
        </w:rPr>
        <w:t> </w:t>
      </w:r>
      <w:r>
        <w:rPr>
          <w:w w:val="105"/>
          <w:sz w:val="18"/>
        </w:rPr>
        <w:t>for</w:t>
      </w:r>
      <w:r>
        <w:rPr>
          <w:spacing w:val="13"/>
          <w:w w:val="105"/>
          <w:sz w:val="18"/>
        </w:rPr>
        <w:t> </w:t>
      </w:r>
      <w:r>
        <w:rPr>
          <w:w w:val="105"/>
          <w:sz w:val="18"/>
        </w:rPr>
        <w:t>our</w:t>
      </w:r>
      <w:r>
        <w:rPr>
          <w:spacing w:val="13"/>
          <w:w w:val="105"/>
          <w:sz w:val="18"/>
        </w:rPr>
        <w:t> </w:t>
      </w:r>
      <w:r>
        <w:rPr>
          <w:w w:val="105"/>
          <w:sz w:val="18"/>
        </w:rPr>
        <w:t>directors</w:t>
      </w:r>
      <w:r>
        <w:rPr>
          <w:spacing w:val="13"/>
          <w:w w:val="105"/>
          <w:sz w:val="18"/>
        </w:rPr>
        <w:t> </w:t>
      </w:r>
      <w:r>
        <w:rPr>
          <w:w w:val="105"/>
          <w:sz w:val="18"/>
        </w:rPr>
        <w:t>and</w:t>
      </w:r>
      <w:r>
        <w:rPr>
          <w:spacing w:val="13"/>
          <w:w w:val="105"/>
          <w:sz w:val="18"/>
        </w:rPr>
        <w:t> </w:t>
      </w:r>
      <w:r>
        <w:rPr>
          <w:w w:val="105"/>
          <w:sz w:val="18"/>
        </w:rPr>
        <w:t>executive</w:t>
      </w:r>
      <w:r>
        <w:rPr>
          <w:spacing w:val="13"/>
          <w:w w:val="105"/>
          <w:sz w:val="18"/>
        </w:rPr>
        <w:t> </w:t>
      </w:r>
      <w:r>
        <w:rPr>
          <w:spacing w:val="-2"/>
          <w:w w:val="105"/>
          <w:sz w:val="18"/>
        </w:rPr>
        <w:t>officers;</w:t>
      </w:r>
    </w:p>
    <w:p>
      <w:pPr>
        <w:pStyle w:val="ListParagraph"/>
        <w:numPr>
          <w:ilvl w:val="0"/>
          <w:numId w:val="4"/>
        </w:numPr>
        <w:tabs>
          <w:tab w:pos="1974" w:val="left" w:leader="none"/>
        </w:tabs>
        <w:spacing w:line="240" w:lineRule="auto" w:before="129" w:after="0"/>
        <w:ind w:left="1973" w:right="0" w:hanging="188"/>
        <w:jc w:val="left"/>
        <w:rPr>
          <w:sz w:val="18"/>
        </w:rPr>
      </w:pPr>
      <w:r>
        <w:rPr>
          <w:w w:val="105"/>
          <w:sz w:val="18"/>
        </w:rPr>
        <w:t>Broad</w:t>
      </w:r>
      <w:r>
        <w:rPr>
          <w:spacing w:val="14"/>
          <w:w w:val="105"/>
          <w:sz w:val="18"/>
        </w:rPr>
        <w:t> </w:t>
      </w:r>
      <w:r>
        <w:rPr>
          <w:w w:val="105"/>
          <w:sz w:val="18"/>
        </w:rPr>
        <w:t>executive</w:t>
      </w:r>
      <w:r>
        <w:rPr>
          <w:spacing w:val="14"/>
          <w:w w:val="105"/>
          <w:sz w:val="18"/>
        </w:rPr>
        <w:t> </w:t>
      </w:r>
      <w:r>
        <w:rPr>
          <w:w w:val="105"/>
          <w:sz w:val="18"/>
        </w:rPr>
        <w:t>officer</w:t>
      </w:r>
      <w:r>
        <w:rPr>
          <w:spacing w:val="15"/>
          <w:w w:val="105"/>
          <w:sz w:val="18"/>
        </w:rPr>
        <w:t> </w:t>
      </w:r>
      <w:r>
        <w:rPr>
          <w:w w:val="105"/>
          <w:sz w:val="18"/>
        </w:rPr>
        <w:t>and</w:t>
      </w:r>
      <w:r>
        <w:rPr>
          <w:spacing w:val="14"/>
          <w:w w:val="105"/>
          <w:sz w:val="18"/>
        </w:rPr>
        <w:t> </w:t>
      </w:r>
      <w:r>
        <w:rPr>
          <w:w w:val="105"/>
          <w:sz w:val="18"/>
        </w:rPr>
        <w:t>director</w:t>
      </w:r>
      <w:r>
        <w:rPr>
          <w:spacing w:val="15"/>
          <w:w w:val="105"/>
          <w:sz w:val="18"/>
        </w:rPr>
        <w:t> </w:t>
      </w:r>
      <w:r>
        <w:rPr>
          <w:w w:val="105"/>
          <w:sz w:val="18"/>
        </w:rPr>
        <w:t>anti-pledging</w:t>
      </w:r>
      <w:r>
        <w:rPr>
          <w:spacing w:val="14"/>
          <w:w w:val="105"/>
          <w:sz w:val="18"/>
        </w:rPr>
        <w:t> </w:t>
      </w:r>
      <w:r>
        <w:rPr>
          <w:w w:val="105"/>
          <w:sz w:val="18"/>
        </w:rPr>
        <w:t>and</w:t>
      </w:r>
      <w:r>
        <w:rPr>
          <w:spacing w:val="15"/>
          <w:w w:val="105"/>
          <w:sz w:val="18"/>
        </w:rPr>
        <w:t> </w:t>
      </w:r>
      <w:r>
        <w:rPr>
          <w:w w:val="105"/>
          <w:sz w:val="18"/>
        </w:rPr>
        <w:t>anti-hedging</w:t>
      </w:r>
      <w:r>
        <w:rPr>
          <w:spacing w:val="14"/>
          <w:w w:val="105"/>
          <w:sz w:val="18"/>
        </w:rPr>
        <w:t> </w:t>
      </w:r>
      <w:r>
        <w:rPr>
          <w:spacing w:val="-2"/>
          <w:w w:val="105"/>
          <w:sz w:val="18"/>
        </w:rPr>
        <w:t>policies;</w:t>
      </w:r>
    </w:p>
    <w:p>
      <w:pPr>
        <w:pStyle w:val="ListParagraph"/>
        <w:numPr>
          <w:ilvl w:val="0"/>
          <w:numId w:val="4"/>
        </w:numPr>
        <w:tabs>
          <w:tab w:pos="1974" w:val="left" w:leader="none"/>
        </w:tabs>
        <w:spacing w:line="240" w:lineRule="auto" w:before="129" w:after="0"/>
        <w:ind w:left="1973" w:right="0" w:hanging="188"/>
        <w:jc w:val="left"/>
        <w:rPr>
          <w:sz w:val="18"/>
        </w:rPr>
      </w:pPr>
      <w:r>
        <w:rPr>
          <w:w w:val="105"/>
          <w:sz w:val="18"/>
        </w:rPr>
        <w:t>Annual</w:t>
      </w:r>
      <w:r>
        <w:rPr>
          <w:spacing w:val="12"/>
          <w:w w:val="105"/>
          <w:sz w:val="18"/>
        </w:rPr>
        <w:t> </w:t>
      </w:r>
      <w:r>
        <w:rPr>
          <w:w w:val="105"/>
          <w:sz w:val="18"/>
        </w:rPr>
        <w:t>review</w:t>
      </w:r>
      <w:r>
        <w:rPr>
          <w:spacing w:val="12"/>
          <w:w w:val="105"/>
          <w:sz w:val="18"/>
        </w:rPr>
        <w:t> </w:t>
      </w:r>
      <w:r>
        <w:rPr>
          <w:w w:val="105"/>
          <w:sz w:val="18"/>
        </w:rPr>
        <w:t>of</w:t>
      </w:r>
      <w:r>
        <w:rPr>
          <w:spacing w:val="12"/>
          <w:w w:val="105"/>
          <w:sz w:val="18"/>
        </w:rPr>
        <w:t> </w:t>
      </w:r>
      <w:r>
        <w:rPr>
          <w:w w:val="105"/>
          <w:sz w:val="18"/>
        </w:rPr>
        <w:t>our</w:t>
      </w:r>
      <w:r>
        <w:rPr>
          <w:spacing w:val="12"/>
          <w:w w:val="105"/>
          <w:sz w:val="18"/>
        </w:rPr>
        <w:t> </w:t>
      </w:r>
      <w:r>
        <w:rPr>
          <w:w w:val="105"/>
          <w:sz w:val="18"/>
        </w:rPr>
        <w:t>business</w:t>
      </w:r>
      <w:r>
        <w:rPr>
          <w:spacing w:val="12"/>
          <w:w w:val="105"/>
          <w:sz w:val="18"/>
        </w:rPr>
        <w:t> </w:t>
      </w:r>
      <w:r>
        <w:rPr>
          <w:w w:val="105"/>
          <w:sz w:val="18"/>
        </w:rPr>
        <w:t>strategy</w:t>
      </w:r>
      <w:r>
        <w:rPr>
          <w:spacing w:val="12"/>
          <w:w w:val="105"/>
          <w:sz w:val="18"/>
        </w:rPr>
        <w:t> </w:t>
      </w:r>
      <w:r>
        <w:rPr>
          <w:w w:val="105"/>
          <w:sz w:val="18"/>
        </w:rPr>
        <w:t>and</w:t>
      </w:r>
      <w:r>
        <w:rPr>
          <w:spacing w:val="12"/>
          <w:w w:val="105"/>
          <w:sz w:val="18"/>
        </w:rPr>
        <w:t> </w:t>
      </w:r>
      <w:r>
        <w:rPr>
          <w:w w:val="105"/>
          <w:sz w:val="18"/>
        </w:rPr>
        <w:t>enterprise</w:t>
      </w:r>
      <w:r>
        <w:rPr>
          <w:spacing w:val="12"/>
          <w:w w:val="105"/>
          <w:sz w:val="18"/>
        </w:rPr>
        <w:t> </w:t>
      </w:r>
      <w:r>
        <w:rPr>
          <w:spacing w:val="-2"/>
          <w:w w:val="105"/>
          <w:sz w:val="18"/>
        </w:rPr>
        <w:t>risk;</w:t>
      </w:r>
    </w:p>
    <w:p>
      <w:pPr>
        <w:pStyle w:val="ListParagraph"/>
        <w:numPr>
          <w:ilvl w:val="0"/>
          <w:numId w:val="4"/>
        </w:numPr>
        <w:tabs>
          <w:tab w:pos="1974" w:val="left" w:leader="none"/>
        </w:tabs>
        <w:spacing w:line="259" w:lineRule="auto" w:before="128" w:after="0"/>
        <w:ind w:left="1973" w:right="1503" w:hanging="187"/>
        <w:jc w:val="left"/>
        <w:rPr>
          <w:sz w:val="18"/>
        </w:rPr>
      </w:pPr>
      <w:r>
        <w:rPr>
          <w:w w:val="105"/>
          <w:sz w:val="18"/>
        </w:rPr>
        <w:t>Board and committee oversight of cybersecurity and environmental, social and governance (“</w:t>
      </w:r>
      <w:r>
        <w:rPr>
          <w:b/>
          <w:w w:val="105"/>
          <w:sz w:val="18"/>
        </w:rPr>
        <w:t>ESG</w:t>
      </w:r>
      <w:r>
        <w:rPr>
          <w:w w:val="105"/>
          <w:sz w:val="18"/>
        </w:rPr>
        <w:t>”) </w:t>
      </w:r>
      <w:r>
        <w:rPr>
          <w:spacing w:val="-2"/>
          <w:w w:val="105"/>
          <w:sz w:val="18"/>
        </w:rPr>
        <w:t>matters;</w:t>
      </w:r>
    </w:p>
    <w:p>
      <w:pPr>
        <w:pStyle w:val="ListParagraph"/>
        <w:numPr>
          <w:ilvl w:val="0"/>
          <w:numId w:val="4"/>
        </w:numPr>
        <w:tabs>
          <w:tab w:pos="1974" w:val="left" w:leader="none"/>
        </w:tabs>
        <w:spacing w:line="259" w:lineRule="auto" w:before="112" w:after="0"/>
        <w:ind w:left="1973" w:right="1494" w:hanging="187"/>
        <w:jc w:val="left"/>
        <w:rPr>
          <w:sz w:val="18"/>
        </w:rPr>
      </w:pPr>
      <w:r>
        <w:rPr>
          <w:w w:val="105"/>
          <w:sz w:val="18"/>
        </w:rPr>
        <w:t>A management level Executive Compliance Committee oversees our ESG and compliance programs and activities; and</w:t>
      </w:r>
    </w:p>
    <w:p>
      <w:pPr>
        <w:pStyle w:val="ListParagraph"/>
        <w:numPr>
          <w:ilvl w:val="0"/>
          <w:numId w:val="4"/>
        </w:numPr>
        <w:tabs>
          <w:tab w:pos="1974" w:val="left" w:leader="none"/>
        </w:tabs>
        <w:spacing w:line="240" w:lineRule="auto" w:before="98" w:after="0"/>
        <w:ind w:left="1973" w:right="0" w:hanging="188"/>
        <w:jc w:val="left"/>
        <w:rPr>
          <w:sz w:val="18"/>
        </w:rPr>
      </w:pPr>
      <w:r>
        <w:rPr>
          <w:w w:val="105"/>
          <w:sz w:val="18"/>
        </w:rPr>
        <w:t>No</w:t>
      </w:r>
      <w:r>
        <w:rPr>
          <w:spacing w:val="12"/>
          <w:w w:val="105"/>
          <w:sz w:val="18"/>
        </w:rPr>
        <w:t> </w:t>
      </w:r>
      <w:r>
        <w:rPr>
          <w:w w:val="105"/>
          <w:sz w:val="18"/>
        </w:rPr>
        <w:t>multi-class</w:t>
      </w:r>
      <w:r>
        <w:rPr>
          <w:spacing w:val="13"/>
          <w:w w:val="105"/>
          <w:sz w:val="18"/>
        </w:rPr>
        <w:t> </w:t>
      </w:r>
      <w:r>
        <w:rPr>
          <w:w w:val="105"/>
          <w:sz w:val="18"/>
        </w:rPr>
        <w:t>or</w:t>
      </w:r>
      <w:r>
        <w:rPr>
          <w:spacing w:val="13"/>
          <w:w w:val="105"/>
          <w:sz w:val="18"/>
        </w:rPr>
        <w:t> </w:t>
      </w:r>
      <w:r>
        <w:rPr>
          <w:w w:val="105"/>
          <w:sz w:val="18"/>
        </w:rPr>
        <w:t>non-voting</w:t>
      </w:r>
      <w:r>
        <w:rPr>
          <w:spacing w:val="13"/>
          <w:w w:val="105"/>
          <w:sz w:val="18"/>
        </w:rPr>
        <w:t> </w:t>
      </w:r>
      <w:r>
        <w:rPr>
          <w:spacing w:val="-2"/>
          <w:w w:val="105"/>
          <w:sz w:val="18"/>
        </w:rPr>
        <w:t>stock.</w:t>
      </w:r>
    </w:p>
    <w:p>
      <w:pPr>
        <w:spacing w:after="0" w:line="240" w:lineRule="auto"/>
        <w:jc w:val="left"/>
        <w:rPr>
          <w:sz w:val="18"/>
        </w:rPr>
        <w:sectPr>
          <w:headerReference w:type="default" r:id="rId19"/>
          <w:footerReference w:type="default" r:id="rId20"/>
          <w:pgSz w:w="12240" w:h="15840"/>
          <w:pgMar w:header="529" w:footer="1148" w:top="720" w:bottom="1340" w:left="480" w:right="460"/>
        </w:sectPr>
      </w:pPr>
    </w:p>
    <w:p>
      <w:pPr>
        <w:pStyle w:val="BodyText"/>
        <w:rPr>
          <w:sz w:val="20"/>
        </w:rPr>
      </w:pPr>
      <w:r>
        <w:rPr/>
        <w:pict>
          <v:rect style="position:absolute;margin-left:83.171906pt;margin-top:62.901421pt;width:448.05411pt;height:647.965928pt;mso-position-horizontal-relative:page;mso-position-vertical-relative:page;z-index:-20511744" id="docshape56" filled="false" stroked="true" strokeweight=".698992pt" strokecolor="#000000">
            <v:stroke dashstyle="solid"/>
            <w10:wrap type="none"/>
          </v:rect>
        </w:pict>
      </w:r>
    </w:p>
    <w:p>
      <w:pPr>
        <w:pStyle w:val="BodyText"/>
        <w:rPr>
          <w:sz w:val="20"/>
        </w:rPr>
      </w:pPr>
    </w:p>
    <w:p>
      <w:pPr>
        <w:pStyle w:val="BodyText"/>
        <w:rPr>
          <w:sz w:val="26"/>
        </w:rPr>
      </w:pPr>
    </w:p>
    <w:p>
      <w:pPr>
        <w:pStyle w:val="Heading2"/>
        <w:spacing w:before="98"/>
        <w:ind w:left="1414"/>
      </w:pPr>
      <w:r>
        <w:rPr>
          <w:spacing w:val="-2"/>
        </w:rPr>
        <w:t>Executive</w:t>
      </w:r>
      <w:r>
        <w:rPr>
          <w:spacing w:val="5"/>
        </w:rPr>
        <w:t> </w:t>
      </w:r>
      <w:r>
        <w:rPr>
          <w:spacing w:val="-2"/>
        </w:rPr>
        <w:t>Compensation</w:t>
      </w:r>
      <w:r>
        <w:rPr>
          <w:spacing w:val="-8"/>
        </w:rPr>
        <w:t> </w:t>
      </w:r>
      <w:r>
        <w:rPr>
          <w:spacing w:val="-2"/>
        </w:rPr>
        <w:t>Advisory</w:t>
      </w:r>
      <w:r>
        <w:rPr/>
        <w:t> </w:t>
      </w:r>
      <w:r>
        <w:rPr>
          <w:spacing w:val="-4"/>
        </w:rPr>
        <w:t>Vote</w:t>
      </w:r>
    </w:p>
    <w:p>
      <w:pPr>
        <w:pStyle w:val="BodyText"/>
        <w:spacing w:before="10"/>
        <w:rPr>
          <w:b/>
          <w:sz w:val="20"/>
        </w:rPr>
      </w:pPr>
    </w:p>
    <w:p>
      <w:pPr>
        <w:spacing w:before="0"/>
        <w:ind w:left="1414" w:right="0" w:firstLine="0"/>
        <w:jc w:val="left"/>
        <w:rPr>
          <w:i/>
          <w:sz w:val="18"/>
        </w:rPr>
      </w:pPr>
      <w:r>
        <w:rPr>
          <w:i/>
          <w:w w:val="105"/>
          <w:sz w:val="18"/>
        </w:rPr>
        <w:t>See</w:t>
      </w:r>
      <w:r>
        <w:rPr>
          <w:i/>
          <w:spacing w:val="6"/>
          <w:w w:val="105"/>
          <w:sz w:val="18"/>
        </w:rPr>
        <w:t> </w:t>
      </w:r>
      <w:r>
        <w:rPr>
          <w:i/>
          <w:w w:val="105"/>
          <w:sz w:val="18"/>
        </w:rPr>
        <w:t>Proposal</w:t>
      </w:r>
      <w:r>
        <w:rPr>
          <w:i/>
          <w:spacing w:val="7"/>
          <w:w w:val="105"/>
          <w:sz w:val="18"/>
        </w:rPr>
        <w:t> </w:t>
      </w:r>
      <w:r>
        <w:rPr>
          <w:i/>
          <w:w w:val="105"/>
          <w:sz w:val="18"/>
        </w:rPr>
        <w:t>Two</w:t>
      </w:r>
      <w:r>
        <w:rPr>
          <w:i/>
          <w:spacing w:val="6"/>
          <w:w w:val="105"/>
          <w:sz w:val="18"/>
        </w:rPr>
        <w:t> </w:t>
      </w:r>
      <w:r>
        <w:rPr>
          <w:i/>
          <w:w w:val="105"/>
          <w:sz w:val="18"/>
        </w:rPr>
        <w:t>“Advisory</w:t>
      </w:r>
      <w:r>
        <w:rPr>
          <w:i/>
          <w:spacing w:val="7"/>
          <w:w w:val="105"/>
          <w:sz w:val="18"/>
        </w:rPr>
        <w:t> </w:t>
      </w:r>
      <w:r>
        <w:rPr>
          <w:i/>
          <w:w w:val="105"/>
          <w:sz w:val="18"/>
        </w:rPr>
        <w:t>Vote</w:t>
      </w:r>
      <w:r>
        <w:rPr>
          <w:i/>
          <w:spacing w:val="6"/>
          <w:w w:val="105"/>
          <w:sz w:val="18"/>
        </w:rPr>
        <w:t> </w:t>
      </w:r>
      <w:r>
        <w:rPr>
          <w:i/>
          <w:w w:val="105"/>
          <w:sz w:val="18"/>
        </w:rPr>
        <w:t>to</w:t>
      </w:r>
      <w:r>
        <w:rPr>
          <w:i/>
          <w:spacing w:val="3"/>
          <w:w w:val="105"/>
          <w:sz w:val="18"/>
        </w:rPr>
        <w:t> </w:t>
      </w:r>
      <w:r>
        <w:rPr>
          <w:i/>
          <w:w w:val="105"/>
          <w:sz w:val="18"/>
        </w:rPr>
        <w:t>Approve</w:t>
      </w:r>
      <w:r>
        <w:rPr>
          <w:i/>
          <w:spacing w:val="7"/>
          <w:w w:val="105"/>
          <w:sz w:val="18"/>
        </w:rPr>
        <w:t> </w:t>
      </w:r>
      <w:r>
        <w:rPr>
          <w:i/>
          <w:w w:val="105"/>
          <w:sz w:val="18"/>
        </w:rPr>
        <w:t>Our</w:t>
      </w:r>
      <w:r>
        <w:rPr>
          <w:i/>
          <w:spacing w:val="6"/>
          <w:w w:val="105"/>
          <w:sz w:val="18"/>
        </w:rPr>
        <w:t> </w:t>
      </w:r>
      <w:r>
        <w:rPr>
          <w:i/>
          <w:w w:val="105"/>
          <w:sz w:val="18"/>
        </w:rPr>
        <w:t>Executive</w:t>
      </w:r>
      <w:r>
        <w:rPr>
          <w:i/>
          <w:spacing w:val="7"/>
          <w:w w:val="105"/>
          <w:sz w:val="18"/>
        </w:rPr>
        <w:t> </w:t>
      </w:r>
      <w:r>
        <w:rPr>
          <w:i/>
          <w:w w:val="105"/>
          <w:sz w:val="18"/>
        </w:rPr>
        <w:t>Compensation”</w:t>
      </w:r>
      <w:r>
        <w:rPr>
          <w:i/>
          <w:spacing w:val="6"/>
          <w:w w:val="105"/>
          <w:sz w:val="18"/>
        </w:rPr>
        <w:t> </w:t>
      </w:r>
      <w:r>
        <w:rPr>
          <w:i/>
          <w:w w:val="105"/>
          <w:sz w:val="18"/>
        </w:rPr>
        <w:t>for</w:t>
      </w:r>
      <w:r>
        <w:rPr>
          <w:i/>
          <w:spacing w:val="7"/>
          <w:w w:val="105"/>
          <w:sz w:val="18"/>
        </w:rPr>
        <w:t> </w:t>
      </w:r>
      <w:r>
        <w:rPr>
          <w:i/>
          <w:w w:val="105"/>
          <w:sz w:val="18"/>
        </w:rPr>
        <w:t>more</w:t>
      </w:r>
      <w:r>
        <w:rPr>
          <w:i/>
          <w:spacing w:val="7"/>
          <w:w w:val="105"/>
          <w:sz w:val="18"/>
        </w:rPr>
        <w:t> </w:t>
      </w:r>
      <w:r>
        <w:rPr>
          <w:i/>
          <w:spacing w:val="-2"/>
          <w:w w:val="105"/>
          <w:sz w:val="18"/>
        </w:rPr>
        <w:t>information.</w:t>
      </w:r>
    </w:p>
    <w:p>
      <w:pPr>
        <w:pStyle w:val="BodyText"/>
        <w:spacing w:line="259" w:lineRule="auto" w:before="171"/>
        <w:ind w:left="1414" w:right="1423" w:firstLine="372"/>
      </w:pPr>
      <w:r>
        <w:rPr>
          <w:w w:val="105"/>
        </w:rPr>
        <w:t>Our</w:t>
      </w:r>
      <w:r>
        <w:rPr>
          <w:spacing w:val="15"/>
          <w:w w:val="105"/>
        </w:rPr>
        <w:t> </w:t>
      </w:r>
      <w:r>
        <w:rPr>
          <w:w w:val="105"/>
        </w:rPr>
        <w:t>Board</w:t>
      </w:r>
      <w:r>
        <w:rPr>
          <w:spacing w:val="15"/>
          <w:w w:val="105"/>
        </w:rPr>
        <w:t> </w:t>
      </w:r>
      <w:r>
        <w:rPr>
          <w:w w:val="105"/>
        </w:rPr>
        <w:t>recommends</w:t>
      </w:r>
      <w:r>
        <w:rPr>
          <w:spacing w:val="15"/>
          <w:w w:val="105"/>
        </w:rPr>
        <w:t> </w:t>
      </w:r>
      <w:r>
        <w:rPr>
          <w:w w:val="105"/>
        </w:rPr>
        <w:t>that</w:t>
      </w:r>
      <w:r>
        <w:rPr>
          <w:spacing w:val="15"/>
          <w:w w:val="105"/>
        </w:rPr>
        <w:t> </w:t>
      </w:r>
      <w:r>
        <w:rPr>
          <w:w w:val="105"/>
        </w:rPr>
        <w:t>stockholders</w:t>
      </w:r>
      <w:r>
        <w:rPr>
          <w:spacing w:val="15"/>
          <w:w w:val="105"/>
        </w:rPr>
        <w:t> </w:t>
      </w:r>
      <w:r>
        <w:rPr>
          <w:w w:val="105"/>
        </w:rPr>
        <w:t>vote</w:t>
      </w:r>
      <w:r>
        <w:rPr>
          <w:spacing w:val="15"/>
          <w:w w:val="105"/>
        </w:rPr>
        <w:t> </w:t>
      </w:r>
      <w:r>
        <w:rPr>
          <w:w w:val="105"/>
        </w:rPr>
        <w:t>to</w:t>
      </w:r>
      <w:r>
        <w:rPr>
          <w:spacing w:val="15"/>
          <w:w w:val="105"/>
        </w:rPr>
        <w:t> </w:t>
      </w:r>
      <w:r>
        <w:rPr>
          <w:w w:val="105"/>
        </w:rPr>
        <w:t>approve,</w:t>
      </w:r>
      <w:r>
        <w:rPr>
          <w:spacing w:val="15"/>
          <w:w w:val="105"/>
        </w:rPr>
        <w:t> </w:t>
      </w:r>
      <w:r>
        <w:rPr>
          <w:w w:val="105"/>
        </w:rPr>
        <w:t>on</w:t>
      </w:r>
      <w:r>
        <w:rPr>
          <w:spacing w:val="15"/>
          <w:w w:val="105"/>
        </w:rPr>
        <w:t> </w:t>
      </w:r>
      <w:r>
        <w:rPr>
          <w:w w:val="105"/>
        </w:rPr>
        <w:t>an</w:t>
      </w:r>
      <w:r>
        <w:rPr>
          <w:spacing w:val="15"/>
          <w:w w:val="105"/>
        </w:rPr>
        <w:t> </w:t>
      </w:r>
      <w:r>
        <w:rPr>
          <w:w w:val="105"/>
        </w:rPr>
        <w:t>advisory</w:t>
      </w:r>
      <w:r>
        <w:rPr>
          <w:spacing w:val="15"/>
          <w:w w:val="105"/>
        </w:rPr>
        <w:t> </w:t>
      </w:r>
      <w:r>
        <w:rPr>
          <w:w w:val="105"/>
        </w:rPr>
        <w:t>basis,</w:t>
      </w:r>
      <w:r>
        <w:rPr>
          <w:spacing w:val="15"/>
          <w:w w:val="105"/>
        </w:rPr>
        <w:t> </w:t>
      </w:r>
      <w:r>
        <w:rPr>
          <w:w w:val="105"/>
        </w:rPr>
        <w:t>the</w:t>
      </w:r>
      <w:r>
        <w:rPr>
          <w:spacing w:val="15"/>
          <w:w w:val="105"/>
        </w:rPr>
        <w:t> </w:t>
      </w:r>
      <w:r>
        <w:rPr>
          <w:w w:val="105"/>
        </w:rPr>
        <w:t>compensation</w:t>
      </w:r>
      <w:r>
        <w:rPr>
          <w:spacing w:val="15"/>
          <w:w w:val="105"/>
        </w:rPr>
        <w:t> </w:t>
      </w:r>
      <w:r>
        <w:rPr>
          <w:w w:val="105"/>
        </w:rPr>
        <w:t>paid to our Named Executive Officers, as described in this Proxy Statement.</w:t>
      </w:r>
    </w:p>
    <w:p>
      <w:pPr>
        <w:pStyle w:val="BodyText"/>
        <w:spacing w:before="5"/>
        <w:rPr>
          <w:sz w:val="19"/>
        </w:rPr>
      </w:pPr>
    </w:p>
    <w:p>
      <w:pPr>
        <w:pStyle w:val="Heading2"/>
        <w:ind w:left="1414"/>
      </w:pPr>
      <w:r>
        <w:rPr>
          <w:spacing w:val="-2"/>
        </w:rPr>
        <w:t>Approval</w:t>
      </w:r>
      <w:r>
        <w:rPr>
          <w:spacing w:val="-4"/>
        </w:rPr>
        <w:t> </w:t>
      </w:r>
      <w:r>
        <w:rPr>
          <w:spacing w:val="-2"/>
        </w:rPr>
        <w:t>of</w:t>
      </w:r>
      <w:r>
        <w:rPr>
          <w:spacing w:val="-14"/>
        </w:rPr>
        <w:t> </w:t>
      </w:r>
      <w:r>
        <w:rPr>
          <w:spacing w:val="-2"/>
        </w:rPr>
        <w:t>Auditor</w:t>
      </w:r>
      <w:r>
        <w:rPr>
          <w:spacing w:val="-8"/>
        </w:rPr>
        <w:t> </w:t>
      </w:r>
      <w:r>
        <w:rPr>
          <w:spacing w:val="-2"/>
        </w:rPr>
        <w:t>for</w:t>
      </w:r>
      <w:r>
        <w:rPr>
          <w:spacing w:val="-7"/>
        </w:rPr>
        <w:t> </w:t>
      </w:r>
      <w:r>
        <w:rPr>
          <w:spacing w:val="-2"/>
        </w:rPr>
        <w:t>Fiscal</w:t>
      </w:r>
      <w:r>
        <w:rPr>
          <w:spacing w:val="-11"/>
        </w:rPr>
        <w:t> </w:t>
      </w:r>
      <w:r>
        <w:rPr>
          <w:spacing w:val="-2"/>
        </w:rPr>
        <w:t>Year</w:t>
      </w:r>
      <w:r>
        <w:rPr>
          <w:spacing w:val="-7"/>
        </w:rPr>
        <w:t> </w:t>
      </w:r>
      <w:r>
        <w:rPr>
          <w:spacing w:val="-4"/>
        </w:rPr>
        <w:t>2023</w:t>
      </w:r>
    </w:p>
    <w:p>
      <w:pPr>
        <w:pStyle w:val="BodyText"/>
        <w:spacing w:before="10"/>
        <w:rPr>
          <w:b/>
          <w:sz w:val="20"/>
        </w:rPr>
      </w:pPr>
    </w:p>
    <w:p>
      <w:pPr>
        <w:spacing w:line="259" w:lineRule="auto" w:before="1"/>
        <w:ind w:left="1414" w:right="1680" w:firstLine="0"/>
        <w:jc w:val="left"/>
        <w:rPr>
          <w:i/>
          <w:sz w:val="18"/>
        </w:rPr>
      </w:pPr>
      <w:r>
        <w:rPr>
          <w:i/>
          <w:w w:val="105"/>
          <w:sz w:val="18"/>
        </w:rPr>
        <w:t>See Proposal Three “Ratification of the Appointment of Our Independent Registered Public Accounting</w:t>
      </w:r>
      <w:r>
        <w:rPr>
          <w:i/>
          <w:w w:val="105"/>
          <w:sz w:val="18"/>
        </w:rPr>
        <w:t> Firm” for more information.</w:t>
      </w:r>
    </w:p>
    <w:p>
      <w:pPr>
        <w:pStyle w:val="BodyText"/>
        <w:spacing w:line="259" w:lineRule="auto" w:before="140"/>
        <w:ind w:left="1414" w:right="1551" w:firstLine="372"/>
      </w:pPr>
      <w:r>
        <w:rPr>
          <w:w w:val="105"/>
        </w:rPr>
        <w:t>Our Board recommends that our stockholders ratify the selection of Deloitte as our independent registered public accounting firm for fiscal year 2023.</w:t>
      </w:r>
    </w:p>
    <w:p>
      <w:pPr>
        <w:pStyle w:val="BodyText"/>
        <w:spacing w:before="5"/>
        <w:rPr>
          <w:sz w:val="19"/>
        </w:rPr>
      </w:pPr>
    </w:p>
    <w:p>
      <w:pPr>
        <w:pStyle w:val="Heading2"/>
        <w:ind w:left="1414"/>
      </w:pPr>
      <w:r>
        <w:rPr/>
        <w:t>2024</w:t>
      </w:r>
      <w:r>
        <w:rPr>
          <w:spacing w:val="-17"/>
        </w:rPr>
        <w:t> </w:t>
      </w:r>
      <w:r>
        <w:rPr/>
        <w:t>Annual</w:t>
      </w:r>
      <w:r>
        <w:rPr>
          <w:spacing w:val="-11"/>
        </w:rPr>
        <w:t> </w:t>
      </w:r>
      <w:r>
        <w:rPr>
          <w:spacing w:val="-2"/>
        </w:rPr>
        <w:t>Meeting</w:t>
      </w:r>
    </w:p>
    <w:p>
      <w:pPr>
        <w:pStyle w:val="BodyText"/>
        <w:spacing w:line="259" w:lineRule="auto" w:before="171"/>
        <w:ind w:left="1414" w:right="1551" w:firstLine="372"/>
      </w:pPr>
      <w:r>
        <w:rPr>
          <w:w w:val="105"/>
        </w:rPr>
        <w:t>Stockholder proposals submitted for inclusion in our 2024 proxy statement pursuant to SEC Rule 14a-8 must be received by us no later than August 30, 2023.</w:t>
      </w:r>
    </w:p>
    <w:p>
      <w:pPr>
        <w:pStyle w:val="BodyText"/>
        <w:spacing w:line="259" w:lineRule="auto" w:before="154"/>
        <w:ind w:left="1414" w:right="1551" w:firstLine="372"/>
      </w:pPr>
      <w:r>
        <w:rPr>
          <w:w w:val="105"/>
        </w:rPr>
        <w:t>Notice of stockholder proposals to be raised from the floor of the 2024 Annual Meeting of Stockholders outside of SEC Rule 14a-8 must be delivered to us no earlier than October 12, 2023 and no later than</w:t>
      </w:r>
      <w:r>
        <w:rPr>
          <w:spacing w:val="80"/>
          <w:w w:val="105"/>
        </w:rPr>
        <w:t> </w:t>
      </w:r>
      <w:r>
        <w:rPr>
          <w:w w:val="105"/>
        </w:rPr>
        <w:t>November 11, 2023. In addition, stockholders who intend to solicit proxies in support of director nominees</w:t>
      </w:r>
      <w:r>
        <w:rPr>
          <w:spacing w:val="40"/>
          <w:w w:val="105"/>
        </w:rPr>
        <w:t> </w:t>
      </w:r>
      <w:r>
        <w:rPr>
          <w:w w:val="105"/>
        </w:rPr>
        <w:t>other than the Company’s nominees must comply with the additional requirements of Rule 14a-19(b).</w:t>
      </w:r>
    </w:p>
    <w:p>
      <w:pPr>
        <w:spacing w:after="0" w:line="259" w:lineRule="auto"/>
        <w:sectPr>
          <w:headerReference w:type="default" r:id="rId21"/>
          <w:footerReference w:type="default" r:id="rId22"/>
          <w:pgSz w:w="12240" w:h="15840"/>
          <w:pgMar w:header="529" w:footer="1330" w:top="720" w:bottom="1520" w:left="480" w:right="460"/>
        </w:sectPr>
      </w:pPr>
    </w:p>
    <w:p>
      <w:pPr>
        <w:pStyle w:val="BodyText"/>
        <w:rPr>
          <w:sz w:val="20"/>
        </w:rPr>
      </w:pPr>
    </w:p>
    <w:p>
      <w:pPr>
        <w:pStyle w:val="BodyText"/>
        <w:rPr>
          <w:sz w:val="20"/>
        </w:rPr>
      </w:pPr>
    </w:p>
    <w:p>
      <w:pPr>
        <w:pStyle w:val="BodyText"/>
        <w:spacing w:before="2"/>
        <w:rPr>
          <w:sz w:val="27"/>
        </w:rPr>
      </w:pPr>
    </w:p>
    <w:p>
      <w:pPr>
        <w:pStyle w:val="Heading1"/>
      </w:pPr>
      <w:bookmarkStart w:name="_TOC_250041" w:id="2"/>
      <w:r>
        <w:rPr/>
        <w:t>GENERAL</w:t>
      </w:r>
      <w:r>
        <w:rPr>
          <w:spacing w:val="-15"/>
        </w:rPr>
        <w:t> </w:t>
      </w:r>
      <w:bookmarkEnd w:id="2"/>
      <w:r>
        <w:rPr>
          <w:spacing w:val="-2"/>
        </w:rPr>
        <w:t>INFORMATION</w:t>
      </w:r>
    </w:p>
    <w:p>
      <w:pPr>
        <w:pStyle w:val="Heading2"/>
        <w:spacing w:before="171"/>
      </w:pPr>
      <w:r>
        <w:rPr>
          <w:spacing w:val="-2"/>
          <w:w w:val="105"/>
        </w:rPr>
        <w:t>Q:</w:t>
      </w:r>
      <w:r>
        <w:rPr>
          <w:spacing w:val="77"/>
          <w:w w:val="105"/>
        </w:rPr>
        <w:t> </w:t>
      </w:r>
      <w:r>
        <w:rPr>
          <w:spacing w:val="-2"/>
          <w:w w:val="105"/>
        </w:rPr>
        <w:t>Who</w:t>
      </w:r>
      <w:r>
        <w:rPr>
          <w:spacing w:val="-10"/>
          <w:w w:val="105"/>
        </w:rPr>
        <w:t> </w:t>
      </w:r>
      <w:r>
        <w:rPr>
          <w:spacing w:val="-2"/>
          <w:w w:val="105"/>
        </w:rPr>
        <w:t>is</w:t>
      </w:r>
      <w:r>
        <w:rPr>
          <w:spacing w:val="-10"/>
          <w:w w:val="105"/>
        </w:rPr>
        <w:t> </w:t>
      </w:r>
      <w:r>
        <w:rPr>
          <w:spacing w:val="-2"/>
          <w:w w:val="105"/>
        </w:rPr>
        <w:t>soliciting</w:t>
      </w:r>
      <w:r>
        <w:rPr>
          <w:spacing w:val="-9"/>
          <w:w w:val="105"/>
        </w:rPr>
        <w:t> </w:t>
      </w:r>
      <w:r>
        <w:rPr>
          <w:spacing w:val="-2"/>
          <w:w w:val="105"/>
        </w:rPr>
        <w:t>my</w:t>
      </w:r>
      <w:r>
        <w:rPr>
          <w:spacing w:val="-10"/>
          <w:w w:val="105"/>
        </w:rPr>
        <w:t> </w:t>
      </w:r>
      <w:r>
        <w:rPr>
          <w:spacing w:val="-2"/>
          <w:w w:val="105"/>
        </w:rPr>
        <w:t>proxy?</w:t>
      </w:r>
    </w:p>
    <w:p>
      <w:pPr>
        <w:pStyle w:val="BodyText"/>
        <w:spacing w:line="259" w:lineRule="auto" w:before="170"/>
        <w:ind w:left="1772" w:right="1546" w:hanging="373"/>
      </w:pPr>
      <w:r>
        <w:rPr>
          <w:w w:val="105"/>
        </w:rPr>
        <w:t>A:</w:t>
      </w:r>
      <w:r>
        <w:rPr>
          <w:spacing w:val="40"/>
          <w:w w:val="105"/>
        </w:rPr>
        <w:t>  </w:t>
      </w:r>
      <w:r>
        <w:rPr>
          <w:w w:val="105"/>
        </w:rPr>
        <w:t>The</w:t>
      </w:r>
      <w:r>
        <w:rPr>
          <w:spacing w:val="15"/>
          <w:w w:val="105"/>
        </w:rPr>
        <w:t> </w:t>
      </w:r>
      <w:r>
        <w:rPr>
          <w:w w:val="105"/>
        </w:rPr>
        <w:t>Company’s</w:t>
      </w:r>
      <w:r>
        <w:rPr>
          <w:spacing w:val="15"/>
          <w:w w:val="105"/>
        </w:rPr>
        <w:t> </w:t>
      </w:r>
      <w:r>
        <w:rPr>
          <w:w w:val="105"/>
        </w:rPr>
        <w:t>Board</w:t>
      </w:r>
      <w:r>
        <w:rPr>
          <w:spacing w:val="15"/>
          <w:w w:val="105"/>
        </w:rPr>
        <w:t> </w:t>
      </w:r>
      <w:r>
        <w:rPr>
          <w:w w:val="105"/>
        </w:rPr>
        <w:t>is</w:t>
      </w:r>
      <w:r>
        <w:rPr>
          <w:spacing w:val="15"/>
          <w:w w:val="105"/>
        </w:rPr>
        <w:t> </w:t>
      </w:r>
      <w:r>
        <w:rPr>
          <w:w w:val="105"/>
        </w:rPr>
        <w:t>sending</w:t>
      </w:r>
      <w:r>
        <w:rPr>
          <w:spacing w:val="15"/>
          <w:w w:val="105"/>
        </w:rPr>
        <w:t> </w:t>
      </w:r>
      <w:r>
        <w:rPr>
          <w:w w:val="105"/>
        </w:rPr>
        <w:t>you</w:t>
      </w:r>
      <w:r>
        <w:rPr>
          <w:spacing w:val="15"/>
          <w:w w:val="105"/>
        </w:rPr>
        <w:t> </w:t>
      </w:r>
      <w:r>
        <w:rPr>
          <w:w w:val="105"/>
        </w:rPr>
        <w:t>this</w:t>
      </w:r>
      <w:r>
        <w:rPr>
          <w:spacing w:val="15"/>
          <w:w w:val="105"/>
        </w:rPr>
        <w:t> </w:t>
      </w:r>
      <w:r>
        <w:rPr>
          <w:w w:val="105"/>
        </w:rPr>
        <w:t>Proxy</w:t>
      </w:r>
      <w:r>
        <w:rPr>
          <w:spacing w:val="15"/>
          <w:w w:val="105"/>
        </w:rPr>
        <w:t> </w:t>
      </w:r>
      <w:r>
        <w:rPr>
          <w:w w:val="105"/>
        </w:rPr>
        <w:t>Statement</w:t>
      </w:r>
      <w:r>
        <w:rPr>
          <w:spacing w:val="15"/>
          <w:w w:val="105"/>
        </w:rPr>
        <w:t> </w:t>
      </w:r>
      <w:r>
        <w:rPr>
          <w:w w:val="105"/>
        </w:rPr>
        <w:t>in</w:t>
      </w:r>
      <w:r>
        <w:rPr>
          <w:spacing w:val="15"/>
          <w:w w:val="105"/>
        </w:rPr>
        <w:t> </w:t>
      </w:r>
      <w:r>
        <w:rPr>
          <w:w w:val="105"/>
        </w:rPr>
        <w:t>connection</w:t>
      </w:r>
      <w:r>
        <w:rPr>
          <w:spacing w:val="15"/>
          <w:w w:val="105"/>
        </w:rPr>
        <w:t> </w:t>
      </w:r>
      <w:r>
        <w:rPr>
          <w:w w:val="105"/>
        </w:rPr>
        <w:t>with</w:t>
      </w:r>
      <w:r>
        <w:rPr>
          <w:spacing w:val="15"/>
          <w:w w:val="105"/>
        </w:rPr>
        <w:t> </w:t>
      </w:r>
      <w:r>
        <w:rPr>
          <w:w w:val="105"/>
        </w:rPr>
        <w:t>the</w:t>
      </w:r>
      <w:r>
        <w:rPr>
          <w:spacing w:val="15"/>
          <w:w w:val="105"/>
        </w:rPr>
        <w:t> </w:t>
      </w:r>
      <w:r>
        <w:rPr>
          <w:w w:val="105"/>
        </w:rPr>
        <w:t>Board’s</w:t>
      </w:r>
      <w:r>
        <w:rPr>
          <w:spacing w:val="15"/>
          <w:w w:val="105"/>
        </w:rPr>
        <w:t> </w:t>
      </w:r>
      <w:r>
        <w:rPr>
          <w:w w:val="105"/>
        </w:rPr>
        <w:t>solicitation of proxies for use at the 2023 Annual Meeting of Stockholders or any adjournment or postponement thereof (the “</w:t>
      </w:r>
      <w:r>
        <w:rPr>
          <w:b/>
          <w:w w:val="105"/>
        </w:rPr>
        <w:t>Annual Meeting</w:t>
      </w:r>
      <w:r>
        <w:rPr>
          <w:w w:val="105"/>
        </w:rPr>
        <w:t>”). Certain of our directors, officers and employees also may solicit</w:t>
      </w:r>
      <w:r>
        <w:rPr>
          <w:spacing w:val="80"/>
          <w:w w:val="105"/>
        </w:rPr>
        <w:t> </w:t>
      </w:r>
      <w:r>
        <w:rPr>
          <w:w w:val="105"/>
        </w:rPr>
        <w:t>proxies on the Board’s behalf by mail, telephone, email, or fax, or in person. We have hired Georgeson LLC to assist in soliciting proxies from brokers, bank nominees and other stockholders.</w:t>
      </w:r>
    </w:p>
    <w:p>
      <w:pPr>
        <w:pStyle w:val="Heading2"/>
        <w:spacing w:before="169"/>
      </w:pPr>
      <w:r>
        <w:rPr>
          <w:spacing w:val="-2"/>
          <w:w w:val="105"/>
        </w:rPr>
        <w:t>Q:</w:t>
      </w:r>
      <w:r>
        <w:rPr>
          <w:spacing w:val="77"/>
          <w:w w:val="105"/>
        </w:rPr>
        <w:t> </w:t>
      </w:r>
      <w:r>
        <w:rPr>
          <w:spacing w:val="-2"/>
          <w:w w:val="105"/>
        </w:rPr>
        <w:t>Who</w:t>
      </w:r>
      <w:r>
        <w:rPr>
          <w:spacing w:val="-10"/>
          <w:w w:val="105"/>
        </w:rPr>
        <w:t> </w:t>
      </w:r>
      <w:r>
        <w:rPr>
          <w:spacing w:val="-2"/>
          <w:w w:val="105"/>
        </w:rPr>
        <w:t>is</w:t>
      </w:r>
      <w:r>
        <w:rPr>
          <w:spacing w:val="-10"/>
          <w:w w:val="105"/>
        </w:rPr>
        <w:t> </w:t>
      </w:r>
      <w:r>
        <w:rPr>
          <w:spacing w:val="-2"/>
          <w:w w:val="105"/>
        </w:rPr>
        <w:t>paying</w:t>
      </w:r>
      <w:r>
        <w:rPr>
          <w:spacing w:val="-9"/>
          <w:w w:val="105"/>
        </w:rPr>
        <w:t> </w:t>
      </w:r>
      <w:r>
        <w:rPr>
          <w:spacing w:val="-2"/>
          <w:w w:val="105"/>
        </w:rPr>
        <w:t>for</w:t>
      </w:r>
      <w:r>
        <w:rPr>
          <w:spacing w:val="-13"/>
          <w:w w:val="105"/>
        </w:rPr>
        <w:t> </w:t>
      </w:r>
      <w:r>
        <w:rPr>
          <w:spacing w:val="-2"/>
          <w:w w:val="105"/>
        </w:rPr>
        <w:t>this</w:t>
      </w:r>
      <w:r>
        <w:rPr>
          <w:spacing w:val="-9"/>
          <w:w w:val="105"/>
        </w:rPr>
        <w:t> </w:t>
      </w:r>
      <w:r>
        <w:rPr>
          <w:spacing w:val="-2"/>
          <w:w w:val="105"/>
        </w:rPr>
        <w:t>solicitation?</w:t>
      </w:r>
    </w:p>
    <w:p>
      <w:pPr>
        <w:pStyle w:val="BodyText"/>
        <w:spacing w:line="259" w:lineRule="auto" w:before="170"/>
        <w:ind w:left="1772" w:right="1551" w:hanging="373"/>
      </w:pPr>
      <w:r>
        <w:rPr>
          <w:w w:val="105"/>
        </w:rPr>
        <w:t>A:</w:t>
      </w:r>
      <w:r>
        <w:rPr>
          <w:spacing w:val="80"/>
          <w:w w:val="150"/>
        </w:rPr>
        <w:t> </w:t>
      </w:r>
      <w:r>
        <w:rPr>
          <w:w w:val="105"/>
        </w:rPr>
        <w:t>We will pay for the solicitation of proxies. Our directors, officers and employees will not receive</w:t>
      </w:r>
      <w:r>
        <w:rPr>
          <w:spacing w:val="40"/>
          <w:w w:val="105"/>
        </w:rPr>
        <w:t> </w:t>
      </w:r>
      <w:r>
        <w:rPr>
          <w:w w:val="105"/>
        </w:rPr>
        <w:t>additional remuneration. We expect that we will pay Georgeson LLC not more than $10,000, plus reasonable out-of-pocket expenses, and also will reimburse banks, brokers, custodians, nominees and fiduciaries for their reasonable charges and expenses to forward our proxy materials to the beneficial</w:t>
      </w:r>
      <w:r>
        <w:rPr>
          <w:spacing w:val="40"/>
          <w:w w:val="105"/>
        </w:rPr>
        <w:t> </w:t>
      </w:r>
      <w:r>
        <w:rPr>
          <w:w w:val="105"/>
        </w:rPr>
        <w:t>owners of our common stock.</w:t>
      </w:r>
    </w:p>
    <w:p>
      <w:pPr>
        <w:pStyle w:val="Heading2"/>
        <w:spacing w:before="155"/>
      </w:pPr>
      <w:r>
        <w:rPr>
          <w:w w:val="105"/>
        </w:rPr>
        <w:t>Q:</w:t>
      </w:r>
      <w:r>
        <w:rPr>
          <w:spacing w:val="67"/>
          <w:w w:val="105"/>
        </w:rPr>
        <w:t> </w:t>
      </w:r>
      <w:r>
        <w:rPr>
          <w:w w:val="105"/>
        </w:rPr>
        <w:t>What</w:t>
      </w:r>
      <w:r>
        <w:rPr>
          <w:spacing w:val="-12"/>
          <w:w w:val="105"/>
        </w:rPr>
        <w:t> </w:t>
      </w:r>
      <w:r>
        <w:rPr>
          <w:w w:val="105"/>
        </w:rPr>
        <w:t>am</w:t>
      </w:r>
      <w:r>
        <w:rPr>
          <w:spacing w:val="-12"/>
          <w:w w:val="105"/>
        </w:rPr>
        <w:t> </w:t>
      </w:r>
      <w:r>
        <w:rPr>
          <w:w w:val="105"/>
        </w:rPr>
        <w:t>I</w:t>
      </w:r>
      <w:r>
        <w:rPr>
          <w:spacing w:val="-11"/>
          <w:w w:val="105"/>
        </w:rPr>
        <w:t> </w:t>
      </w:r>
      <w:r>
        <w:rPr>
          <w:w w:val="105"/>
        </w:rPr>
        <w:t>voting</w:t>
      </w:r>
      <w:r>
        <w:rPr>
          <w:spacing w:val="-12"/>
          <w:w w:val="105"/>
        </w:rPr>
        <w:t> </w:t>
      </w:r>
      <w:r>
        <w:rPr>
          <w:spacing w:val="-5"/>
          <w:w w:val="105"/>
        </w:rPr>
        <w:t>on?</w:t>
      </w:r>
    </w:p>
    <w:p>
      <w:pPr>
        <w:pStyle w:val="BodyText"/>
        <w:spacing w:before="170"/>
        <w:ind w:left="1400"/>
      </w:pPr>
      <w:r>
        <w:rPr>
          <w:w w:val="105"/>
        </w:rPr>
        <w:t>A:</w:t>
      </w:r>
      <w:r>
        <w:rPr>
          <w:spacing w:val="42"/>
          <w:w w:val="105"/>
        </w:rPr>
        <w:t>  </w:t>
      </w:r>
      <w:r>
        <w:rPr>
          <w:w w:val="105"/>
        </w:rPr>
        <w:t>You</w:t>
      </w:r>
      <w:r>
        <w:rPr>
          <w:spacing w:val="7"/>
          <w:w w:val="105"/>
        </w:rPr>
        <w:t> </w:t>
      </w:r>
      <w:r>
        <w:rPr>
          <w:w w:val="105"/>
        </w:rPr>
        <w:t>will</w:t>
      </w:r>
      <w:r>
        <w:rPr>
          <w:spacing w:val="6"/>
          <w:w w:val="105"/>
        </w:rPr>
        <w:t> </w:t>
      </w:r>
      <w:r>
        <w:rPr>
          <w:w w:val="105"/>
        </w:rPr>
        <w:t>be</w:t>
      </w:r>
      <w:r>
        <w:rPr>
          <w:spacing w:val="6"/>
          <w:w w:val="105"/>
        </w:rPr>
        <w:t> </w:t>
      </w:r>
      <w:r>
        <w:rPr>
          <w:w w:val="105"/>
        </w:rPr>
        <w:t>voting</w:t>
      </w:r>
      <w:r>
        <w:rPr>
          <w:spacing w:val="6"/>
          <w:w w:val="105"/>
        </w:rPr>
        <w:t> </w:t>
      </w:r>
      <w:r>
        <w:rPr>
          <w:w w:val="105"/>
        </w:rPr>
        <w:t>on</w:t>
      </w:r>
      <w:r>
        <w:rPr>
          <w:spacing w:val="7"/>
          <w:w w:val="105"/>
        </w:rPr>
        <w:t> </w:t>
      </w:r>
      <w:r>
        <w:rPr>
          <w:w w:val="105"/>
        </w:rPr>
        <w:t>three</w:t>
      </w:r>
      <w:r>
        <w:rPr>
          <w:spacing w:val="6"/>
          <w:w w:val="105"/>
        </w:rPr>
        <w:t> </w:t>
      </w:r>
      <w:r>
        <w:rPr>
          <w:spacing w:val="-2"/>
          <w:w w:val="105"/>
        </w:rPr>
        <w:t>proposals.</w:t>
      </w:r>
    </w:p>
    <w:p>
      <w:pPr>
        <w:pStyle w:val="BodyText"/>
        <w:spacing w:before="157"/>
        <w:ind w:left="1772"/>
      </w:pPr>
      <w:r>
        <w:rPr>
          <w:w w:val="105"/>
        </w:rPr>
        <w:t>Proposal</w:t>
      </w:r>
      <w:r>
        <w:rPr>
          <w:spacing w:val="10"/>
          <w:w w:val="105"/>
        </w:rPr>
        <w:t> </w:t>
      </w:r>
      <w:r>
        <w:rPr>
          <w:w w:val="105"/>
        </w:rPr>
        <w:t>One</w:t>
      </w:r>
      <w:r>
        <w:rPr>
          <w:spacing w:val="10"/>
          <w:w w:val="105"/>
        </w:rPr>
        <w:t> </w:t>
      </w:r>
      <w:r>
        <w:rPr>
          <w:w w:val="105"/>
        </w:rPr>
        <w:t>is</w:t>
      </w:r>
      <w:r>
        <w:rPr>
          <w:spacing w:val="11"/>
          <w:w w:val="105"/>
        </w:rPr>
        <w:t> </w:t>
      </w:r>
      <w:r>
        <w:rPr>
          <w:w w:val="105"/>
        </w:rPr>
        <w:t>for</w:t>
      </w:r>
      <w:r>
        <w:rPr>
          <w:spacing w:val="10"/>
          <w:w w:val="105"/>
        </w:rPr>
        <w:t> </w:t>
      </w:r>
      <w:r>
        <w:rPr>
          <w:w w:val="105"/>
        </w:rPr>
        <w:t>the</w:t>
      </w:r>
      <w:r>
        <w:rPr>
          <w:spacing w:val="10"/>
          <w:w w:val="105"/>
        </w:rPr>
        <w:t> </w:t>
      </w:r>
      <w:r>
        <w:rPr>
          <w:w w:val="105"/>
        </w:rPr>
        <w:t>election</w:t>
      </w:r>
      <w:r>
        <w:rPr>
          <w:spacing w:val="11"/>
          <w:w w:val="105"/>
        </w:rPr>
        <w:t> </w:t>
      </w:r>
      <w:r>
        <w:rPr>
          <w:w w:val="105"/>
        </w:rPr>
        <w:t>of</w:t>
      </w:r>
      <w:r>
        <w:rPr>
          <w:spacing w:val="10"/>
          <w:w w:val="105"/>
        </w:rPr>
        <w:t> </w:t>
      </w:r>
      <w:r>
        <w:rPr>
          <w:w w:val="105"/>
        </w:rPr>
        <w:t>Kathleen</w:t>
      </w:r>
      <w:r>
        <w:rPr>
          <w:spacing w:val="10"/>
          <w:w w:val="105"/>
        </w:rPr>
        <w:t> </w:t>
      </w:r>
      <w:r>
        <w:rPr>
          <w:w w:val="105"/>
        </w:rPr>
        <w:t>L.</w:t>
      </w:r>
      <w:r>
        <w:rPr>
          <w:spacing w:val="11"/>
          <w:w w:val="105"/>
        </w:rPr>
        <w:t> </w:t>
      </w:r>
      <w:r>
        <w:rPr>
          <w:w w:val="105"/>
        </w:rPr>
        <w:t>Bardwell,</w:t>
      </w:r>
      <w:r>
        <w:rPr>
          <w:spacing w:val="10"/>
          <w:w w:val="105"/>
        </w:rPr>
        <w:t> </w:t>
      </w:r>
      <w:r>
        <w:rPr>
          <w:w w:val="105"/>
        </w:rPr>
        <w:t>Jocelyn</w:t>
      </w:r>
      <w:r>
        <w:rPr>
          <w:spacing w:val="10"/>
          <w:w w:val="105"/>
        </w:rPr>
        <w:t> </w:t>
      </w:r>
      <w:r>
        <w:rPr>
          <w:w w:val="105"/>
        </w:rPr>
        <w:t>D.</w:t>
      </w:r>
      <w:r>
        <w:rPr>
          <w:spacing w:val="11"/>
          <w:w w:val="105"/>
        </w:rPr>
        <w:t> </w:t>
      </w:r>
      <w:r>
        <w:rPr>
          <w:w w:val="105"/>
        </w:rPr>
        <w:t>Chertoff,</w:t>
      </w:r>
      <w:r>
        <w:rPr>
          <w:spacing w:val="6"/>
          <w:w w:val="105"/>
        </w:rPr>
        <w:t> </w:t>
      </w:r>
      <w:r>
        <w:rPr>
          <w:w w:val="105"/>
        </w:rPr>
        <w:t>Timothy</w:t>
      </w:r>
      <w:r>
        <w:rPr>
          <w:spacing w:val="10"/>
          <w:w w:val="105"/>
        </w:rPr>
        <w:t> </w:t>
      </w:r>
      <w:r>
        <w:rPr>
          <w:w w:val="105"/>
        </w:rPr>
        <w:t>E.</w:t>
      </w:r>
      <w:r>
        <w:rPr>
          <w:spacing w:val="10"/>
          <w:w w:val="105"/>
        </w:rPr>
        <w:t> </w:t>
      </w:r>
      <w:r>
        <w:rPr>
          <w:spacing w:val="-2"/>
          <w:w w:val="105"/>
        </w:rPr>
        <w:t>Guertin,</w:t>
      </w:r>
    </w:p>
    <w:p>
      <w:pPr>
        <w:pStyle w:val="BodyText"/>
        <w:spacing w:line="259" w:lineRule="auto" w:before="16"/>
        <w:ind w:left="1772" w:right="1464"/>
      </w:pPr>
      <w:r>
        <w:rPr>
          <w:w w:val="105"/>
        </w:rPr>
        <w:t>Jay K. Kunkel, Walter M Rosebrough, Jr., Sunny S. Sanyal, and Christine</w:t>
      </w:r>
      <w:r>
        <w:rPr>
          <w:spacing w:val="-2"/>
          <w:w w:val="105"/>
        </w:rPr>
        <w:t> </w:t>
      </w:r>
      <w:r>
        <w:rPr>
          <w:w w:val="105"/>
        </w:rPr>
        <w:t>A. Tsingos to the Board for a one-year term ending at the 2024 Annual Meeting of Stockholders.</w:t>
      </w:r>
    </w:p>
    <w:p>
      <w:pPr>
        <w:pStyle w:val="BodyText"/>
        <w:spacing w:line="259" w:lineRule="auto" w:before="154"/>
        <w:ind w:left="1772" w:right="1423"/>
      </w:pPr>
      <w:r>
        <w:rPr>
          <w:w w:val="105"/>
        </w:rPr>
        <w:t>Proposal Two is an advisory vote on the compensation of the executive officers listed in the Summary Compensation</w:t>
      </w:r>
      <w:r>
        <w:rPr>
          <w:spacing w:val="-3"/>
          <w:w w:val="105"/>
        </w:rPr>
        <w:t> </w:t>
      </w:r>
      <w:r>
        <w:rPr>
          <w:w w:val="105"/>
        </w:rPr>
        <w:t>Table (the “</w:t>
      </w:r>
      <w:r>
        <w:rPr>
          <w:b/>
          <w:w w:val="105"/>
        </w:rPr>
        <w:t>Named</w:t>
      </w:r>
      <w:r>
        <w:rPr>
          <w:b/>
          <w:spacing w:val="-12"/>
          <w:w w:val="105"/>
        </w:rPr>
        <w:t> </w:t>
      </w:r>
      <w:r>
        <w:rPr>
          <w:b/>
          <w:w w:val="105"/>
        </w:rPr>
        <w:t>Executive</w:t>
      </w:r>
      <w:r>
        <w:rPr>
          <w:b/>
          <w:spacing w:val="-12"/>
          <w:w w:val="105"/>
        </w:rPr>
        <w:t> </w:t>
      </w:r>
      <w:r>
        <w:rPr>
          <w:b/>
          <w:w w:val="105"/>
        </w:rPr>
        <w:t>Officers</w:t>
      </w:r>
      <w:r>
        <w:rPr>
          <w:w w:val="105"/>
        </w:rPr>
        <w:t>” or “</w:t>
      </w:r>
      <w:r>
        <w:rPr>
          <w:b/>
          <w:w w:val="105"/>
        </w:rPr>
        <w:t>NEOs</w:t>
      </w:r>
      <w:r>
        <w:rPr>
          <w:w w:val="105"/>
        </w:rPr>
        <w:t>”) as described in this Proxy Statement.</w:t>
      </w:r>
    </w:p>
    <w:p>
      <w:pPr>
        <w:pStyle w:val="BodyText"/>
        <w:spacing w:line="259" w:lineRule="auto" w:before="154"/>
        <w:ind w:left="1772" w:right="1551"/>
      </w:pPr>
      <w:r>
        <w:rPr>
          <w:w w:val="105"/>
        </w:rPr>
        <w:t>Proposal Three is the ratification of the appointment of Deloitte as our independent registered public</w:t>
      </w:r>
      <w:r>
        <w:rPr>
          <w:spacing w:val="40"/>
          <w:w w:val="105"/>
        </w:rPr>
        <w:t> </w:t>
      </w:r>
      <w:r>
        <w:rPr>
          <w:w w:val="105"/>
        </w:rPr>
        <w:t>accounting firm for fiscal year 2023.</w:t>
      </w:r>
    </w:p>
    <w:p>
      <w:pPr>
        <w:pStyle w:val="Heading2"/>
        <w:spacing w:before="155"/>
      </w:pPr>
      <w:r>
        <w:rPr>
          <w:w w:val="105"/>
        </w:rPr>
        <w:t>Q:</w:t>
      </w:r>
      <w:r>
        <w:rPr>
          <w:spacing w:val="71"/>
          <w:w w:val="150"/>
        </w:rPr>
        <w:t> </w:t>
      </w:r>
      <w:r>
        <w:rPr>
          <w:w w:val="105"/>
        </w:rPr>
        <w:t>Who</w:t>
      </w:r>
      <w:r>
        <w:rPr>
          <w:spacing w:val="-11"/>
          <w:w w:val="105"/>
        </w:rPr>
        <w:t> </w:t>
      </w:r>
      <w:r>
        <w:rPr>
          <w:w w:val="105"/>
        </w:rPr>
        <w:t>can</w:t>
      </w:r>
      <w:r>
        <w:rPr>
          <w:spacing w:val="-12"/>
          <w:w w:val="105"/>
        </w:rPr>
        <w:t> </w:t>
      </w:r>
      <w:r>
        <w:rPr>
          <w:spacing w:val="-4"/>
          <w:w w:val="105"/>
        </w:rPr>
        <w:t>vote?</w:t>
      </w:r>
    </w:p>
    <w:p>
      <w:pPr>
        <w:pStyle w:val="BodyText"/>
        <w:spacing w:line="259" w:lineRule="auto" w:before="170"/>
        <w:ind w:left="1772" w:right="1423" w:hanging="373"/>
      </w:pPr>
      <w:r>
        <w:rPr>
          <w:w w:val="105"/>
        </w:rPr>
        <w:t>A:</w:t>
      </w:r>
      <w:r>
        <w:rPr>
          <w:spacing w:val="40"/>
          <w:w w:val="105"/>
        </w:rPr>
        <w:t>  </w:t>
      </w:r>
      <w:r>
        <w:rPr>
          <w:w w:val="105"/>
        </w:rPr>
        <w:t>Only our stockholders of record at the close of business on December 12, 2022 may vote. Each share of</w:t>
      </w:r>
      <w:r>
        <w:rPr>
          <w:spacing w:val="40"/>
          <w:w w:val="105"/>
        </w:rPr>
        <w:t> </w:t>
      </w:r>
      <w:r>
        <w:rPr>
          <w:w w:val="105"/>
        </w:rPr>
        <w:t>common</w:t>
      </w:r>
      <w:r>
        <w:rPr>
          <w:spacing w:val="21"/>
          <w:w w:val="105"/>
        </w:rPr>
        <w:t> </w:t>
      </w:r>
      <w:r>
        <w:rPr>
          <w:w w:val="105"/>
        </w:rPr>
        <w:t>stock</w:t>
      </w:r>
      <w:r>
        <w:rPr>
          <w:spacing w:val="21"/>
          <w:w w:val="105"/>
        </w:rPr>
        <w:t> </w:t>
      </w:r>
      <w:r>
        <w:rPr>
          <w:w w:val="105"/>
        </w:rPr>
        <w:t>outstanding</w:t>
      </w:r>
      <w:r>
        <w:rPr>
          <w:spacing w:val="21"/>
          <w:w w:val="105"/>
        </w:rPr>
        <w:t> </w:t>
      </w:r>
      <w:r>
        <w:rPr>
          <w:w w:val="105"/>
        </w:rPr>
        <w:t>on</w:t>
      </w:r>
      <w:r>
        <w:rPr>
          <w:spacing w:val="21"/>
          <w:w w:val="105"/>
        </w:rPr>
        <w:t> </w:t>
      </w:r>
      <w:r>
        <w:rPr>
          <w:w w:val="105"/>
        </w:rPr>
        <w:t>that</w:t>
      </w:r>
      <w:r>
        <w:rPr>
          <w:spacing w:val="21"/>
          <w:w w:val="105"/>
        </w:rPr>
        <w:t> </w:t>
      </w:r>
      <w:r>
        <w:rPr>
          <w:w w:val="105"/>
        </w:rPr>
        <w:t>date</w:t>
      </w:r>
      <w:r>
        <w:rPr>
          <w:spacing w:val="21"/>
          <w:w w:val="105"/>
        </w:rPr>
        <w:t> </w:t>
      </w:r>
      <w:r>
        <w:rPr>
          <w:w w:val="105"/>
        </w:rPr>
        <w:t>is</w:t>
      </w:r>
      <w:r>
        <w:rPr>
          <w:spacing w:val="21"/>
          <w:w w:val="105"/>
        </w:rPr>
        <w:t> </w:t>
      </w:r>
      <w:r>
        <w:rPr>
          <w:w w:val="105"/>
        </w:rPr>
        <w:t>entitled</w:t>
      </w:r>
      <w:r>
        <w:rPr>
          <w:spacing w:val="21"/>
          <w:w w:val="105"/>
        </w:rPr>
        <w:t> </w:t>
      </w:r>
      <w:r>
        <w:rPr>
          <w:w w:val="105"/>
        </w:rPr>
        <w:t>to</w:t>
      </w:r>
      <w:r>
        <w:rPr>
          <w:spacing w:val="21"/>
          <w:w w:val="105"/>
        </w:rPr>
        <w:t> </w:t>
      </w:r>
      <w:r>
        <w:rPr>
          <w:w w:val="105"/>
        </w:rPr>
        <w:t>one</w:t>
      </w:r>
      <w:r>
        <w:rPr>
          <w:spacing w:val="21"/>
          <w:w w:val="105"/>
        </w:rPr>
        <w:t> </w:t>
      </w:r>
      <w:r>
        <w:rPr>
          <w:w w:val="105"/>
        </w:rPr>
        <w:t>vote</w:t>
      </w:r>
      <w:r>
        <w:rPr>
          <w:spacing w:val="21"/>
          <w:w w:val="105"/>
        </w:rPr>
        <w:t> </w:t>
      </w:r>
      <w:r>
        <w:rPr>
          <w:w w:val="105"/>
        </w:rPr>
        <w:t>for</w:t>
      </w:r>
      <w:r>
        <w:rPr>
          <w:spacing w:val="21"/>
          <w:w w:val="105"/>
        </w:rPr>
        <w:t> </w:t>
      </w:r>
      <w:r>
        <w:rPr>
          <w:w w:val="105"/>
        </w:rPr>
        <w:t>each</w:t>
      </w:r>
      <w:r>
        <w:rPr>
          <w:spacing w:val="21"/>
          <w:w w:val="105"/>
        </w:rPr>
        <w:t> </w:t>
      </w:r>
      <w:r>
        <w:rPr>
          <w:w w:val="105"/>
        </w:rPr>
        <w:t>director</w:t>
      </w:r>
      <w:r>
        <w:rPr>
          <w:spacing w:val="21"/>
          <w:w w:val="105"/>
        </w:rPr>
        <w:t> </w:t>
      </w:r>
      <w:r>
        <w:rPr>
          <w:w w:val="105"/>
        </w:rPr>
        <w:t>nominee</w:t>
      </w:r>
      <w:r>
        <w:rPr>
          <w:spacing w:val="21"/>
          <w:w w:val="105"/>
        </w:rPr>
        <w:t> </w:t>
      </w:r>
      <w:r>
        <w:rPr>
          <w:w w:val="105"/>
        </w:rPr>
        <w:t>and</w:t>
      </w:r>
      <w:r>
        <w:rPr>
          <w:spacing w:val="21"/>
          <w:w w:val="105"/>
        </w:rPr>
        <w:t> </w:t>
      </w:r>
      <w:r>
        <w:rPr>
          <w:w w:val="105"/>
        </w:rPr>
        <w:t>one</w:t>
      </w:r>
      <w:r>
        <w:rPr>
          <w:spacing w:val="21"/>
          <w:w w:val="105"/>
        </w:rPr>
        <w:t> </w:t>
      </w:r>
      <w:r>
        <w:rPr>
          <w:w w:val="105"/>
        </w:rPr>
        <w:t>vote</w:t>
      </w:r>
      <w:r>
        <w:rPr>
          <w:w w:val="105"/>
        </w:rPr>
        <w:t> on each other matter to come before the meeting.</w:t>
      </w:r>
    </w:p>
    <w:p>
      <w:pPr>
        <w:pStyle w:val="Heading2"/>
        <w:spacing w:line="259" w:lineRule="auto" w:before="154"/>
        <w:ind w:left="1772" w:right="1551" w:hanging="373"/>
      </w:pPr>
      <w:r>
        <w:rPr/>
        <w:t>Q:</w:t>
      </w:r>
      <w:r>
        <w:rPr>
          <w:spacing w:val="80"/>
          <w:w w:val="150"/>
        </w:rPr>
        <w:t> </w:t>
      </w:r>
      <w:r>
        <w:rPr/>
        <w:t>Why</w:t>
      </w:r>
      <w:r>
        <w:rPr>
          <w:spacing w:val="-9"/>
        </w:rPr>
        <w:t> </w:t>
      </w:r>
      <w:r>
        <w:rPr/>
        <w:t>did</w:t>
      </w:r>
      <w:r>
        <w:rPr>
          <w:spacing w:val="-9"/>
        </w:rPr>
        <w:t> </w:t>
      </w:r>
      <w:r>
        <w:rPr/>
        <w:t>I</w:t>
      </w:r>
      <w:r>
        <w:rPr>
          <w:spacing w:val="-9"/>
        </w:rPr>
        <w:t> </w:t>
      </w:r>
      <w:r>
        <w:rPr/>
        <w:t>receive</w:t>
      </w:r>
      <w:r>
        <w:rPr>
          <w:spacing w:val="-9"/>
        </w:rPr>
        <w:t> </w:t>
      </w:r>
      <w:r>
        <w:rPr/>
        <w:t>a</w:t>
      </w:r>
      <w:r>
        <w:rPr>
          <w:spacing w:val="-9"/>
        </w:rPr>
        <w:t> </w:t>
      </w:r>
      <w:r>
        <w:rPr/>
        <w:t>one-page</w:t>
      </w:r>
      <w:r>
        <w:rPr>
          <w:spacing w:val="-9"/>
        </w:rPr>
        <w:t> </w:t>
      </w:r>
      <w:r>
        <w:rPr/>
        <w:t>notice</w:t>
      </w:r>
      <w:r>
        <w:rPr>
          <w:spacing w:val="-9"/>
        </w:rPr>
        <w:t> </w:t>
      </w:r>
      <w:r>
        <w:rPr/>
        <w:t>in</w:t>
      </w:r>
      <w:r>
        <w:rPr>
          <w:spacing w:val="-9"/>
        </w:rPr>
        <w:t> </w:t>
      </w:r>
      <w:r>
        <w:rPr/>
        <w:t>the</w:t>
      </w:r>
      <w:r>
        <w:rPr>
          <w:spacing w:val="-9"/>
        </w:rPr>
        <w:t> </w:t>
      </w:r>
      <w:r>
        <w:rPr/>
        <w:t>mail</w:t>
      </w:r>
      <w:r>
        <w:rPr>
          <w:spacing w:val="-9"/>
        </w:rPr>
        <w:t> </w:t>
      </w:r>
      <w:r>
        <w:rPr/>
        <w:t>regarding</w:t>
      </w:r>
      <w:r>
        <w:rPr>
          <w:spacing w:val="-9"/>
        </w:rPr>
        <w:t> </w:t>
      </w:r>
      <w:r>
        <w:rPr/>
        <w:t>the</w:t>
      </w:r>
      <w:r>
        <w:rPr>
          <w:spacing w:val="-9"/>
        </w:rPr>
        <w:t> </w:t>
      </w:r>
      <w:r>
        <w:rPr/>
        <w:t>Internet</w:t>
      </w:r>
      <w:r>
        <w:rPr>
          <w:spacing w:val="-9"/>
        </w:rPr>
        <w:t> </w:t>
      </w:r>
      <w:r>
        <w:rPr/>
        <w:t>availability</w:t>
      </w:r>
      <w:r>
        <w:rPr>
          <w:spacing w:val="-9"/>
        </w:rPr>
        <w:t> </w:t>
      </w:r>
      <w:r>
        <w:rPr/>
        <w:t>of</w:t>
      </w:r>
      <w:r>
        <w:rPr>
          <w:spacing w:val="-9"/>
        </w:rPr>
        <w:t> </w:t>
      </w:r>
      <w:r>
        <w:rPr/>
        <w:t>proxy</w:t>
      </w:r>
      <w:r>
        <w:rPr>
          <w:spacing w:val="-9"/>
        </w:rPr>
        <w:t> </w:t>
      </w:r>
      <w:r>
        <w:rPr/>
        <w:t>materials</w:t>
      </w:r>
      <w:r>
        <w:rPr>
          <w:spacing w:val="-9"/>
        </w:rPr>
        <w:t> </w:t>
      </w:r>
      <w:r>
        <w:rPr/>
        <w:t>this </w:t>
      </w:r>
      <w:r>
        <w:rPr>
          <w:w w:val="105"/>
        </w:rPr>
        <w:t>year</w:t>
      </w:r>
      <w:r>
        <w:rPr>
          <w:spacing w:val="-13"/>
          <w:w w:val="105"/>
        </w:rPr>
        <w:t> </w:t>
      </w:r>
      <w:r>
        <w:rPr>
          <w:w w:val="105"/>
        </w:rPr>
        <w:t>instead</w:t>
      </w:r>
      <w:r>
        <w:rPr>
          <w:spacing w:val="-9"/>
          <w:w w:val="105"/>
        </w:rPr>
        <w:t> </w:t>
      </w:r>
      <w:r>
        <w:rPr>
          <w:w w:val="105"/>
        </w:rPr>
        <w:t>of</w:t>
      </w:r>
      <w:r>
        <w:rPr>
          <w:spacing w:val="-9"/>
          <w:w w:val="105"/>
        </w:rPr>
        <w:t> </w:t>
      </w:r>
      <w:r>
        <w:rPr>
          <w:w w:val="105"/>
        </w:rPr>
        <w:t>a</w:t>
      </w:r>
      <w:r>
        <w:rPr>
          <w:spacing w:val="-9"/>
          <w:w w:val="105"/>
        </w:rPr>
        <w:t> </w:t>
      </w:r>
      <w:r>
        <w:rPr>
          <w:w w:val="105"/>
        </w:rPr>
        <w:t>full</w:t>
      </w:r>
      <w:r>
        <w:rPr>
          <w:spacing w:val="-9"/>
          <w:w w:val="105"/>
        </w:rPr>
        <w:t> </w:t>
      </w:r>
      <w:r>
        <w:rPr>
          <w:w w:val="105"/>
        </w:rPr>
        <w:t>set</w:t>
      </w:r>
      <w:r>
        <w:rPr>
          <w:spacing w:val="-9"/>
          <w:w w:val="105"/>
        </w:rPr>
        <w:t> </w:t>
      </w:r>
      <w:r>
        <w:rPr>
          <w:w w:val="105"/>
        </w:rPr>
        <w:t>of</w:t>
      </w:r>
      <w:r>
        <w:rPr>
          <w:spacing w:val="-9"/>
          <w:w w:val="105"/>
        </w:rPr>
        <w:t> </w:t>
      </w:r>
      <w:r>
        <w:rPr>
          <w:w w:val="105"/>
        </w:rPr>
        <w:t>proxy</w:t>
      </w:r>
      <w:r>
        <w:rPr>
          <w:spacing w:val="-9"/>
          <w:w w:val="105"/>
        </w:rPr>
        <w:t> </w:t>
      </w:r>
      <w:r>
        <w:rPr>
          <w:w w:val="105"/>
        </w:rPr>
        <w:t>materials?</w:t>
      </w:r>
    </w:p>
    <w:p>
      <w:pPr>
        <w:pStyle w:val="BodyText"/>
        <w:spacing w:line="259" w:lineRule="auto" w:before="154"/>
        <w:ind w:left="1772" w:right="1449" w:hanging="373"/>
      </w:pPr>
      <w:r>
        <w:rPr>
          <w:w w:val="105"/>
        </w:rPr>
        <w:t>A:</w:t>
      </w:r>
      <w:r>
        <w:rPr>
          <w:spacing w:val="40"/>
          <w:w w:val="105"/>
        </w:rPr>
        <w:t>  </w:t>
      </w:r>
      <w:r>
        <w:rPr>
          <w:w w:val="105"/>
        </w:rPr>
        <w:t>Pursuant</w:t>
      </w:r>
      <w:r>
        <w:rPr>
          <w:spacing w:val="20"/>
          <w:w w:val="105"/>
        </w:rPr>
        <w:t> </w:t>
      </w:r>
      <w:r>
        <w:rPr>
          <w:w w:val="105"/>
        </w:rPr>
        <w:t>to</w:t>
      </w:r>
      <w:r>
        <w:rPr>
          <w:spacing w:val="20"/>
          <w:w w:val="105"/>
        </w:rPr>
        <w:t> </w:t>
      </w:r>
      <w:r>
        <w:rPr>
          <w:w w:val="105"/>
        </w:rPr>
        <w:t>rules</w:t>
      </w:r>
      <w:r>
        <w:rPr>
          <w:spacing w:val="20"/>
          <w:w w:val="105"/>
        </w:rPr>
        <w:t> </w:t>
      </w:r>
      <w:r>
        <w:rPr>
          <w:w w:val="105"/>
        </w:rPr>
        <w:t>adopted</w:t>
      </w:r>
      <w:r>
        <w:rPr>
          <w:spacing w:val="20"/>
          <w:w w:val="105"/>
        </w:rPr>
        <w:t> </w:t>
      </w:r>
      <w:r>
        <w:rPr>
          <w:w w:val="105"/>
        </w:rPr>
        <w:t>by</w:t>
      </w:r>
      <w:r>
        <w:rPr>
          <w:spacing w:val="20"/>
          <w:w w:val="105"/>
        </w:rPr>
        <w:t> </w:t>
      </w:r>
      <w:r>
        <w:rPr>
          <w:w w:val="105"/>
        </w:rPr>
        <w:t>the</w:t>
      </w:r>
      <w:r>
        <w:rPr>
          <w:spacing w:val="20"/>
          <w:w w:val="105"/>
        </w:rPr>
        <w:t> </w:t>
      </w:r>
      <w:r>
        <w:rPr>
          <w:w w:val="105"/>
        </w:rPr>
        <w:t>U.S.</w:t>
      </w:r>
      <w:r>
        <w:rPr>
          <w:spacing w:val="20"/>
          <w:w w:val="105"/>
        </w:rPr>
        <w:t> </w:t>
      </w:r>
      <w:r>
        <w:rPr>
          <w:w w:val="105"/>
        </w:rPr>
        <w:t>Securities</w:t>
      </w:r>
      <w:r>
        <w:rPr>
          <w:spacing w:val="20"/>
          <w:w w:val="105"/>
        </w:rPr>
        <w:t> </w:t>
      </w:r>
      <w:r>
        <w:rPr>
          <w:w w:val="105"/>
        </w:rPr>
        <w:t>and</w:t>
      </w:r>
      <w:r>
        <w:rPr>
          <w:spacing w:val="20"/>
          <w:w w:val="105"/>
        </w:rPr>
        <w:t> </w:t>
      </w:r>
      <w:r>
        <w:rPr>
          <w:w w:val="105"/>
        </w:rPr>
        <w:t>Exchange</w:t>
      </w:r>
      <w:r>
        <w:rPr>
          <w:spacing w:val="20"/>
          <w:w w:val="105"/>
        </w:rPr>
        <w:t> </w:t>
      </w:r>
      <w:r>
        <w:rPr>
          <w:w w:val="105"/>
        </w:rPr>
        <w:t>Commission</w:t>
      </w:r>
      <w:r>
        <w:rPr>
          <w:spacing w:val="20"/>
          <w:w w:val="105"/>
        </w:rPr>
        <w:t> </w:t>
      </w:r>
      <w:r>
        <w:rPr>
          <w:w w:val="105"/>
        </w:rPr>
        <w:t>(the</w:t>
      </w:r>
      <w:r>
        <w:rPr>
          <w:spacing w:val="20"/>
          <w:w w:val="105"/>
        </w:rPr>
        <w:t> </w:t>
      </w:r>
      <w:r>
        <w:rPr>
          <w:w w:val="105"/>
        </w:rPr>
        <w:t>“</w:t>
      </w:r>
      <w:r>
        <w:rPr>
          <w:b/>
          <w:w w:val="105"/>
        </w:rPr>
        <w:t>SEC</w:t>
      </w:r>
      <w:r>
        <w:rPr>
          <w:w w:val="105"/>
        </w:rPr>
        <w:t>”),</w:t>
      </w:r>
      <w:r>
        <w:rPr>
          <w:spacing w:val="20"/>
          <w:w w:val="105"/>
        </w:rPr>
        <w:t> </w:t>
      </w:r>
      <w:r>
        <w:rPr>
          <w:w w:val="105"/>
        </w:rPr>
        <w:t>we</w:t>
      </w:r>
      <w:r>
        <w:rPr>
          <w:spacing w:val="20"/>
          <w:w w:val="105"/>
        </w:rPr>
        <w:t> </w:t>
      </w:r>
      <w:r>
        <w:rPr>
          <w:w w:val="105"/>
        </w:rPr>
        <w:t>have elected</w:t>
      </w:r>
      <w:r>
        <w:rPr>
          <w:spacing w:val="24"/>
          <w:w w:val="105"/>
        </w:rPr>
        <w:t> </w:t>
      </w:r>
      <w:r>
        <w:rPr>
          <w:w w:val="105"/>
        </w:rPr>
        <w:t>to</w:t>
      </w:r>
      <w:r>
        <w:rPr>
          <w:spacing w:val="24"/>
          <w:w w:val="105"/>
        </w:rPr>
        <w:t> </w:t>
      </w:r>
      <w:r>
        <w:rPr>
          <w:w w:val="105"/>
        </w:rPr>
        <w:t>provide</w:t>
      </w:r>
      <w:r>
        <w:rPr>
          <w:spacing w:val="24"/>
          <w:w w:val="105"/>
        </w:rPr>
        <w:t> </w:t>
      </w:r>
      <w:r>
        <w:rPr>
          <w:w w:val="105"/>
        </w:rPr>
        <w:t>access</w:t>
      </w:r>
      <w:r>
        <w:rPr>
          <w:spacing w:val="24"/>
          <w:w w:val="105"/>
        </w:rPr>
        <w:t> </w:t>
      </w:r>
      <w:r>
        <w:rPr>
          <w:w w:val="105"/>
        </w:rPr>
        <w:t>to</w:t>
      </w:r>
      <w:r>
        <w:rPr>
          <w:spacing w:val="24"/>
          <w:w w:val="105"/>
        </w:rPr>
        <w:t> </w:t>
      </w:r>
      <w:r>
        <w:rPr>
          <w:w w:val="105"/>
        </w:rPr>
        <w:t>our</w:t>
      </w:r>
      <w:r>
        <w:rPr>
          <w:spacing w:val="24"/>
          <w:w w:val="105"/>
        </w:rPr>
        <w:t> </w:t>
      </w:r>
      <w:r>
        <w:rPr>
          <w:w w:val="105"/>
        </w:rPr>
        <w:t>proxy</w:t>
      </w:r>
      <w:r>
        <w:rPr>
          <w:spacing w:val="24"/>
          <w:w w:val="105"/>
        </w:rPr>
        <w:t> </w:t>
      </w:r>
      <w:r>
        <w:rPr>
          <w:w w:val="105"/>
        </w:rPr>
        <w:t>materials</w:t>
      </w:r>
      <w:r>
        <w:rPr>
          <w:spacing w:val="24"/>
          <w:w w:val="105"/>
        </w:rPr>
        <w:t> </w:t>
      </w:r>
      <w:r>
        <w:rPr>
          <w:w w:val="105"/>
        </w:rPr>
        <w:t>(consisting</w:t>
      </w:r>
      <w:r>
        <w:rPr>
          <w:spacing w:val="24"/>
          <w:w w:val="105"/>
        </w:rPr>
        <w:t> </w:t>
      </w:r>
      <w:r>
        <w:rPr>
          <w:w w:val="105"/>
        </w:rPr>
        <w:t>of</w:t>
      </w:r>
      <w:r>
        <w:rPr>
          <w:spacing w:val="24"/>
          <w:w w:val="105"/>
        </w:rPr>
        <w:t> </w:t>
      </w:r>
      <w:r>
        <w:rPr>
          <w:w w:val="105"/>
        </w:rPr>
        <w:t>the</w:t>
      </w:r>
      <w:r>
        <w:rPr>
          <w:spacing w:val="24"/>
          <w:w w:val="105"/>
        </w:rPr>
        <w:t> </w:t>
      </w:r>
      <w:r>
        <w:rPr>
          <w:w w:val="105"/>
        </w:rPr>
        <w:t>Notice</w:t>
      </w:r>
      <w:r>
        <w:rPr>
          <w:spacing w:val="24"/>
          <w:w w:val="105"/>
        </w:rPr>
        <w:t> </w:t>
      </w:r>
      <w:r>
        <w:rPr>
          <w:w w:val="105"/>
        </w:rPr>
        <w:t>of Annual</w:t>
      </w:r>
      <w:r>
        <w:rPr>
          <w:spacing w:val="24"/>
          <w:w w:val="105"/>
        </w:rPr>
        <w:t> </w:t>
      </w:r>
      <w:r>
        <w:rPr>
          <w:w w:val="105"/>
        </w:rPr>
        <w:t>Meeting,</w:t>
      </w:r>
      <w:r>
        <w:rPr>
          <w:spacing w:val="24"/>
          <w:w w:val="105"/>
        </w:rPr>
        <w:t> </w:t>
      </w:r>
      <w:r>
        <w:rPr>
          <w:w w:val="105"/>
        </w:rPr>
        <w:t>this</w:t>
      </w:r>
      <w:r>
        <w:rPr>
          <w:w w:val="105"/>
        </w:rPr>
        <w:t> Proxy</w:t>
      </w:r>
      <w:r>
        <w:rPr>
          <w:spacing w:val="24"/>
          <w:w w:val="105"/>
        </w:rPr>
        <w:t> </w:t>
      </w:r>
      <w:r>
        <w:rPr>
          <w:w w:val="105"/>
        </w:rPr>
        <w:t>Statement,</w:t>
      </w:r>
      <w:r>
        <w:rPr>
          <w:spacing w:val="24"/>
          <w:w w:val="105"/>
        </w:rPr>
        <w:t> </w:t>
      </w:r>
      <w:r>
        <w:rPr>
          <w:w w:val="105"/>
        </w:rPr>
        <w:t>the</w:t>
      </w:r>
      <w:r>
        <w:rPr>
          <w:spacing w:val="24"/>
          <w:w w:val="105"/>
        </w:rPr>
        <w:t> </w:t>
      </w:r>
      <w:r>
        <w:rPr>
          <w:w w:val="105"/>
        </w:rPr>
        <w:t>corresponding</w:t>
      </w:r>
      <w:r>
        <w:rPr>
          <w:spacing w:val="24"/>
          <w:w w:val="105"/>
        </w:rPr>
        <w:t> </w:t>
      </w:r>
      <w:r>
        <w:rPr>
          <w:w w:val="105"/>
        </w:rPr>
        <w:t>proxy</w:t>
      </w:r>
      <w:r>
        <w:rPr>
          <w:spacing w:val="24"/>
          <w:w w:val="105"/>
        </w:rPr>
        <w:t> </w:t>
      </w:r>
      <w:r>
        <w:rPr>
          <w:w w:val="105"/>
        </w:rPr>
        <w:t>form,</w:t>
      </w:r>
      <w:r>
        <w:rPr>
          <w:spacing w:val="24"/>
          <w:w w:val="105"/>
        </w:rPr>
        <w:t> </w:t>
      </w:r>
      <w:r>
        <w:rPr>
          <w:w w:val="105"/>
        </w:rPr>
        <w:t>and</w:t>
      </w:r>
      <w:r>
        <w:rPr>
          <w:spacing w:val="24"/>
          <w:w w:val="105"/>
        </w:rPr>
        <w:t> </w:t>
      </w:r>
      <w:r>
        <w:rPr>
          <w:w w:val="105"/>
        </w:rPr>
        <w:t>our Annual</w:t>
      </w:r>
      <w:r>
        <w:rPr>
          <w:spacing w:val="24"/>
          <w:w w:val="105"/>
        </w:rPr>
        <w:t> </w:t>
      </w:r>
      <w:r>
        <w:rPr>
          <w:w w:val="105"/>
        </w:rPr>
        <w:t>Report</w:t>
      </w:r>
      <w:r>
        <w:rPr>
          <w:spacing w:val="24"/>
          <w:w w:val="105"/>
        </w:rPr>
        <w:t> </w:t>
      </w:r>
      <w:r>
        <w:rPr>
          <w:w w:val="105"/>
        </w:rPr>
        <w:t>on</w:t>
      </w:r>
      <w:r>
        <w:rPr>
          <w:spacing w:val="24"/>
          <w:w w:val="105"/>
        </w:rPr>
        <w:t> </w:t>
      </w:r>
      <w:r>
        <w:rPr>
          <w:w w:val="105"/>
        </w:rPr>
        <w:t>Form</w:t>
      </w:r>
      <w:r>
        <w:rPr>
          <w:spacing w:val="24"/>
          <w:w w:val="105"/>
        </w:rPr>
        <w:t> </w:t>
      </w:r>
      <w:r>
        <w:rPr>
          <w:w w:val="105"/>
        </w:rPr>
        <w:t>10-K</w:t>
      </w:r>
      <w:r>
        <w:rPr>
          <w:spacing w:val="24"/>
          <w:w w:val="105"/>
        </w:rPr>
        <w:t> </w:t>
      </w:r>
      <w:r>
        <w:rPr>
          <w:w w:val="105"/>
        </w:rPr>
        <w:t>for</w:t>
      </w:r>
      <w:r>
        <w:rPr>
          <w:spacing w:val="24"/>
          <w:w w:val="105"/>
        </w:rPr>
        <w:t> </w:t>
      </w:r>
      <w:r>
        <w:rPr>
          <w:w w:val="105"/>
        </w:rPr>
        <w:t>the</w:t>
      </w:r>
      <w:r>
        <w:rPr>
          <w:spacing w:val="24"/>
          <w:w w:val="105"/>
        </w:rPr>
        <w:t> </w:t>
      </w:r>
      <w:r>
        <w:rPr>
          <w:w w:val="105"/>
        </w:rPr>
        <w:t>fiscal year ended September 30, 2022 (“</w:t>
      </w:r>
      <w:r>
        <w:rPr>
          <w:b/>
          <w:w w:val="105"/>
        </w:rPr>
        <w:t>fiscal year</w:t>
      </w:r>
      <w:r>
        <w:rPr>
          <w:b/>
          <w:spacing w:val="-5"/>
          <w:w w:val="105"/>
        </w:rPr>
        <w:t> </w:t>
      </w:r>
      <w:r>
        <w:rPr>
          <w:b/>
          <w:w w:val="105"/>
        </w:rPr>
        <w:t>2022</w:t>
      </w:r>
      <w:r>
        <w:rPr>
          <w:w w:val="105"/>
        </w:rPr>
        <w:t>”)) over the Internet. Therefore, we are sending a</w:t>
      </w:r>
      <w:r>
        <w:rPr>
          <w:spacing w:val="40"/>
          <w:w w:val="105"/>
        </w:rPr>
        <w:t> </w:t>
      </w:r>
      <w:r>
        <w:rPr>
          <w:w w:val="105"/>
        </w:rPr>
        <w:t>Notice</w:t>
      </w:r>
      <w:r>
        <w:rPr>
          <w:spacing w:val="23"/>
          <w:w w:val="105"/>
        </w:rPr>
        <w:t> </w:t>
      </w:r>
      <w:r>
        <w:rPr>
          <w:w w:val="105"/>
        </w:rPr>
        <w:t>of</w:t>
      </w:r>
      <w:r>
        <w:rPr>
          <w:spacing w:val="23"/>
          <w:w w:val="105"/>
        </w:rPr>
        <w:t> </w:t>
      </w:r>
      <w:r>
        <w:rPr>
          <w:w w:val="105"/>
        </w:rPr>
        <w:t>Internet Availability</w:t>
      </w:r>
      <w:r>
        <w:rPr>
          <w:spacing w:val="23"/>
          <w:w w:val="105"/>
        </w:rPr>
        <w:t> </w:t>
      </w:r>
      <w:r>
        <w:rPr>
          <w:w w:val="105"/>
        </w:rPr>
        <w:t>of</w:t>
      </w:r>
      <w:r>
        <w:rPr>
          <w:spacing w:val="23"/>
          <w:w w:val="105"/>
        </w:rPr>
        <w:t> </w:t>
      </w:r>
      <w:r>
        <w:rPr>
          <w:w w:val="105"/>
        </w:rPr>
        <w:t>Proxy</w:t>
      </w:r>
      <w:r>
        <w:rPr>
          <w:spacing w:val="23"/>
          <w:w w:val="105"/>
        </w:rPr>
        <w:t> </w:t>
      </w:r>
      <w:r>
        <w:rPr>
          <w:w w:val="105"/>
        </w:rPr>
        <w:t>Materials</w:t>
      </w:r>
      <w:r>
        <w:rPr>
          <w:spacing w:val="23"/>
          <w:w w:val="105"/>
        </w:rPr>
        <w:t> </w:t>
      </w:r>
      <w:r>
        <w:rPr>
          <w:w w:val="105"/>
        </w:rPr>
        <w:t>(the</w:t>
      </w:r>
      <w:r>
        <w:rPr>
          <w:spacing w:val="23"/>
          <w:w w:val="105"/>
        </w:rPr>
        <w:t> </w:t>
      </w:r>
      <w:r>
        <w:rPr>
          <w:w w:val="105"/>
        </w:rPr>
        <w:t>“</w:t>
      </w:r>
      <w:r>
        <w:rPr>
          <w:b/>
          <w:w w:val="105"/>
        </w:rPr>
        <w:t>Notice</w:t>
      </w:r>
      <w:r>
        <w:rPr>
          <w:w w:val="105"/>
        </w:rPr>
        <w:t>”)</w:t>
      </w:r>
      <w:r>
        <w:rPr>
          <w:spacing w:val="23"/>
          <w:w w:val="105"/>
        </w:rPr>
        <w:t> </w:t>
      </w:r>
      <w:r>
        <w:rPr>
          <w:w w:val="105"/>
        </w:rPr>
        <w:t>to</w:t>
      </w:r>
      <w:r>
        <w:rPr>
          <w:spacing w:val="23"/>
          <w:w w:val="105"/>
        </w:rPr>
        <w:t> </w:t>
      </w:r>
      <w:r>
        <w:rPr>
          <w:w w:val="105"/>
        </w:rPr>
        <w:t>our</w:t>
      </w:r>
      <w:r>
        <w:rPr>
          <w:spacing w:val="23"/>
          <w:w w:val="105"/>
        </w:rPr>
        <w:t> </w:t>
      </w:r>
      <w:r>
        <w:rPr>
          <w:w w:val="105"/>
        </w:rPr>
        <w:t>stockholders.</w:t>
      </w:r>
      <w:r>
        <w:rPr>
          <w:spacing w:val="23"/>
          <w:w w:val="105"/>
        </w:rPr>
        <w:t> </w:t>
      </w:r>
      <w:r>
        <w:rPr>
          <w:w w:val="105"/>
        </w:rPr>
        <w:t>Starting</w:t>
      </w:r>
      <w:r>
        <w:rPr>
          <w:spacing w:val="23"/>
          <w:w w:val="105"/>
        </w:rPr>
        <w:t> </w:t>
      </w:r>
      <w:r>
        <w:rPr>
          <w:w w:val="105"/>
        </w:rPr>
        <w:t>on</w:t>
      </w:r>
      <w:r>
        <w:rPr>
          <w:spacing w:val="23"/>
          <w:w w:val="105"/>
        </w:rPr>
        <w:t> </w:t>
      </w:r>
      <w:r>
        <w:rPr>
          <w:w w:val="105"/>
        </w:rPr>
        <w:t>the date of distribution of the Notice, all stockholders will have the ability to access the proxy materials on</w:t>
      </w:r>
      <w:r>
        <w:rPr>
          <w:spacing w:val="80"/>
          <w:w w:val="105"/>
        </w:rPr>
        <w:t> </w:t>
      </w:r>
      <w:r>
        <w:rPr>
          <w:w w:val="105"/>
        </w:rPr>
        <w:t>the</w:t>
      </w:r>
      <w:r>
        <w:rPr>
          <w:spacing w:val="13"/>
          <w:w w:val="105"/>
        </w:rPr>
        <w:t> </w:t>
      </w:r>
      <w:r>
        <w:rPr>
          <w:w w:val="105"/>
        </w:rPr>
        <w:t>website</w:t>
      </w:r>
      <w:r>
        <w:rPr>
          <w:spacing w:val="13"/>
          <w:w w:val="105"/>
        </w:rPr>
        <w:t> </w:t>
      </w:r>
      <w:r>
        <w:rPr>
          <w:w w:val="105"/>
        </w:rPr>
        <w:t>referred</w:t>
      </w:r>
      <w:r>
        <w:rPr>
          <w:spacing w:val="13"/>
          <w:w w:val="105"/>
        </w:rPr>
        <w:t> </w:t>
      </w:r>
      <w:r>
        <w:rPr>
          <w:w w:val="105"/>
        </w:rPr>
        <w:t>to</w:t>
      </w:r>
      <w:r>
        <w:rPr>
          <w:spacing w:val="13"/>
          <w:w w:val="105"/>
        </w:rPr>
        <w:t> </w:t>
      </w:r>
      <w:r>
        <w:rPr>
          <w:w w:val="105"/>
        </w:rPr>
        <w:t>in</w:t>
      </w:r>
      <w:r>
        <w:rPr>
          <w:spacing w:val="13"/>
          <w:w w:val="105"/>
        </w:rPr>
        <w:t> </w:t>
      </w:r>
      <w:r>
        <w:rPr>
          <w:w w:val="105"/>
        </w:rPr>
        <w:t>the</w:t>
      </w:r>
      <w:r>
        <w:rPr>
          <w:spacing w:val="13"/>
          <w:w w:val="105"/>
        </w:rPr>
        <w:t> </w:t>
      </w:r>
      <w:r>
        <w:rPr>
          <w:w w:val="105"/>
        </w:rPr>
        <w:t>Notice</w:t>
      </w:r>
      <w:r>
        <w:rPr>
          <w:spacing w:val="13"/>
          <w:w w:val="105"/>
        </w:rPr>
        <w:t> </w:t>
      </w:r>
      <w:r>
        <w:rPr>
          <w:w w:val="105"/>
        </w:rPr>
        <w:t>or</w:t>
      </w:r>
      <w:r>
        <w:rPr>
          <w:spacing w:val="13"/>
          <w:w w:val="105"/>
        </w:rPr>
        <w:t> </w:t>
      </w:r>
      <w:r>
        <w:rPr>
          <w:w w:val="105"/>
        </w:rPr>
        <w:t>request</w:t>
      </w:r>
      <w:r>
        <w:rPr>
          <w:spacing w:val="13"/>
          <w:w w:val="105"/>
        </w:rPr>
        <w:t> </w:t>
      </w:r>
      <w:r>
        <w:rPr>
          <w:w w:val="105"/>
        </w:rPr>
        <w:t>a</w:t>
      </w:r>
      <w:r>
        <w:rPr>
          <w:spacing w:val="13"/>
          <w:w w:val="105"/>
        </w:rPr>
        <w:t> </w:t>
      </w:r>
      <w:r>
        <w:rPr>
          <w:w w:val="105"/>
        </w:rPr>
        <w:t>printed</w:t>
      </w:r>
      <w:r>
        <w:rPr>
          <w:spacing w:val="13"/>
          <w:w w:val="105"/>
        </w:rPr>
        <w:t> </w:t>
      </w:r>
      <w:r>
        <w:rPr>
          <w:w w:val="105"/>
        </w:rPr>
        <w:t>set</w:t>
      </w:r>
      <w:r>
        <w:rPr>
          <w:spacing w:val="13"/>
          <w:w w:val="105"/>
        </w:rPr>
        <w:t> </w:t>
      </w:r>
      <w:r>
        <w:rPr>
          <w:w w:val="105"/>
        </w:rPr>
        <w:t>of</w:t>
      </w:r>
      <w:r>
        <w:rPr>
          <w:spacing w:val="13"/>
          <w:w w:val="105"/>
        </w:rPr>
        <w:t> </w:t>
      </w:r>
      <w:r>
        <w:rPr>
          <w:w w:val="105"/>
        </w:rPr>
        <w:t>the</w:t>
      </w:r>
      <w:r>
        <w:rPr>
          <w:spacing w:val="13"/>
          <w:w w:val="105"/>
        </w:rPr>
        <w:t> </w:t>
      </w:r>
      <w:r>
        <w:rPr>
          <w:w w:val="105"/>
        </w:rPr>
        <w:t>proxy</w:t>
      </w:r>
      <w:r>
        <w:rPr>
          <w:spacing w:val="13"/>
          <w:w w:val="105"/>
        </w:rPr>
        <w:t> </w:t>
      </w:r>
      <w:r>
        <w:rPr>
          <w:w w:val="105"/>
        </w:rPr>
        <w:t>materials.</w:t>
      </w:r>
      <w:r>
        <w:rPr>
          <w:spacing w:val="13"/>
          <w:w w:val="105"/>
        </w:rPr>
        <w:t> </w:t>
      </w:r>
      <w:r>
        <w:rPr>
          <w:w w:val="105"/>
        </w:rPr>
        <w:t>Instructions</w:t>
      </w:r>
      <w:r>
        <w:rPr>
          <w:spacing w:val="13"/>
          <w:w w:val="105"/>
        </w:rPr>
        <w:t> </w:t>
      </w:r>
      <w:r>
        <w:rPr>
          <w:w w:val="105"/>
        </w:rPr>
        <w:t>on</w:t>
      </w:r>
      <w:r>
        <w:rPr>
          <w:spacing w:val="13"/>
          <w:w w:val="105"/>
        </w:rPr>
        <w:t> </w:t>
      </w:r>
      <w:r>
        <w:rPr>
          <w:w w:val="105"/>
        </w:rPr>
        <w:t>how to</w:t>
      </w:r>
      <w:r>
        <w:rPr>
          <w:spacing w:val="16"/>
          <w:w w:val="105"/>
        </w:rPr>
        <w:t> </w:t>
      </w:r>
      <w:r>
        <w:rPr>
          <w:w w:val="105"/>
        </w:rPr>
        <w:t>access</w:t>
      </w:r>
      <w:r>
        <w:rPr>
          <w:spacing w:val="16"/>
          <w:w w:val="105"/>
        </w:rPr>
        <w:t> </w:t>
      </w:r>
      <w:r>
        <w:rPr>
          <w:w w:val="105"/>
        </w:rPr>
        <w:t>the</w:t>
      </w:r>
      <w:r>
        <w:rPr>
          <w:spacing w:val="16"/>
          <w:w w:val="105"/>
        </w:rPr>
        <w:t> </w:t>
      </w:r>
      <w:r>
        <w:rPr>
          <w:w w:val="105"/>
        </w:rPr>
        <w:t>proxy</w:t>
      </w:r>
      <w:r>
        <w:rPr>
          <w:spacing w:val="16"/>
          <w:w w:val="105"/>
        </w:rPr>
        <w:t> </w:t>
      </w:r>
      <w:r>
        <w:rPr>
          <w:w w:val="105"/>
        </w:rPr>
        <w:t>materials</w:t>
      </w:r>
      <w:r>
        <w:rPr>
          <w:spacing w:val="16"/>
          <w:w w:val="105"/>
        </w:rPr>
        <w:t> </w:t>
      </w:r>
      <w:r>
        <w:rPr>
          <w:w w:val="105"/>
        </w:rPr>
        <w:t>over</w:t>
      </w:r>
      <w:r>
        <w:rPr>
          <w:spacing w:val="16"/>
          <w:w w:val="105"/>
        </w:rPr>
        <w:t> </w:t>
      </w:r>
      <w:r>
        <w:rPr>
          <w:w w:val="105"/>
        </w:rPr>
        <w:t>the</w:t>
      </w:r>
      <w:r>
        <w:rPr>
          <w:spacing w:val="16"/>
          <w:w w:val="105"/>
        </w:rPr>
        <w:t> </w:t>
      </w:r>
      <w:r>
        <w:rPr>
          <w:w w:val="105"/>
        </w:rPr>
        <w:t>Internet</w:t>
      </w:r>
      <w:r>
        <w:rPr>
          <w:spacing w:val="16"/>
          <w:w w:val="105"/>
        </w:rPr>
        <w:t> </w:t>
      </w:r>
      <w:r>
        <w:rPr>
          <w:w w:val="105"/>
        </w:rPr>
        <w:t>or</w:t>
      </w:r>
      <w:r>
        <w:rPr>
          <w:spacing w:val="16"/>
          <w:w w:val="105"/>
        </w:rPr>
        <w:t> </w:t>
      </w:r>
      <w:r>
        <w:rPr>
          <w:w w:val="105"/>
        </w:rPr>
        <w:t>to</w:t>
      </w:r>
      <w:r>
        <w:rPr>
          <w:spacing w:val="16"/>
          <w:w w:val="105"/>
        </w:rPr>
        <w:t> </w:t>
      </w:r>
      <w:r>
        <w:rPr>
          <w:w w:val="105"/>
        </w:rPr>
        <w:t>request</w:t>
      </w:r>
      <w:r>
        <w:rPr>
          <w:spacing w:val="16"/>
          <w:w w:val="105"/>
        </w:rPr>
        <w:t> </w:t>
      </w:r>
      <w:r>
        <w:rPr>
          <w:w w:val="105"/>
        </w:rPr>
        <w:t>printed</w:t>
      </w:r>
      <w:r>
        <w:rPr>
          <w:spacing w:val="16"/>
          <w:w w:val="105"/>
        </w:rPr>
        <w:t> </w:t>
      </w:r>
      <w:r>
        <w:rPr>
          <w:w w:val="105"/>
        </w:rPr>
        <w:t>copies</w:t>
      </w:r>
      <w:r>
        <w:rPr>
          <w:spacing w:val="16"/>
          <w:w w:val="105"/>
        </w:rPr>
        <w:t> </w:t>
      </w:r>
      <w:r>
        <w:rPr>
          <w:w w:val="105"/>
        </w:rPr>
        <w:t>may</w:t>
      </w:r>
      <w:r>
        <w:rPr>
          <w:spacing w:val="16"/>
          <w:w w:val="105"/>
        </w:rPr>
        <w:t> </w:t>
      </w:r>
      <w:r>
        <w:rPr>
          <w:w w:val="105"/>
        </w:rPr>
        <w:t>be</w:t>
      </w:r>
      <w:r>
        <w:rPr>
          <w:spacing w:val="16"/>
          <w:w w:val="105"/>
        </w:rPr>
        <w:t> </w:t>
      </w:r>
      <w:r>
        <w:rPr>
          <w:w w:val="105"/>
        </w:rPr>
        <w:t>found</w:t>
      </w:r>
      <w:r>
        <w:rPr>
          <w:spacing w:val="16"/>
          <w:w w:val="105"/>
        </w:rPr>
        <w:t> </w:t>
      </w:r>
      <w:r>
        <w:rPr>
          <w:w w:val="105"/>
        </w:rPr>
        <w:t>in</w:t>
      </w:r>
      <w:r>
        <w:rPr>
          <w:spacing w:val="16"/>
          <w:w w:val="105"/>
        </w:rPr>
        <w:t> </w:t>
      </w:r>
      <w:r>
        <w:rPr>
          <w:w w:val="105"/>
        </w:rPr>
        <w:t>the</w:t>
      </w:r>
      <w:r>
        <w:rPr>
          <w:spacing w:val="16"/>
          <w:w w:val="105"/>
        </w:rPr>
        <w:t> </w:t>
      </w:r>
      <w:r>
        <w:rPr>
          <w:w w:val="105"/>
        </w:rPr>
        <w:t>Notice. If</w:t>
      </w:r>
      <w:r>
        <w:rPr>
          <w:spacing w:val="22"/>
          <w:w w:val="105"/>
        </w:rPr>
        <w:t> </w:t>
      </w:r>
      <w:r>
        <w:rPr>
          <w:w w:val="105"/>
        </w:rPr>
        <w:t>you</w:t>
      </w:r>
      <w:r>
        <w:rPr>
          <w:spacing w:val="22"/>
          <w:w w:val="105"/>
        </w:rPr>
        <w:t> </w:t>
      </w:r>
      <w:r>
        <w:rPr>
          <w:w w:val="105"/>
        </w:rPr>
        <w:t>request</w:t>
      </w:r>
      <w:r>
        <w:rPr>
          <w:spacing w:val="22"/>
          <w:w w:val="105"/>
        </w:rPr>
        <w:t> </w:t>
      </w:r>
      <w:r>
        <w:rPr>
          <w:w w:val="105"/>
        </w:rPr>
        <w:t>printed</w:t>
      </w:r>
      <w:r>
        <w:rPr>
          <w:spacing w:val="22"/>
          <w:w w:val="105"/>
        </w:rPr>
        <w:t> </w:t>
      </w:r>
      <w:r>
        <w:rPr>
          <w:w w:val="105"/>
        </w:rPr>
        <w:t>versions</w:t>
      </w:r>
      <w:r>
        <w:rPr>
          <w:spacing w:val="22"/>
          <w:w w:val="105"/>
        </w:rPr>
        <w:t> </w:t>
      </w:r>
      <w:r>
        <w:rPr>
          <w:w w:val="105"/>
        </w:rPr>
        <w:t>of</w:t>
      </w:r>
      <w:r>
        <w:rPr>
          <w:spacing w:val="22"/>
          <w:w w:val="105"/>
        </w:rPr>
        <w:t> </w:t>
      </w:r>
      <w:r>
        <w:rPr>
          <w:w w:val="105"/>
        </w:rPr>
        <w:t>the</w:t>
      </w:r>
      <w:r>
        <w:rPr>
          <w:spacing w:val="22"/>
          <w:w w:val="105"/>
        </w:rPr>
        <w:t> </w:t>
      </w:r>
      <w:r>
        <w:rPr>
          <w:w w:val="105"/>
        </w:rPr>
        <w:t>proxy</w:t>
      </w:r>
      <w:r>
        <w:rPr>
          <w:spacing w:val="22"/>
          <w:w w:val="105"/>
        </w:rPr>
        <w:t> </w:t>
      </w:r>
      <w:r>
        <w:rPr>
          <w:w w:val="105"/>
        </w:rPr>
        <w:t>materials</w:t>
      </w:r>
      <w:r>
        <w:rPr>
          <w:spacing w:val="22"/>
          <w:w w:val="105"/>
        </w:rPr>
        <w:t> </w:t>
      </w:r>
      <w:r>
        <w:rPr>
          <w:w w:val="105"/>
        </w:rPr>
        <w:t>by</w:t>
      </w:r>
      <w:r>
        <w:rPr>
          <w:spacing w:val="22"/>
          <w:w w:val="105"/>
        </w:rPr>
        <w:t> </w:t>
      </w:r>
      <w:r>
        <w:rPr>
          <w:w w:val="105"/>
        </w:rPr>
        <w:t>mail,</w:t>
      </w:r>
      <w:r>
        <w:rPr>
          <w:spacing w:val="22"/>
          <w:w w:val="105"/>
        </w:rPr>
        <w:t> </w:t>
      </w:r>
      <w:r>
        <w:rPr>
          <w:w w:val="105"/>
        </w:rPr>
        <w:t>the</w:t>
      </w:r>
      <w:r>
        <w:rPr>
          <w:spacing w:val="22"/>
          <w:w w:val="105"/>
        </w:rPr>
        <w:t> </w:t>
      </w:r>
      <w:r>
        <w:rPr>
          <w:w w:val="105"/>
        </w:rPr>
        <w:t>materials</w:t>
      </w:r>
      <w:r>
        <w:rPr>
          <w:spacing w:val="22"/>
          <w:w w:val="105"/>
        </w:rPr>
        <w:t> </w:t>
      </w:r>
      <w:r>
        <w:rPr>
          <w:w w:val="105"/>
        </w:rPr>
        <w:t>will</w:t>
      </w:r>
      <w:r>
        <w:rPr>
          <w:spacing w:val="22"/>
          <w:w w:val="105"/>
        </w:rPr>
        <w:t> </w:t>
      </w:r>
      <w:r>
        <w:rPr>
          <w:w w:val="105"/>
        </w:rPr>
        <w:t>also</w:t>
      </w:r>
      <w:r>
        <w:rPr>
          <w:spacing w:val="22"/>
          <w:w w:val="105"/>
        </w:rPr>
        <w:t> </w:t>
      </w:r>
      <w:r>
        <w:rPr>
          <w:w w:val="105"/>
        </w:rPr>
        <w:t>include</w:t>
      </w:r>
      <w:r>
        <w:rPr>
          <w:spacing w:val="22"/>
          <w:w w:val="105"/>
        </w:rPr>
        <w:t> </w:t>
      </w:r>
      <w:r>
        <w:rPr>
          <w:w w:val="105"/>
        </w:rPr>
        <w:t>a</w:t>
      </w:r>
      <w:r>
        <w:rPr>
          <w:spacing w:val="22"/>
          <w:w w:val="105"/>
        </w:rPr>
        <w:t> </w:t>
      </w:r>
      <w:r>
        <w:rPr>
          <w:w w:val="105"/>
        </w:rPr>
        <w:t>proxy card or other voting instruction form.</w:t>
      </w:r>
    </w:p>
    <w:p>
      <w:pPr>
        <w:pStyle w:val="BodyText"/>
        <w:spacing w:line="259" w:lineRule="auto" w:before="155"/>
        <w:ind w:left="1772" w:right="1565"/>
      </w:pPr>
      <w:r>
        <w:rPr>
          <w:w w:val="105"/>
        </w:rPr>
        <w:t>As permitted by SEC rules, we will deliver one Annual Report or Proxy Statement to multiple stockholders sharing the same address unless we have received contrary instructions. We will, upon written or oral request, undertake to promptly deliver a separate copy of our Annual Report or Proxy Statement to a stockholder at a shared address to which a single copy of our Annual Report or Proxy Statement</w:t>
      </w:r>
      <w:r>
        <w:rPr>
          <w:spacing w:val="25"/>
          <w:w w:val="105"/>
        </w:rPr>
        <w:t> </w:t>
      </w:r>
      <w:r>
        <w:rPr>
          <w:w w:val="105"/>
        </w:rPr>
        <w:t>was</w:t>
      </w:r>
      <w:r>
        <w:rPr>
          <w:spacing w:val="25"/>
          <w:w w:val="105"/>
        </w:rPr>
        <w:t> </w:t>
      </w:r>
      <w:r>
        <w:rPr>
          <w:w w:val="105"/>
        </w:rPr>
        <w:t>delivered</w:t>
      </w:r>
      <w:r>
        <w:rPr>
          <w:spacing w:val="25"/>
          <w:w w:val="105"/>
        </w:rPr>
        <w:t> </w:t>
      </w:r>
      <w:r>
        <w:rPr>
          <w:w w:val="105"/>
        </w:rPr>
        <w:t>and</w:t>
      </w:r>
      <w:r>
        <w:rPr>
          <w:spacing w:val="25"/>
          <w:w w:val="105"/>
        </w:rPr>
        <w:t> </w:t>
      </w:r>
      <w:r>
        <w:rPr>
          <w:w w:val="105"/>
        </w:rPr>
        <w:t>will</w:t>
      </w:r>
      <w:r>
        <w:rPr>
          <w:spacing w:val="25"/>
          <w:w w:val="105"/>
        </w:rPr>
        <w:t> </w:t>
      </w:r>
      <w:r>
        <w:rPr>
          <w:w w:val="105"/>
        </w:rPr>
        <w:t>include</w:t>
      </w:r>
      <w:r>
        <w:rPr>
          <w:spacing w:val="25"/>
          <w:w w:val="105"/>
        </w:rPr>
        <w:t> </w:t>
      </w:r>
      <w:r>
        <w:rPr>
          <w:w w:val="105"/>
        </w:rPr>
        <w:t>instructions</w:t>
      </w:r>
      <w:r>
        <w:rPr>
          <w:spacing w:val="25"/>
          <w:w w:val="105"/>
        </w:rPr>
        <w:t> </w:t>
      </w:r>
      <w:r>
        <w:rPr>
          <w:w w:val="105"/>
        </w:rPr>
        <w:t>as</w:t>
      </w:r>
      <w:r>
        <w:rPr>
          <w:spacing w:val="25"/>
          <w:w w:val="105"/>
        </w:rPr>
        <w:t> </w:t>
      </w:r>
      <w:r>
        <w:rPr>
          <w:w w:val="105"/>
        </w:rPr>
        <w:t>to</w:t>
      </w:r>
      <w:r>
        <w:rPr>
          <w:spacing w:val="25"/>
          <w:w w:val="105"/>
        </w:rPr>
        <w:t> </w:t>
      </w:r>
      <w:r>
        <w:rPr>
          <w:w w:val="105"/>
        </w:rPr>
        <w:t>how</w:t>
      </w:r>
      <w:r>
        <w:rPr>
          <w:spacing w:val="25"/>
          <w:w w:val="105"/>
        </w:rPr>
        <w:t> </w:t>
      </w:r>
      <w:r>
        <w:rPr>
          <w:w w:val="105"/>
        </w:rPr>
        <w:t>the</w:t>
      </w:r>
      <w:r>
        <w:rPr>
          <w:spacing w:val="25"/>
          <w:w w:val="105"/>
        </w:rPr>
        <w:t> </w:t>
      </w:r>
      <w:r>
        <w:rPr>
          <w:w w:val="105"/>
        </w:rPr>
        <w:t>stockholder</w:t>
      </w:r>
      <w:r>
        <w:rPr>
          <w:spacing w:val="25"/>
          <w:w w:val="105"/>
        </w:rPr>
        <w:t> </w:t>
      </w:r>
      <w:r>
        <w:rPr>
          <w:w w:val="105"/>
        </w:rPr>
        <w:t>can</w:t>
      </w:r>
      <w:r>
        <w:rPr>
          <w:spacing w:val="25"/>
          <w:w w:val="105"/>
        </w:rPr>
        <w:t> </w:t>
      </w:r>
      <w:r>
        <w:rPr>
          <w:w w:val="105"/>
        </w:rPr>
        <w:t>notify</w:t>
      </w:r>
      <w:r>
        <w:rPr>
          <w:spacing w:val="25"/>
          <w:w w:val="105"/>
        </w:rPr>
        <w:t> </w:t>
      </w:r>
      <w:r>
        <w:rPr>
          <w:w w:val="105"/>
        </w:rPr>
        <w:t>the Company that the stockholder wishes to receive a separate copy of our Annual Report or Proxy Statement</w:t>
      </w:r>
      <w:r>
        <w:rPr>
          <w:spacing w:val="16"/>
          <w:w w:val="105"/>
        </w:rPr>
        <w:t> </w:t>
      </w:r>
      <w:r>
        <w:rPr>
          <w:w w:val="105"/>
        </w:rPr>
        <w:t>in</w:t>
      </w:r>
      <w:r>
        <w:rPr>
          <w:spacing w:val="16"/>
          <w:w w:val="105"/>
        </w:rPr>
        <w:t> </w:t>
      </w:r>
      <w:r>
        <w:rPr>
          <w:w w:val="105"/>
        </w:rPr>
        <w:t>the</w:t>
      </w:r>
      <w:r>
        <w:rPr>
          <w:spacing w:val="16"/>
          <w:w w:val="105"/>
        </w:rPr>
        <w:t> </w:t>
      </w:r>
      <w:r>
        <w:rPr>
          <w:w w:val="105"/>
        </w:rPr>
        <w:t>future.</w:t>
      </w:r>
      <w:r>
        <w:rPr>
          <w:spacing w:val="16"/>
          <w:w w:val="105"/>
        </w:rPr>
        <w:t> </w:t>
      </w:r>
      <w:r>
        <w:rPr>
          <w:w w:val="105"/>
        </w:rPr>
        <w:t>Stockholders</w:t>
      </w:r>
      <w:r>
        <w:rPr>
          <w:spacing w:val="16"/>
          <w:w w:val="105"/>
        </w:rPr>
        <w:t> </w:t>
      </w:r>
      <w:r>
        <w:rPr>
          <w:w w:val="105"/>
        </w:rPr>
        <w:t>wishing</w:t>
      </w:r>
      <w:r>
        <w:rPr>
          <w:spacing w:val="16"/>
          <w:w w:val="105"/>
        </w:rPr>
        <w:t> </w:t>
      </w:r>
      <w:r>
        <w:rPr>
          <w:w w:val="105"/>
        </w:rPr>
        <w:t>to</w:t>
      </w:r>
      <w:r>
        <w:rPr>
          <w:spacing w:val="16"/>
          <w:w w:val="105"/>
        </w:rPr>
        <w:t> </w:t>
      </w:r>
      <w:r>
        <w:rPr>
          <w:w w:val="105"/>
        </w:rPr>
        <w:t>receive</w:t>
      </w:r>
      <w:r>
        <w:rPr>
          <w:spacing w:val="16"/>
          <w:w w:val="105"/>
        </w:rPr>
        <w:t> </w:t>
      </w:r>
      <w:r>
        <w:rPr>
          <w:w w:val="105"/>
        </w:rPr>
        <w:t>a</w:t>
      </w:r>
      <w:r>
        <w:rPr>
          <w:spacing w:val="16"/>
          <w:w w:val="105"/>
        </w:rPr>
        <w:t> </w:t>
      </w:r>
      <w:r>
        <w:rPr>
          <w:w w:val="105"/>
        </w:rPr>
        <w:t>separate Annual</w:t>
      </w:r>
      <w:r>
        <w:rPr>
          <w:spacing w:val="16"/>
          <w:w w:val="105"/>
        </w:rPr>
        <w:t> </w:t>
      </w:r>
      <w:r>
        <w:rPr>
          <w:w w:val="105"/>
        </w:rPr>
        <w:t>Report</w:t>
      </w:r>
      <w:r>
        <w:rPr>
          <w:spacing w:val="16"/>
          <w:w w:val="105"/>
        </w:rPr>
        <w:t> </w:t>
      </w:r>
      <w:r>
        <w:rPr>
          <w:w w:val="105"/>
        </w:rPr>
        <w:t>or</w:t>
      </w:r>
      <w:r>
        <w:rPr>
          <w:spacing w:val="16"/>
          <w:w w:val="105"/>
        </w:rPr>
        <w:t> </w:t>
      </w:r>
      <w:r>
        <w:rPr>
          <w:w w:val="105"/>
        </w:rPr>
        <w:t>Proxy</w:t>
      </w:r>
      <w:r>
        <w:rPr>
          <w:spacing w:val="16"/>
          <w:w w:val="105"/>
        </w:rPr>
        <w:t> </w:t>
      </w:r>
      <w:r>
        <w:rPr>
          <w:w w:val="105"/>
        </w:rPr>
        <w:t>Statement</w:t>
      </w:r>
    </w:p>
    <w:p>
      <w:pPr>
        <w:spacing w:after="0" w:line="259" w:lineRule="auto"/>
        <w:sectPr>
          <w:headerReference w:type="default" r:id="rId23"/>
          <w:footerReference w:type="default" r:id="rId24"/>
          <w:pgSz w:w="12240" w:h="15840"/>
          <w:pgMar w:header="529" w:footer="1414" w:top="720" w:bottom="1600" w:left="480" w:right="460"/>
        </w:sectPr>
      </w:pPr>
    </w:p>
    <w:p>
      <w:pPr>
        <w:pStyle w:val="BodyText"/>
        <w:rPr>
          <w:sz w:val="20"/>
        </w:rPr>
      </w:pPr>
    </w:p>
    <w:p>
      <w:pPr>
        <w:pStyle w:val="BodyText"/>
        <w:rPr>
          <w:sz w:val="20"/>
        </w:rPr>
      </w:pPr>
    </w:p>
    <w:p>
      <w:pPr>
        <w:pStyle w:val="BodyText"/>
        <w:spacing w:before="2"/>
        <w:rPr>
          <w:sz w:val="27"/>
        </w:rPr>
      </w:pPr>
    </w:p>
    <w:p>
      <w:pPr>
        <w:pStyle w:val="BodyText"/>
        <w:spacing w:line="259" w:lineRule="auto" w:before="98"/>
        <w:ind w:left="1772" w:right="1551"/>
      </w:pPr>
      <w:r>
        <w:rPr>
          <w:w w:val="105"/>
        </w:rPr>
        <w:t>in</w:t>
      </w:r>
      <w:r>
        <w:rPr>
          <w:spacing w:val="13"/>
          <w:w w:val="105"/>
        </w:rPr>
        <w:t> </w:t>
      </w:r>
      <w:r>
        <w:rPr>
          <w:w w:val="105"/>
        </w:rPr>
        <w:t>the</w:t>
      </w:r>
      <w:r>
        <w:rPr>
          <w:spacing w:val="13"/>
          <w:w w:val="105"/>
        </w:rPr>
        <w:t> </w:t>
      </w:r>
      <w:r>
        <w:rPr>
          <w:w w:val="105"/>
        </w:rPr>
        <w:t>future</w:t>
      </w:r>
      <w:r>
        <w:rPr>
          <w:spacing w:val="13"/>
          <w:w w:val="105"/>
        </w:rPr>
        <w:t> </w:t>
      </w:r>
      <w:r>
        <w:rPr>
          <w:w w:val="105"/>
        </w:rPr>
        <w:t>or</w:t>
      </w:r>
      <w:r>
        <w:rPr>
          <w:spacing w:val="13"/>
          <w:w w:val="105"/>
        </w:rPr>
        <w:t> </w:t>
      </w:r>
      <w:r>
        <w:rPr>
          <w:w w:val="105"/>
        </w:rPr>
        <w:t>stockholders</w:t>
      </w:r>
      <w:r>
        <w:rPr>
          <w:spacing w:val="13"/>
          <w:w w:val="105"/>
        </w:rPr>
        <w:t> </w:t>
      </w:r>
      <w:r>
        <w:rPr>
          <w:w w:val="105"/>
        </w:rPr>
        <w:t>sharing</w:t>
      </w:r>
      <w:r>
        <w:rPr>
          <w:spacing w:val="13"/>
          <w:w w:val="105"/>
        </w:rPr>
        <w:t> </w:t>
      </w:r>
      <w:r>
        <w:rPr>
          <w:w w:val="105"/>
        </w:rPr>
        <w:t>an</w:t>
      </w:r>
      <w:r>
        <w:rPr>
          <w:spacing w:val="13"/>
          <w:w w:val="105"/>
        </w:rPr>
        <w:t> </w:t>
      </w:r>
      <w:r>
        <w:rPr>
          <w:w w:val="105"/>
        </w:rPr>
        <w:t>address</w:t>
      </w:r>
      <w:r>
        <w:rPr>
          <w:spacing w:val="13"/>
          <w:w w:val="105"/>
        </w:rPr>
        <w:t> </w:t>
      </w:r>
      <w:r>
        <w:rPr>
          <w:w w:val="105"/>
        </w:rPr>
        <w:t>wishing</w:t>
      </w:r>
      <w:r>
        <w:rPr>
          <w:spacing w:val="13"/>
          <w:w w:val="105"/>
        </w:rPr>
        <w:t> </w:t>
      </w:r>
      <w:r>
        <w:rPr>
          <w:w w:val="105"/>
        </w:rPr>
        <w:t>to</w:t>
      </w:r>
      <w:r>
        <w:rPr>
          <w:spacing w:val="13"/>
          <w:w w:val="105"/>
        </w:rPr>
        <w:t> </w:t>
      </w:r>
      <w:r>
        <w:rPr>
          <w:w w:val="105"/>
        </w:rPr>
        <w:t>receive</w:t>
      </w:r>
      <w:r>
        <w:rPr>
          <w:spacing w:val="13"/>
          <w:w w:val="105"/>
        </w:rPr>
        <w:t> </w:t>
      </w:r>
      <w:r>
        <w:rPr>
          <w:w w:val="105"/>
        </w:rPr>
        <w:t>a</w:t>
      </w:r>
      <w:r>
        <w:rPr>
          <w:spacing w:val="13"/>
          <w:w w:val="105"/>
        </w:rPr>
        <w:t> </w:t>
      </w:r>
      <w:r>
        <w:rPr>
          <w:w w:val="105"/>
        </w:rPr>
        <w:t>single</w:t>
      </w:r>
      <w:r>
        <w:rPr>
          <w:spacing w:val="13"/>
          <w:w w:val="105"/>
        </w:rPr>
        <w:t> </w:t>
      </w:r>
      <w:r>
        <w:rPr>
          <w:w w:val="105"/>
        </w:rPr>
        <w:t>copy</w:t>
      </w:r>
      <w:r>
        <w:rPr>
          <w:spacing w:val="13"/>
          <w:w w:val="105"/>
        </w:rPr>
        <w:t> </w:t>
      </w:r>
      <w:r>
        <w:rPr>
          <w:w w:val="105"/>
        </w:rPr>
        <w:t>of</w:t>
      </w:r>
      <w:r>
        <w:rPr>
          <w:spacing w:val="13"/>
          <w:w w:val="105"/>
        </w:rPr>
        <w:t> </w:t>
      </w:r>
      <w:r>
        <w:rPr>
          <w:w w:val="105"/>
        </w:rPr>
        <w:t>our Annual</w:t>
      </w:r>
      <w:r>
        <w:rPr>
          <w:spacing w:val="13"/>
          <w:w w:val="105"/>
        </w:rPr>
        <w:t> </w:t>
      </w:r>
      <w:r>
        <w:rPr>
          <w:w w:val="105"/>
        </w:rPr>
        <w:t>Report or Proxy Statement in the future may contact us at </w:t>
      </w:r>
      <w:hyperlink r:id="rId27">
        <w:r>
          <w:rPr>
            <w:i/>
            <w:w w:val="105"/>
          </w:rPr>
          <w:t>investor.relations@vareximaging.com</w:t>
        </w:r>
      </w:hyperlink>
      <w:r>
        <w:rPr>
          <w:i/>
          <w:w w:val="105"/>
        </w:rPr>
        <w:t> </w:t>
      </w:r>
      <w:r>
        <w:rPr>
          <w:w w:val="105"/>
        </w:rPr>
        <w:t>or at:</w:t>
      </w:r>
    </w:p>
    <w:p>
      <w:pPr>
        <w:pStyle w:val="BodyText"/>
        <w:spacing w:line="247" w:lineRule="auto" w:before="140"/>
        <w:ind w:left="4514" w:right="4516" w:hanging="1"/>
        <w:jc w:val="center"/>
      </w:pPr>
      <w:r>
        <w:rPr>
          <w:w w:val="105"/>
        </w:rPr>
        <w:t>Varex Imaging Corporation Attention: Investor Relations 1678 South Pioneer Road</w:t>
      </w:r>
      <w:r>
        <w:rPr>
          <w:spacing w:val="40"/>
          <w:w w:val="105"/>
        </w:rPr>
        <w:t> </w:t>
      </w:r>
      <w:r>
        <w:rPr>
          <w:w w:val="105"/>
        </w:rPr>
        <w:t>Salt Lake City, Utah 84104 (801) 972-5000</w:t>
      </w:r>
    </w:p>
    <w:p>
      <w:pPr>
        <w:pStyle w:val="Heading2"/>
        <w:spacing w:line="259" w:lineRule="auto" w:before="151"/>
        <w:ind w:left="1772" w:right="1551" w:hanging="373"/>
      </w:pPr>
      <w:r>
        <w:rPr/>
        <w:t>Q:</w:t>
      </w:r>
      <w:r>
        <w:rPr>
          <w:spacing w:val="80"/>
          <w:w w:val="150"/>
        </w:rPr>
        <w:t> </w:t>
      </w:r>
      <w:r>
        <w:rPr/>
        <w:t>Can</w:t>
      </w:r>
      <w:r>
        <w:rPr>
          <w:spacing w:val="-8"/>
        </w:rPr>
        <w:t> </w:t>
      </w:r>
      <w:r>
        <w:rPr/>
        <w:t>I</w:t>
      </w:r>
      <w:r>
        <w:rPr>
          <w:spacing w:val="-8"/>
        </w:rPr>
        <w:t> </w:t>
      </w:r>
      <w:r>
        <w:rPr/>
        <w:t>receive</w:t>
      </w:r>
      <w:r>
        <w:rPr>
          <w:spacing w:val="-8"/>
        </w:rPr>
        <w:t> </w:t>
      </w:r>
      <w:r>
        <w:rPr/>
        <w:t>proxy</w:t>
      </w:r>
      <w:r>
        <w:rPr>
          <w:spacing w:val="-8"/>
        </w:rPr>
        <w:t> </w:t>
      </w:r>
      <w:r>
        <w:rPr/>
        <w:t>materials</w:t>
      </w:r>
      <w:r>
        <w:rPr>
          <w:spacing w:val="-8"/>
        </w:rPr>
        <w:t> </w:t>
      </w:r>
      <w:r>
        <w:rPr/>
        <w:t>for</w:t>
      </w:r>
      <w:r>
        <w:rPr>
          <w:spacing w:val="-12"/>
        </w:rPr>
        <w:t> </w:t>
      </w:r>
      <w:r>
        <w:rPr/>
        <w:t>future</w:t>
      </w:r>
      <w:r>
        <w:rPr>
          <w:spacing w:val="-8"/>
        </w:rPr>
        <w:t> </w:t>
      </w:r>
      <w:r>
        <w:rPr/>
        <w:t>annual</w:t>
      </w:r>
      <w:r>
        <w:rPr>
          <w:spacing w:val="-8"/>
        </w:rPr>
        <w:t> </w:t>
      </w:r>
      <w:r>
        <w:rPr/>
        <w:t>meetings</w:t>
      </w:r>
      <w:r>
        <w:rPr>
          <w:spacing w:val="-8"/>
        </w:rPr>
        <w:t> </w:t>
      </w:r>
      <w:r>
        <w:rPr/>
        <w:t>by</w:t>
      </w:r>
      <w:r>
        <w:rPr>
          <w:spacing w:val="-8"/>
        </w:rPr>
        <w:t> </w:t>
      </w:r>
      <w:r>
        <w:rPr/>
        <w:t>email</w:t>
      </w:r>
      <w:r>
        <w:rPr>
          <w:spacing w:val="-8"/>
        </w:rPr>
        <w:t> </w:t>
      </w:r>
      <w:r>
        <w:rPr/>
        <w:t>rather</w:t>
      </w:r>
      <w:r>
        <w:rPr>
          <w:spacing w:val="-12"/>
        </w:rPr>
        <w:t> </w:t>
      </w:r>
      <w:r>
        <w:rPr/>
        <w:t>than</w:t>
      </w:r>
      <w:r>
        <w:rPr>
          <w:spacing w:val="-8"/>
        </w:rPr>
        <w:t> </w:t>
      </w:r>
      <w:r>
        <w:rPr/>
        <w:t>receiving</w:t>
      </w:r>
      <w:r>
        <w:rPr>
          <w:spacing w:val="-8"/>
        </w:rPr>
        <w:t> </w:t>
      </w:r>
      <w:r>
        <w:rPr/>
        <w:t>a</w:t>
      </w:r>
      <w:r>
        <w:rPr>
          <w:spacing w:val="-8"/>
        </w:rPr>
        <w:t> </w:t>
      </w:r>
      <w:r>
        <w:rPr/>
        <w:t>paper</w:t>
      </w:r>
      <w:r>
        <w:rPr>
          <w:spacing w:val="-12"/>
        </w:rPr>
        <w:t> </w:t>
      </w:r>
      <w:r>
        <w:rPr/>
        <w:t>copy</w:t>
      </w:r>
      <w:r>
        <w:rPr>
          <w:spacing w:val="-8"/>
        </w:rPr>
        <w:t> </w:t>
      </w:r>
      <w:r>
        <w:rPr/>
        <w:t>of </w:t>
      </w:r>
      <w:r>
        <w:rPr>
          <w:w w:val="105"/>
        </w:rPr>
        <w:t>the</w:t>
      </w:r>
      <w:r>
        <w:rPr>
          <w:spacing w:val="-10"/>
          <w:w w:val="105"/>
        </w:rPr>
        <w:t> </w:t>
      </w:r>
      <w:r>
        <w:rPr>
          <w:w w:val="105"/>
        </w:rPr>
        <w:t>Notice?</w:t>
      </w:r>
    </w:p>
    <w:p>
      <w:pPr>
        <w:pStyle w:val="BodyText"/>
        <w:spacing w:line="259" w:lineRule="auto" w:before="140"/>
        <w:ind w:left="1772" w:right="1439" w:hanging="373"/>
      </w:pPr>
      <w:r>
        <w:rPr>
          <w:w w:val="105"/>
        </w:rPr>
        <w:t>A:</w:t>
      </w:r>
      <w:r>
        <w:rPr>
          <w:spacing w:val="80"/>
          <w:w w:val="150"/>
        </w:rPr>
        <w:t> </w:t>
      </w:r>
      <w:r>
        <w:rPr>
          <w:w w:val="105"/>
        </w:rPr>
        <w:t>Yes, and doing so will help us further reduce the cost and environmental impact of our stockholder</w:t>
      </w:r>
      <w:r>
        <w:rPr>
          <w:spacing w:val="40"/>
          <w:w w:val="105"/>
        </w:rPr>
        <w:t> </w:t>
      </w:r>
      <w:r>
        <w:rPr>
          <w:w w:val="105"/>
        </w:rPr>
        <w:t>meetings.</w:t>
      </w:r>
      <w:r>
        <w:rPr>
          <w:spacing w:val="20"/>
          <w:w w:val="105"/>
        </w:rPr>
        <w:t> </w:t>
      </w:r>
      <w:r>
        <w:rPr>
          <w:w w:val="105"/>
        </w:rPr>
        <w:t>If</w:t>
      </w:r>
      <w:r>
        <w:rPr>
          <w:spacing w:val="20"/>
          <w:w w:val="105"/>
        </w:rPr>
        <w:t> </w:t>
      </w:r>
      <w:r>
        <w:rPr>
          <w:w w:val="105"/>
        </w:rPr>
        <w:t>you</w:t>
      </w:r>
      <w:r>
        <w:rPr>
          <w:spacing w:val="20"/>
          <w:w w:val="105"/>
        </w:rPr>
        <w:t> </w:t>
      </w:r>
      <w:r>
        <w:rPr>
          <w:w w:val="105"/>
        </w:rPr>
        <w:t>are</w:t>
      </w:r>
      <w:r>
        <w:rPr>
          <w:spacing w:val="20"/>
          <w:w w:val="105"/>
        </w:rPr>
        <w:t> </w:t>
      </w:r>
      <w:r>
        <w:rPr>
          <w:w w:val="105"/>
        </w:rPr>
        <w:t>a</w:t>
      </w:r>
      <w:r>
        <w:rPr>
          <w:spacing w:val="20"/>
          <w:w w:val="105"/>
        </w:rPr>
        <w:t> </w:t>
      </w:r>
      <w:r>
        <w:rPr>
          <w:w w:val="105"/>
        </w:rPr>
        <w:t>holder</w:t>
      </w:r>
      <w:r>
        <w:rPr>
          <w:spacing w:val="20"/>
          <w:w w:val="105"/>
        </w:rPr>
        <w:t> </w:t>
      </w:r>
      <w:r>
        <w:rPr>
          <w:w w:val="105"/>
        </w:rPr>
        <w:t>of</w:t>
      </w:r>
      <w:r>
        <w:rPr>
          <w:spacing w:val="20"/>
          <w:w w:val="105"/>
        </w:rPr>
        <w:t> </w:t>
      </w:r>
      <w:r>
        <w:rPr>
          <w:w w:val="105"/>
        </w:rPr>
        <w:t>record,</w:t>
      </w:r>
      <w:r>
        <w:rPr>
          <w:spacing w:val="20"/>
          <w:w w:val="105"/>
        </w:rPr>
        <w:t> </w:t>
      </w:r>
      <w:r>
        <w:rPr>
          <w:w w:val="105"/>
        </w:rPr>
        <w:t>you</w:t>
      </w:r>
      <w:r>
        <w:rPr>
          <w:spacing w:val="20"/>
          <w:w w:val="105"/>
        </w:rPr>
        <w:t> </w:t>
      </w:r>
      <w:r>
        <w:rPr>
          <w:w w:val="105"/>
        </w:rPr>
        <w:t>may</w:t>
      </w:r>
      <w:r>
        <w:rPr>
          <w:spacing w:val="20"/>
          <w:w w:val="105"/>
        </w:rPr>
        <w:t> </w:t>
      </w:r>
      <w:r>
        <w:rPr>
          <w:w w:val="105"/>
        </w:rPr>
        <w:t>elect</w:t>
      </w:r>
      <w:r>
        <w:rPr>
          <w:spacing w:val="20"/>
          <w:w w:val="105"/>
        </w:rPr>
        <w:t> </w:t>
      </w:r>
      <w:r>
        <w:rPr>
          <w:w w:val="105"/>
        </w:rPr>
        <w:t>to</w:t>
      </w:r>
      <w:r>
        <w:rPr>
          <w:spacing w:val="20"/>
          <w:w w:val="105"/>
        </w:rPr>
        <w:t> </w:t>
      </w:r>
      <w:r>
        <w:rPr>
          <w:w w:val="105"/>
        </w:rPr>
        <w:t>receive</w:t>
      </w:r>
      <w:r>
        <w:rPr>
          <w:spacing w:val="20"/>
          <w:w w:val="105"/>
        </w:rPr>
        <w:t> </w:t>
      </w:r>
      <w:r>
        <w:rPr>
          <w:w w:val="105"/>
        </w:rPr>
        <w:t>the</w:t>
      </w:r>
      <w:r>
        <w:rPr>
          <w:spacing w:val="20"/>
          <w:w w:val="105"/>
        </w:rPr>
        <w:t> </w:t>
      </w:r>
      <w:r>
        <w:rPr>
          <w:w w:val="105"/>
        </w:rPr>
        <w:t>Notice</w:t>
      </w:r>
      <w:r>
        <w:rPr>
          <w:spacing w:val="20"/>
          <w:w w:val="105"/>
        </w:rPr>
        <w:t> </w:t>
      </w:r>
      <w:r>
        <w:rPr>
          <w:w w:val="105"/>
        </w:rPr>
        <w:t>or</w:t>
      </w:r>
      <w:r>
        <w:rPr>
          <w:spacing w:val="20"/>
          <w:w w:val="105"/>
        </w:rPr>
        <w:t> </w:t>
      </w:r>
      <w:r>
        <w:rPr>
          <w:w w:val="105"/>
        </w:rPr>
        <w:t>other</w:t>
      </w:r>
      <w:r>
        <w:rPr>
          <w:spacing w:val="20"/>
          <w:w w:val="105"/>
        </w:rPr>
        <w:t> </w:t>
      </w:r>
      <w:r>
        <w:rPr>
          <w:w w:val="105"/>
        </w:rPr>
        <w:t>future</w:t>
      </w:r>
      <w:r>
        <w:rPr>
          <w:spacing w:val="20"/>
          <w:w w:val="105"/>
        </w:rPr>
        <w:t> </w:t>
      </w:r>
      <w:r>
        <w:rPr>
          <w:w w:val="105"/>
        </w:rPr>
        <w:t>proxy materials</w:t>
      </w:r>
      <w:r>
        <w:rPr>
          <w:spacing w:val="14"/>
          <w:w w:val="105"/>
        </w:rPr>
        <w:t> </w:t>
      </w:r>
      <w:r>
        <w:rPr>
          <w:w w:val="105"/>
        </w:rPr>
        <w:t>by</w:t>
      </w:r>
      <w:r>
        <w:rPr>
          <w:spacing w:val="14"/>
          <w:w w:val="105"/>
        </w:rPr>
        <w:t> </w:t>
      </w:r>
      <w:r>
        <w:rPr>
          <w:w w:val="105"/>
        </w:rPr>
        <w:t>email</w:t>
      </w:r>
      <w:r>
        <w:rPr>
          <w:spacing w:val="14"/>
          <w:w w:val="105"/>
        </w:rPr>
        <w:t> </w:t>
      </w:r>
      <w:r>
        <w:rPr>
          <w:w w:val="105"/>
        </w:rPr>
        <w:t>by</w:t>
      </w:r>
      <w:r>
        <w:rPr>
          <w:spacing w:val="14"/>
          <w:w w:val="105"/>
        </w:rPr>
        <w:t> </w:t>
      </w:r>
      <w:r>
        <w:rPr>
          <w:w w:val="105"/>
        </w:rPr>
        <w:t>logging</w:t>
      </w:r>
      <w:r>
        <w:rPr>
          <w:spacing w:val="14"/>
          <w:w w:val="105"/>
        </w:rPr>
        <w:t> </w:t>
      </w:r>
      <w:r>
        <w:rPr>
          <w:w w:val="105"/>
        </w:rPr>
        <w:t>into</w:t>
      </w:r>
      <w:r>
        <w:rPr>
          <w:spacing w:val="14"/>
          <w:w w:val="105"/>
        </w:rPr>
        <w:t> </w:t>
      </w:r>
      <w:hyperlink r:id="rId28">
        <w:r>
          <w:rPr>
            <w:i/>
            <w:w w:val="105"/>
          </w:rPr>
          <w:t>www.proxyvote.com</w:t>
        </w:r>
      </w:hyperlink>
      <w:r>
        <w:rPr>
          <w:i/>
          <w:spacing w:val="14"/>
          <w:w w:val="105"/>
        </w:rPr>
        <w:t> </w:t>
      </w:r>
      <w:r>
        <w:rPr>
          <w:w w:val="105"/>
        </w:rPr>
        <w:t>and</w:t>
      </w:r>
      <w:r>
        <w:rPr>
          <w:spacing w:val="14"/>
          <w:w w:val="105"/>
        </w:rPr>
        <w:t> </w:t>
      </w:r>
      <w:r>
        <w:rPr>
          <w:w w:val="105"/>
        </w:rPr>
        <w:t>entering</w:t>
      </w:r>
      <w:r>
        <w:rPr>
          <w:spacing w:val="14"/>
          <w:w w:val="105"/>
        </w:rPr>
        <w:t> </w:t>
      </w:r>
      <w:r>
        <w:rPr>
          <w:w w:val="105"/>
        </w:rPr>
        <w:t>your</w:t>
      </w:r>
      <w:r>
        <w:rPr>
          <w:spacing w:val="14"/>
          <w:w w:val="105"/>
        </w:rPr>
        <w:t> </w:t>
      </w:r>
      <w:r>
        <w:rPr>
          <w:w w:val="105"/>
        </w:rPr>
        <w:t>email</w:t>
      </w:r>
      <w:r>
        <w:rPr>
          <w:spacing w:val="14"/>
          <w:w w:val="105"/>
        </w:rPr>
        <w:t> </w:t>
      </w:r>
      <w:r>
        <w:rPr>
          <w:w w:val="105"/>
        </w:rPr>
        <w:t>address</w:t>
      </w:r>
      <w:r>
        <w:rPr>
          <w:spacing w:val="14"/>
          <w:w w:val="105"/>
        </w:rPr>
        <w:t> </w:t>
      </w:r>
      <w:r>
        <w:rPr>
          <w:w w:val="105"/>
        </w:rPr>
        <w:t>before</w:t>
      </w:r>
      <w:r>
        <w:rPr>
          <w:spacing w:val="14"/>
          <w:w w:val="105"/>
        </w:rPr>
        <w:t> </w:t>
      </w:r>
      <w:r>
        <w:rPr>
          <w:w w:val="105"/>
        </w:rPr>
        <w:t>you</w:t>
      </w:r>
      <w:r>
        <w:rPr>
          <w:spacing w:val="14"/>
          <w:w w:val="105"/>
        </w:rPr>
        <w:t> </w:t>
      </w:r>
      <w:r>
        <w:rPr>
          <w:w w:val="105"/>
        </w:rPr>
        <w:t>vote if you are voting by Internet or any other time at </w:t>
      </w:r>
      <w:hyperlink r:id="rId29">
        <w:r>
          <w:rPr>
            <w:i/>
            <w:w w:val="105"/>
          </w:rPr>
          <w:t>www.computershare.com/investor</w:t>
        </w:r>
        <w:r>
          <w:rPr>
            <w:w w:val="105"/>
          </w:rPr>
          <w:t>.</w:t>
        </w:r>
      </w:hyperlink>
      <w:r>
        <w:rPr>
          <w:w w:val="105"/>
        </w:rPr>
        <w:t> If your shares are registered in street name, please check with your broker, bank, or other nominee about how to receive</w:t>
      </w:r>
      <w:r>
        <w:rPr>
          <w:spacing w:val="40"/>
          <w:w w:val="105"/>
        </w:rPr>
        <w:t> </w:t>
      </w:r>
      <w:r>
        <w:rPr>
          <w:w w:val="105"/>
        </w:rPr>
        <w:t>future proxy materials by email. If you choose to receive proxy materials by email, next year you will</w:t>
      </w:r>
      <w:r>
        <w:rPr>
          <w:spacing w:val="40"/>
          <w:w w:val="105"/>
        </w:rPr>
        <w:t> </w:t>
      </w:r>
      <w:r>
        <w:rPr>
          <w:w w:val="105"/>
        </w:rPr>
        <w:t>receive an email with instructions on how to view those materials and vote before the next annual</w:t>
      </w:r>
      <w:r>
        <w:rPr>
          <w:spacing w:val="80"/>
          <w:w w:val="105"/>
        </w:rPr>
        <w:t> </w:t>
      </w:r>
      <w:r>
        <w:rPr>
          <w:w w:val="105"/>
        </w:rPr>
        <w:t>meeting. Your choice to obtain documents by email will remain in effect until you notify us otherwise.</w:t>
      </w:r>
    </w:p>
    <w:p>
      <w:pPr>
        <w:pStyle w:val="Heading2"/>
        <w:spacing w:before="155"/>
      </w:pPr>
      <w:r>
        <w:rPr/>
        <w:t>Q:</w:t>
      </w:r>
      <w:r>
        <w:rPr>
          <w:spacing w:val="32"/>
        </w:rPr>
        <w:t>  </w:t>
      </w:r>
      <w:r>
        <w:rPr/>
        <w:t>What</w:t>
      </w:r>
      <w:r>
        <w:rPr>
          <w:spacing w:val="-8"/>
        </w:rPr>
        <w:t> </w:t>
      </w:r>
      <w:r>
        <w:rPr/>
        <w:t>is</w:t>
      </w:r>
      <w:r>
        <w:rPr>
          <w:spacing w:val="-9"/>
        </w:rPr>
        <w:t> </w:t>
      </w:r>
      <w:r>
        <w:rPr/>
        <w:t>the</w:t>
      </w:r>
      <w:r>
        <w:rPr>
          <w:spacing w:val="-8"/>
        </w:rPr>
        <w:t> </w:t>
      </w:r>
      <w:r>
        <w:rPr/>
        <w:t>difference</w:t>
      </w:r>
      <w:r>
        <w:rPr>
          <w:spacing w:val="-9"/>
        </w:rPr>
        <w:t> </w:t>
      </w:r>
      <w:r>
        <w:rPr/>
        <w:t>between</w:t>
      </w:r>
      <w:r>
        <w:rPr>
          <w:spacing w:val="-9"/>
        </w:rPr>
        <w:t> </w:t>
      </w:r>
      <w:r>
        <w:rPr/>
        <w:t>a</w:t>
      </w:r>
      <w:r>
        <w:rPr>
          <w:spacing w:val="-9"/>
        </w:rPr>
        <w:t> </w:t>
      </w:r>
      <w:r>
        <w:rPr/>
        <w:t>stockholder</w:t>
      </w:r>
      <w:r>
        <w:rPr>
          <w:spacing w:val="-11"/>
        </w:rPr>
        <w:t> </w:t>
      </w:r>
      <w:r>
        <w:rPr/>
        <w:t>of</w:t>
      </w:r>
      <w:r>
        <w:rPr>
          <w:spacing w:val="-9"/>
        </w:rPr>
        <w:t> </w:t>
      </w:r>
      <w:r>
        <w:rPr/>
        <w:t>record</w:t>
      </w:r>
      <w:r>
        <w:rPr>
          <w:spacing w:val="-9"/>
        </w:rPr>
        <w:t> </w:t>
      </w:r>
      <w:r>
        <w:rPr/>
        <w:t>and</w:t>
      </w:r>
      <w:r>
        <w:rPr>
          <w:spacing w:val="-9"/>
        </w:rPr>
        <w:t> </w:t>
      </w:r>
      <w:r>
        <w:rPr/>
        <w:t>a</w:t>
      </w:r>
      <w:r>
        <w:rPr>
          <w:spacing w:val="-8"/>
        </w:rPr>
        <w:t> </w:t>
      </w:r>
      <w:r>
        <w:rPr/>
        <w:t>“street</w:t>
      </w:r>
      <w:r>
        <w:rPr>
          <w:spacing w:val="-9"/>
        </w:rPr>
        <w:t> </w:t>
      </w:r>
      <w:r>
        <w:rPr/>
        <w:t>name”</w:t>
      </w:r>
      <w:r>
        <w:rPr>
          <w:spacing w:val="-9"/>
        </w:rPr>
        <w:t> </w:t>
      </w:r>
      <w:r>
        <w:rPr>
          <w:spacing w:val="-2"/>
        </w:rPr>
        <w:t>holder?</w:t>
      </w:r>
    </w:p>
    <w:p>
      <w:pPr>
        <w:pStyle w:val="BodyText"/>
        <w:spacing w:line="259" w:lineRule="auto" w:before="156"/>
        <w:ind w:left="1772" w:right="1551" w:hanging="373"/>
      </w:pPr>
      <w:r>
        <w:rPr>
          <w:w w:val="105"/>
        </w:rPr>
        <w:t>A:</w:t>
      </w:r>
      <w:r>
        <w:rPr>
          <w:spacing w:val="80"/>
          <w:w w:val="150"/>
        </w:rPr>
        <w:t> </w:t>
      </w:r>
      <w:r>
        <w:rPr>
          <w:w w:val="105"/>
        </w:rPr>
        <w:t>If your shares are registered directly in your name with Computershare Trust Company, N.A., our stock</w:t>
      </w:r>
      <w:r>
        <w:rPr>
          <w:spacing w:val="40"/>
          <w:w w:val="105"/>
        </w:rPr>
        <w:t> </w:t>
      </w:r>
      <w:r>
        <w:rPr>
          <w:w w:val="105"/>
        </w:rPr>
        <w:t>transfer agent, you are considered the stockholder of record for those shares.</w:t>
      </w:r>
    </w:p>
    <w:p>
      <w:pPr>
        <w:pStyle w:val="BodyText"/>
        <w:spacing w:line="247" w:lineRule="auto" w:before="154"/>
        <w:ind w:left="1772" w:right="1551"/>
      </w:pPr>
      <w:r>
        <w:rPr>
          <w:w w:val="105"/>
        </w:rPr>
        <w:t>If your shares are held in a stock brokerage account or by a bank or other nominee, you are considered</w:t>
      </w:r>
      <w:r>
        <w:rPr>
          <w:spacing w:val="40"/>
          <w:w w:val="105"/>
        </w:rPr>
        <w:t> </w:t>
      </w:r>
      <w:r>
        <w:rPr>
          <w:w w:val="105"/>
        </w:rPr>
        <w:t>the beneficial owner of the shares and your shares are said to be held in “street name.” Street name</w:t>
      </w:r>
      <w:r>
        <w:rPr>
          <w:spacing w:val="40"/>
          <w:w w:val="105"/>
        </w:rPr>
        <w:t> </w:t>
      </w:r>
      <w:r>
        <w:rPr>
          <w:w w:val="105"/>
        </w:rPr>
        <w:t>holders generally cannot vote their shares directly and must instead instruct the broker, bank or other</w:t>
      </w:r>
      <w:r>
        <w:rPr>
          <w:spacing w:val="40"/>
          <w:w w:val="105"/>
        </w:rPr>
        <w:t> </w:t>
      </w:r>
      <w:r>
        <w:rPr>
          <w:w w:val="105"/>
        </w:rPr>
        <w:t>nominee</w:t>
      </w:r>
      <w:r>
        <w:rPr>
          <w:spacing w:val="19"/>
          <w:w w:val="105"/>
        </w:rPr>
        <w:t> </w:t>
      </w:r>
      <w:r>
        <w:rPr>
          <w:w w:val="105"/>
        </w:rPr>
        <w:t>how</w:t>
      </w:r>
      <w:r>
        <w:rPr>
          <w:spacing w:val="19"/>
          <w:w w:val="105"/>
        </w:rPr>
        <w:t> </w:t>
      </w:r>
      <w:r>
        <w:rPr>
          <w:w w:val="105"/>
        </w:rPr>
        <w:t>to</w:t>
      </w:r>
      <w:r>
        <w:rPr>
          <w:spacing w:val="19"/>
          <w:w w:val="105"/>
        </w:rPr>
        <w:t> </w:t>
      </w:r>
      <w:r>
        <w:rPr>
          <w:w w:val="105"/>
        </w:rPr>
        <w:t>vote</w:t>
      </w:r>
      <w:r>
        <w:rPr>
          <w:spacing w:val="19"/>
          <w:w w:val="105"/>
        </w:rPr>
        <w:t> </w:t>
      </w:r>
      <w:r>
        <w:rPr>
          <w:w w:val="105"/>
        </w:rPr>
        <w:t>their</w:t>
      </w:r>
      <w:r>
        <w:rPr>
          <w:spacing w:val="19"/>
          <w:w w:val="105"/>
        </w:rPr>
        <w:t> </w:t>
      </w:r>
      <w:r>
        <w:rPr>
          <w:w w:val="105"/>
        </w:rPr>
        <w:t>shares</w:t>
      </w:r>
      <w:r>
        <w:rPr>
          <w:spacing w:val="19"/>
          <w:w w:val="105"/>
        </w:rPr>
        <w:t> </w:t>
      </w:r>
      <w:r>
        <w:rPr>
          <w:w w:val="105"/>
        </w:rPr>
        <w:t>using</w:t>
      </w:r>
      <w:r>
        <w:rPr>
          <w:spacing w:val="19"/>
          <w:w w:val="105"/>
        </w:rPr>
        <w:t> </w:t>
      </w:r>
      <w:r>
        <w:rPr>
          <w:w w:val="105"/>
        </w:rPr>
        <w:t>the</w:t>
      </w:r>
      <w:r>
        <w:rPr>
          <w:spacing w:val="19"/>
          <w:w w:val="105"/>
        </w:rPr>
        <w:t> </w:t>
      </w:r>
      <w:r>
        <w:rPr>
          <w:w w:val="105"/>
        </w:rPr>
        <w:t>method</w:t>
      </w:r>
      <w:r>
        <w:rPr>
          <w:spacing w:val="19"/>
          <w:w w:val="105"/>
        </w:rPr>
        <w:t> </w:t>
      </w:r>
      <w:r>
        <w:rPr>
          <w:w w:val="105"/>
        </w:rPr>
        <w:t>described</w:t>
      </w:r>
      <w:r>
        <w:rPr>
          <w:spacing w:val="19"/>
          <w:w w:val="105"/>
        </w:rPr>
        <w:t> </w:t>
      </w:r>
      <w:r>
        <w:rPr>
          <w:w w:val="105"/>
        </w:rPr>
        <w:t>under</w:t>
      </w:r>
      <w:r>
        <w:rPr>
          <w:spacing w:val="19"/>
          <w:w w:val="105"/>
        </w:rPr>
        <w:t> </w:t>
      </w:r>
      <w:r>
        <w:rPr>
          <w:w w:val="105"/>
        </w:rPr>
        <w:t>“How</w:t>
      </w:r>
      <w:r>
        <w:rPr>
          <w:spacing w:val="19"/>
          <w:w w:val="105"/>
        </w:rPr>
        <w:t> </w:t>
      </w:r>
      <w:r>
        <w:rPr>
          <w:w w:val="105"/>
        </w:rPr>
        <w:t>do</w:t>
      </w:r>
      <w:r>
        <w:rPr>
          <w:spacing w:val="19"/>
          <w:w w:val="105"/>
        </w:rPr>
        <w:t> </w:t>
      </w:r>
      <w:r>
        <w:rPr>
          <w:w w:val="105"/>
        </w:rPr>
        <w:t>I</w:t>
      </w:r>
      <w:r>
        <w:rPr>
          <w:spacing w:val="19"/>
          <w:w w:val="105"/>
        </w:rPr>
        <w:t> </w:t>
      </w:r>
      <w:r>
        <w:rPr>
          <w:w w:val="105"/>
        </w:rPr>
        <w:t>vote</w:t>
      </w:r>
      <w:r>
        <w:rPr>
          <w:spacing w:val="19"/>
          <w:w w:val="105"/>
        </w:rPr>
        <w:t> </w:t>
      </w:r>
      <w:r>
        <w:rPr>
          <w:w w:val="105"/>
        </w:rPr>
        <w:t>and</w:t>
      </w:r>
      <w:r>
        <w:rPr>
          <w:spacing w:val="19"/>
          <w:w w:val="105"/>
        </w:rPr>
        <w:t> </w:t>
      </w:r>
      <w:r>
        <w:rPr>
          <w:w w:val="105"/>
        </w:rPr>
        <w:t>how</w:t>
      </w:r>
      <w:r>
        <w:rPr>
          <w:spacing w:val="19"/>
          <w:w w:val="105"/>
        </w:rPr>
        <w:t> </w:t>
      </w:r>
      <w:r>
        <w:rPr>
          <w:w w:val="105"/>
        </w:rPr>
        <w:t>do</w:t>
      </w:r>
      <w:r>
        <w:rPr>
          <w:spacing w:val="19"/>
          <w:w w:val="105"/>
        </w:rPr>
        <w:t> </w:t>
      </w:r>
      <w:r>
        <w:rPr>
          <w:w w:val="105"/>
        </w:rPr>
        <w:t>I revoke my proxy?” below.</w:t>
      </w:r>
    </w:p>
    <w:p>
      <w:pPr>
        <w:pStyle w:val="Heading2"/>
        <w:spacing w:before="151"/>
      </w:pPr>
      <w:r>
        <w:rPr>
          <w:spacing w:val="-2"/>
          <w:w w:val="105"/>
        </w:rPr>
        <w:t>Q:</w:t>
      </w:r>
      <w:r>
        <w:rPr>
          <w:spacing w:val="63"/>
          <w:w w:val="105"/>
        </w:rPr>
        <w:t> </w:t>
      </w:r>
      <w:r>
        <w:rPr>
          <w:spacing w:val="-2"/>
          <w:w w:val="105"/>
        </w:rPr>
        <w:t>How</w:t>
      </w:r>
      <w:r>
        <w:rPr>
          <w:spacing w:val="-9"/>
          <w:w w:val="105"/>
        </w:rPr>
        <w:t> </w:t>
      </w:r>
      <w:r>
        <w:rPr>
          <w:spacing w:val="-2"/>
          <w:w w:val="105"/>
        </w:rPr>
        <w:t>do</w:t>
      </w:r>
      <w:r>
        <w:rPr>
          <w:spacing w:val="-10"/>
          <w:w w:val="105"/>
        </w:rPr>
        <w:t> </w:t>
      </w:r>
      <w:r>
        <w:rPr>
          <w:spacing w:val="-2"/>
          <w:w w:val="105"/>
        </w:rPr>
        <w:t>I</w:t>
      </w:r>
      <w:r>
        <w:rPr>
          <w:spacing w:val="-10"/>
          <w:w w:val="105"/>
        </w:rPr>
        <w:t> </w:t>
      </w:r>
      <w:r>
        <w:rPr>
          <w:spacing w:val="-2"/>
          <w:w w:val="105"/>
        </w:rPr>
        <w:t>vote</w:t>
      </w:r>
      <w:r>
        <w:rPr>
          <w:spacing w:val="-10"/>
          <w:w w:val="105"/>
        </w:rPr>
        <w:t> </w:t>
      </w:r>
      <w:r>
        <w:rPr>
          <w:spacing w:val="-2"/>
          <w:w w:val="105"/>
        </w:rPr>
        <w:t>and</w:t>
      </w:r>
      <w:r>
        <w:rPr>
          <w:spacing w:val="-10"/>
          <w:w w:val="105"/>
        </w:rPr>
        <w:t> </w:t>
      </w:r>
      <w:r>
        <w:rPr>
          <w:spacing w:val="-2"/>
          <w:w w:val="105"/>
        </w:rPr>
        <w:t>how</w:t>
      </w:r>
      <w:r>
        <w:rPr>
          <w:spacing w:val="-9"/>
          <w:w w:val="105"/>
        </w:rPr>
        <w:t> </w:t>
      </w:r>
      <w:r>
        <w:rPr>
          <w:spacing w:val="-2"/>
          <w:w w:val="105"/>
        </w:rPr>
        <w:t>do</w:t>
      </w:r>
      <w:r>
        <w:rPr>
          <w:spacing w:val="-10"/>
          <w:w w:val="105"/>
        </w:rPr>
        <w:t> </w:t>
      </w:r>
      <w:r>
        <w:rPr>
          <w:spacing w:val="-2"/>
          <w:w w:val="105"/>
        </w:rPr>
        <w:t>I</w:t>
      </w:r>
      <w:r>
        <w:rPr>
          <w:spacing w:val="-10"/>
          <w:w w:val="105"/>
        </w:rPr>
        <w:t> </w:t>
      </w:r>
      <w:r>
        <w:rPr>
          <w:spacing w:val="-2"/>
          <w:w w:val="105"/>
        </w:rPr>
        <w:t>revoke</w:t>
      </w:r>
      <w:r>
        <w:rPr>
          <w:spacing w:val="-10"/>
          <w:w w:val="105"/>
        </w:rPr>
        <w:t> </w:t>
      </w:r>
      <w:r>
        <w:rPr>
          <w:spacing w:val="-2"/>
          <w:w w:val="105"/>
        </w:rPr>
        <w:t>my</w:t>
      </w:r>
      <w:r>
        <w:rPr>
          <w:spacing w:val="-10"/>
          <w:w w:val="105"/>
        </w:rPr>
        <w:t> </w:t>
      </w:r>
      <w:r>
        <w:rPr>
          <w:spacing w:val="-2"/>
          <w:w w:val="105"/>
        </w:rPr>
        <w:t>proxy?</w:t>
      </w:r>
    </w:p>
    <w:p>
      <w:pPr>
        <w:pStyle w:val="BodyText"/>
        <w:spacing w:line="259" w:lineRule="auto" w:before="170"/>
        <w:ind w:left="1772" w:right="1680" w:hanging="373"/>
      </w:pPr>
      <w:r>
        <w:rPr>
          <w:w w:val="105"/>
        </w:rPr>
        <w:t>A:</w:t>
      </w:r>
      <w:r>
        <w:rPr>
          <w:spacing w:val="40"/>
          <w:w w:val="105"/>
        </w:rPr>
        <w:t>  </w:t>
      </w:r>
      <w:r>
        <w:rPr>
          <w:w w:val="105"/>
        </w:rPr>
        <w:t>If you hold your shares in your own name as a stockholder of record, you may vote your shares either</w:t>
      </w:r>
      <w:r>
        <w:rPr>
          <w:spacing w:val="40"/>
          <w:w w:val="105"/>
        </w:rPr>
        <w:t> </w:t>
      </w:r>
      <w:r>
        <w:rPr>
          <w:w w:val="105"/>
        </w:rPr>
        <w:t>online at the virtual meeting or by proxy. To vote at the meeting, please visit </w:t>
      </w:r>
      <w:hyperlink r:id="rId9">
        <w:r>
          <w:rPr>
            <w:i/>
            <w:w w:val="105"/>
          </w:rPr>
          <w:t>www.virtualshareholdermeeting.com/VREX2023</w:t>
        </w:r>
      </w:hyperlink>
      <w:r>
        <w:rPr>
          <w:i/>
          <w:w w:val="105"/>
        </w:rPr>
        <w:t> </w:t>
      </w:r>
      <w:r>
        <w:rPr>
          <w:w w:val="105"/>
        </w:rPr>
        <w:t>and vote when indicated. To vote by proxy, please</w:t>
      </w:r>
      <w:r>
        <w:rPr>
          <w:spacing w:val="80"/>
          <w:w w:val="105"/>
        </w:rPr>
        <w:t> </w:t>
      </w:r>
      <w:r>
        <w:rPr>
          <w:w w:val="105"/>
        </w:rPr>
        <w:t>vote in one of the following ways:</w:t>
      </w:r>
    </w:p>
    <w:p>
      <w:pPr>
        <w:pStyle w:val="ListParagraph"/>
        <w:numPr>
          <w:ilvl w:val="0"/>
          <w:numId w:val="5"/>
        </w:numPr>
        <w:tabs>
          <w:tab w:pos="2145" w:val="left" w:leader="none"/>
          <w:tab w:pos="2146" w:val="left" w:leader="none"/>
        </w:tabs>
        <w:spacing w:line="259" w:lineRule="auto" w:before="140" w:after="0"/>
        <w:ind w:left="2145" w:right="1921" w:hanging="373"/>
        <w:jc w:val="left"/>
        <w:rPr>
          <w:sz w:val="18"/>
        </w:rPr>
      </w:pPr>
      <w:r>
        <w:rPr>
          <w:i/>
          <w:w w:val="105"/>
          <w:sz w:val="18"/>
        </w:rPr>
        <w:t>Via the Internet</w:t>
      </w:r>
      <w:r>
        <w:rPr>
          <w:w w:val="105"/>
          <w:sz w:val="18"/>
        </w:rPr>
        <w:t>.</w:t>
      </w:r>
      <w:r>
        <w:rPr>
          <w:spacing w:val="80"/>
          <w:w w:val="105"/>
          <w:sz w:val="18"/>
        </w:rPr>
        <w:t> </w:t>
      </w:r>
      <w:r>
        <w:rPr>
          <w:w w:val="105"/>
          <w:sz w:val="18"/>
        </w:rPr>
        <w:t>You may vote through the Internet at </w:t>
      </w:r>
      <w:hyperlink r:id="rId28">
        <w:r>
          <w:rPr>
            <w:i/>
            <w:w w:val="105"/>
            <w:sz w:val="18"/>
          </w:rPr>
          <w:t>www.proxyvote.com</w:t>
        </w:r>
      </w:hyperlink>
      <w:r>
        <w:rPr>
          <w:i/>
          <w:w w:val="105"/>
          <w:sz w:val="18"/>
        </w:rPr>
        <w:t> </w:t>
      </w:r>
      <w:r>
        <w:rPr>
          <w:w w:val="105"/>
          <w:sz w:val="18"/>
        </w:rPr>
        <w:t>by following the instructions provided in the Notice.</w:t>
      </w:r>
    </w:p>
    <w:p>
      <w:pPr>
        <w:pStyle w:val="ListParagraph"/>
        <w:numPr>
          <w:ilvl w:val="0"/>
          <w:numId w:val="5"/>
        </w:numPr>
        <w:tabs>
          <w:tab w:pos="2145" w:val="left" w:leader="none"/>
          <w:tab w:pos="2146" w:val="left" w:leader="none"/>
        </w:tabs>
        <w:spacing w:line="259" w:lineRule="auto" w:before="154" w:after="0"/>
        <w:ind w:left="2145" w:right="1717" w:hanging="373"/>
        <w:jc w:val="left"/>
        <w:rPr>
          <w:sz w:val="18"/>
        </w:rPr>
      </w:pPr>
      <w:r>
        <w:rPr>
          <w:i/>
          <w:w w:val="105"/>
          <w:sz w:val="18"/>
        </w:rPr>
        <w:t>Via Telephone</w:t>
      </w:r>
      <w:r>
        <w:rPr>
          <w:w w:val="105"/>
          <w:sz w:val="18"/>
        </w:rPr>
        <w:t>.</w:t>
      </w:r>
      <w:r>
        <w:rPr>
          <w:spacing w:val="80"/>
          <w:w w:val="105"/>
          <w:sz w:val="18"/>
        </w:rPr>
        <w:t> </w:t>
      </w:r>
      <w:r>
        <w:rPr>
          <w:w w:val="105"/>
          <w:sz w:val="18"/>
        </w:rPr>
        <w:t>If you received your proxy materials or request printed copies by mail, stockholders located in the United States may vote by calling the toll-free number found on the proxy card.</w:t>
      </w:r>
    </w:p>
    <w:p>
      <w:pPr>
        <w:pStyle w:val="ListParagraph"/>
        <w:numPr>
          <w:ilvl w:val="0"/>
          <w:numId w:val="5"/>
        </w:numPr>
        <w:tabs>
          <w:tab w:pos="2145" w:val="left" w:leader="none"/>
          <w:tab w:pos="2146" w:val="left" w:leader="none"/>
        </w:tabs>
        <w:spacing w:line="259" w:lineRule="auto" w:before="155" w:after="0"/>
        <w:ind w:left="2145" w:right="1639" w:hanging="373"/>
        <w:jc w:val="left"/>
        <w:rPr>
          <w:sz w:val="18"/>
        </w:rPr>
      </w:pPr>
      <w:r>
        <w:rPr>
          <w:i/>
          <w:w w:val="105"/>
          <w:sz w:val="18"/>
        </w:rPr>
        <w:t>Via Mail</w:t>
      </w:r>
      <w:r>
        <w:rPr>
          <w:w w:val="105"/>
          <w:sz w:val="18"/>
        </w:rPr>
        <w:t>.</w:t>
      </w:r>
      <w:r>
        <w:rPr>
          <w:spacing w:val="80"/>
          <w:w w:val="150"/>
          <w:sz w:val="18"/>
        </w:rPr>
        <w:t> </w:t>
      </w:r>
      <w:r>
        <w:rPr>
          <w:w w:val="105"/>
          <w:sz w:val="18"/>
        </w:rPr>
        <w:t>If you received your proxy materials or request printed copies by mail, you may vote</w:t>
      </w:r>
      <w:r>
        <w:rPr>
          <w:spacing w:val="40"/>
          <w:w w:val="105"/>
          <w:sz w:val="18"/>
        </w:rPr>
        <w:t> </w:t>
      </w:r>
      <w:r>
        <w:rPr>
          <w:w w:val="105"/>
          <w:sz w:val="18"/>
        </w:rPr>
        <w:t>by mail by marking, dating, signing, and mailing the proxy card in the envelope provided.</w:t>
      </w:r>
    </w:p>
    <w:p>
      <w:pPr>
        <w:pStyle w:val="BodyText"/>
        <w:spacing w:line="259" w:lineRule="auto" w:before="140"/>
        <w:ind w:left="1772" w:right="1415"/>
      </w:pPr>
      <w:r>
        <w:rPr>
          <w:w w:val="105"/>
        </w:rPr>
        <w:t>Voting</w:t>
      </w:r>
      <w:r>
        <w:rPr>
          <w:spacing w:val="19"/>
          <w:w w:val="105"/>
        </w:rPr>
        <w:t> </w:t>
      </w:r>
      <w:r>
        <w:rPr>
          <w:w w:val="105"/>
        </w:rPr>
        <w:t>by</w:t>
      </w:r>
      <w:r>
        <w:rPr>
          <w:spacing w:val="19"/>
          <w:w w:val="105"/>
        </w:rPr>
        <w:t> </w:t>
      </w:r>
      <w:r>
        <w:rPr>
          <w:w w:val="105"/>
        </w:rPr>
        <w:t>proxy</w:t>
      </w:r>
      <w:r>
        <w:rPr>
          <w:spacing w:val="19"/>
          <w:w w:val="105"/>
        </w:rPr>
        <w:t> </w:t>
      </w:r>
      <w:r>
        <w:rPr>
          <w:w w:val="105"/>
        </w:rPr>
        <w:t>will</w:t>
      </w:r>
      <w:r>
        <w:rPr>
          <w:spacing w:val="19"/>
          <w:w w:val="105"/>
        </w:rPr>
        <w:t> </w:t>
      </w:r>
      <w:r>
        <w:rPr>
          <w:w w:val="105"/>
        </w:rPr>
        <w:t>not</w:t>
      </w:r>
      <w:r>
        <w:rPr>
          <w:spacing w:val="19"/>
          <w:w w:val="105"/>
        </w:rPr>
        <w:t> </w:t>
      </w:r>
      <w:r>
        <w:rPr>
          <w:w w:val="105"/>
        </w:rPr>
        <w:t>affect</w:t>
      </w:r>
      <w:r>
        <w:rPr>
          <w:spacing w:val="19"/>
          <w:w w:val="105"/>
        </w:rPr>
        <w:t> </w:t>
      </w:r>
      <w:r>
        <w:rPr>
          <w:w w:val="105"/>
        </w:rPr>
        <w:t>your</w:t>
      </w:r>
      <w:r>
        <w:rPr>
          <w:spacing w:val="19"/>
          <w:w w:val="105"/>
        </w:rPr>
        <w:t> </w:t>
      </w:r>
      <w:r>
        <w:rPr>
          <w:w w:val="105"/>
        </w:rPr>
        <w:t>right</w:t>
      </w:r>
      <w:r>
        <w:rPr>
          <w:spacing w:val="19"/>
          <w:w w:val="105"/>
        </w:rPr>
        <w:t> </w:t>
      </w:r>
      <w:r>
        <w:rPr>
          <w:w w:val="105"/>
        </w:rPr>
        <w:t>to</w:t>
      </w:r>
      <w:r>
        <w:rPr>
          <w:spacing w:val="19"/>
          <w:w w:val="105"/>
        </w:rPr>
        <w:t> </w:t>
      </w:r>
      <w:r>
        <w:rPr>
          <w:w w:val="105"/>
        </w:rPr>
        <w:t>vote</w:t>
      </w:r>
      <w:r>
        <w:rPr>
          <w:spacing w:val="19"/>
          <w:w w:val="105"/>
        </w:rPr>
        <w:t> </w:t>
      </w:r>
      <w:r>
        <w:rPr>
          <w:w w:val="105"/>
        </w:rPr>
        <w:t>your</w:t>
      </w:r>
      <w:r>
        <w:rPr>
          <w:spacing w:val="19"/>
          <w:w w:val="105"/>
        </w:rPr>
        <w:t> </w:t>
      </w:r>
      <w:r>
        <w:rPr>
          <w:w w:val="105"/>
        </w:rPr>
        <w:t>shares</w:t>
      </w:r>
      <w:r>
        <w:rPr>
          <w:spacing w:val="19"/>
          <w:w w:val="105"/>
        </w:rPr>
        <w:t> </w:t>
      </w:r>
      <w:r>
        <w:rPr>
          <w:w w:val="105"/>
        </w:rPr>
        <w:t>if</w:t>
      </w:r>
      <w:r>
        <w:rPr>
          <w:spacing w:val="19"/>
          <w:w w:val="105"/>
        </w:rPr>
        <w:t> </w:t>
      </w:r>
      <w:r>
        <w:rPr>
          <w:w w:val="105"/>
        </w:rPr>
        <w:t>you</w:t>
      </w:r>
      <w:r>
        <w:rPr>
          <w:spacing w:val="19"/>
          <w:w w:val="105"/>
        </w:rPr>
        <w:t> </w:t>
      </w:r>
      <w:r>
        <w:rPr>
          <w:w w:val="105"/>
        </w:rPr>
        <w:t>attend</w:t>
      </w:r>
      <w:r>
        <w:rPr>
          <w:spacing w:val="19"/>
          <w:w w:val="105"/>
        </w:rPr>
        <w:t> </w:t>
      </w:r>
      <w:r>
        <w:rPr>
          <w:w w:val="105"/>
        </w:rPr>
        <w:t>the Annual</w:t>
      </w:r>
      <w:r>
        <w:rPr>
          <w:spacing w:val="19"/>
          <w:w w:val="105"/>
        </w:rPr>
        <w:t> </w:t>
      </w:r>
      <w:r>
        <w:rPr>
          <w:w w:val="105"/>
        </w:rPr>
        <w:t>Meeting</w:t>
      </w:r>
      <w:r>
        <w:rPr>
          <w:spacing w:val="19"/>
          <w:w w:val="105"/>
        </w:rPr>
        <w:t> </w:t>
      </w:r>
      <w:r>
        <w:rPr>
          <w:w w:val="105"/>
        </w:rPr>
        <w:t>and</w:t>
      </w:r>
      <w:r>
        <w:rPr>
          <w:w w:val="105"/>
        </w:rPr>
        <w:t> want to vote — by voting online at the virtual meeting, you automatically revoke your proxy. You also</w:t>
      </w:r>
      <w:r>
        <w:rPr>
          <w:spacing w:val="40"/>
          <w:w w:val="105"/>
        </w:rPr>
        <w:t> </w:t>
      </w:r>
      <w:r>
        <w:rPr>
          <w:w w:val="105"/>
        </w:rPr>
        <w:t>may revoke your proxy at any time before the applicable voting deadline (11:59 p.m. Eastern Time on February 8, 2023) by giving our Secretary written notice of your revocation, by submitting a later-dated</w:t>
      </w:r>
      <w:r>
        <w:rPr>
          <w:spacing w:val="40"/>
          <w:w w:val="105"/>
        </w:rPr>
        <w:t> </w:t>
      </w:r>
      <w:r>
        <w:rPr>
          <w:w w:val="105"/>
        </w:rPr>
        <w:t>proxy</w:t>
      </w:r>
      <w:r>
        <w:rPr>
          <w:spacing w:val="17"/>
          <w:w w:val="105"/>
        </w:rPr>
        <w:t> </w:t>
      </w:r>
      <w:r>
        <w:rPr>
          <w:w w:val="105"/>
        </w:rPr>
        <w:t>card</w:t>
      </w:r>
      <w:r>
        <w:rPr>
          <w:spacing w:val="17"/>
          <w:w w:val="105"/>
        </w:rPr>
        <w:t> </w:t>
      </w:r>
      <w:r>
        <w:rPr>
          <w:w w:val="105"/>
        </w:rPr>
        <w:t>or</w:t>
      </w:r>
      <w:r>
        <w:rPr>
          <w:spacing w:val="17"/>
          <w:w w:val="105"/>
        </w:rPr>
        <w:t> </w:t>
      </w:r>
      <w:r>
        <w:rPr>
          <w:w w:val="105"/>
        </w:rPr>
        <w:t>by</w:t>
      </w:r>
      <w:r>
        <w:rPr>
          <w:spacing w:val="17"/>
          <w:w w:val="105"/>
        </w:rPr>
        <w:t> </w:t>
      </w:r>
      <w:r>
        <w:rPr>
          <w:w w:val="105"/>
        </w:rPr>
        <w:t>voting</w:t>
      </w:r>
      <w:r>
        <w:rPr>
          <w:spacing w:val="17"/>
          <w:w w:val="105"/>
        </w:rPr>
        <w:t> </w:t>
      </w:r>
      <w:r>
        <w:rPr>
          <w:w w:val="105"/>
        </w:rPr>
        <w:t>again</w:t>
      </w:r>
      <w:r>
        <w:rPr>
          <w:spacing w:val="17"/>
          <w:w w:val="105"/>
        </w:rPr>
        <w:t> </w:t>
      </w:r>
      <w:r>
        <w:rPr>
          <w:w w:val="105"/>
        </w:rPr>
        <w:t>using</w:t>
      </w:r>
      <w:r>
        <w:rPr>
          <w:spacing w:val="17"/>
          <w:w w:val="105"/>
        </w:rPr>
        <w:t> </w:t>
      </w:r>
      <w:r>
        <w:rPr>
          <w:w w:val="105"/>
        </w:rPr>
        <w:t>the</w:t>
      </w:r>
      <w:r>
        <w:rPr>
          <w:spacing w:val="17"/>
          <w:w w:val="105"/>
        </w:rPr>
        <w:t> </w:t>
      </w:r>
      <w:r>
        <w:rPr>
          <w:w w:val="105"/>
        </w:rPr>
        <w:t>telephone</w:t>
      </w:r>
      <w:r>
        <w:rPr>
          <w:spacing w:val="17"/>
          <w:w w:val="105"/>
        </w:rPr>
        <w:t> </w:t>
      </w:r>
      <w:r>
        <w:rPr>
          <w:w w:val="105"/>
        </w:rPr>
        <w:t>or</w:t>
      </w:r>
      <w:r>
        <w:rPr>
          <w:spacing w:val="17"/>
          <w:w w:val="105"/>
        </w:rPr>
        <w:t> </w:t>
      </w:r>
      <w:r>
        <w:rPr>
          <w:w w:val="105"/>
        </w:rPr>
        <w:t>Internet</w:t>
      </w:r>
      <w:r>
        <w:rPr>
          <w:spacing w:val="17"/>
          <w:w w:val="105"/>
        </w:rPr>
        <w:t> </w:t>
      </w:r>
      <w:r>
        <w:rPr>
          <w:w w:val="105"/>
        </w:rPr>
        <w:t>(your</w:t>
      </w:r>
      <w:r>
        <w:rPr>
          <w:spacing w:val="17"/>
          <w:w w:val="105"/>
        </w:rPr>
        <w:t> </w:t>
      </w:r>
      <w:r>
        <w:rPr>
          <w:w w:val="105"/>
        </w:rPr>
        <w:t>latest</w:t>
      </w:r>
      <w:r>
        <w:rPr>
          <w:spacing w:val="17"/>
          <w:w w:val="105"/>
        </w:rPr>
        <w:t> </w:t>
      </w:r>
      <w:r>
        <w:rPr>
          <w:w w:val="105"/>
        </w:rPr>
        <w:t>telephone</w:t>
      </w:r>
      <w:r>
        <w:rPr>
          <w:spacing w:val="17"/>
          <w:w w:val="105"/>
        </w:rPr>
        <w:t> </w:t>
      </w:r>
      <w:r>
        <w:rPr>
          <w:w w:val="105"/>
        </w:rPr>
        <w:t>or</w:t>
      </w:r>
      <w:r>
        <w:rPr>
          <w:spacing w:val="17"/>
          <w:w w:val="105"/>
        </w:rPr>
        <w:t> </w:t>
      </w:r>
      <w:r>
        <w:rPr>
          <w:w w:val="105"/>
        </w:rPr>
        <w:t>Internet</w:t>
      </w:r>
      <w:r>
        <w:rPr>
          <w:spacing w:val="17"/>
          <w:w w:val="105"/>
        </w:rPr>
        <w:t> </w:t>
      </w:r>
      <w:r>
        <w:rPr>
          <w:w w:val="105"/>
        </w:rPr>
        <w:t>proxy</w:t>
      </w:r>
      <w:r>
        <w:rPr>
          <w:spacing w:val="17"/>
          <w:w w:val="105"/>
        </w:rPr>
        <w:t> </w:t>
      </w:r>
      <w:r>
        <w:rPr>
          <w:w w:val="105"/>
        </w:rPr>
        <w:t>is the one that will be counted).</w:t>
      </w:r>
    </w:p>
    <w:p>
      <w:pPr>
        <w:pStyle w:val="BodyText"/>
        <w:spacing w:line="259" w:lineRule="auto" w:before="154"/>
        <w:ind w:left="1772" w:right="1423"/>
      </w:pPr>
      <w:r>
        <w:rPr>
          <w:w w:val="105"/>
        </w:rPr>
        <w:t>If</w:t>
      </w:r>
      <w:r>
        <w:rPr>
          <w:spacing w:val="21"/>
          <w:w w:val="105"/>
        </w:rPr>
        <w:t> </w:t>
      </w:r>
      <w:r>
        <w:rPr>
          <w:w w:val="105"/>
        </w:rPr>
        <w:t>you</w:t>
      </w:r>
      <w:r>
        <w:rPr>
          <w:spacing w:val="21"/>
          <w:w w:val="105"/>
        </w:rPr>
        <w:t> </w:t>
      </w:r>
      <w:r>
        <w:rPr>
          <w:w w:val="105"/>
        </w:rPr>
        <w:t>vote</w:t>
      </w:r>
      <w:r>
        <w:rPr>
          <w:spacing w:val="21"/>
          <w:w w:val="105"/>
        </w:rPr>
        <w:t> </w:t>
      </w:r>
      <w:r>
        <w:rPr>
          <w:w w:val="105"/>
        </w:rPr>
        <w:t>by</w:t>
      </w:r>
      <w:r>
        <w:rPr>
          <w:spacing w:val="21"/>
          <w:w w:val="105"/>
        </w:rPr>
        <w:t> </w:t>
      </w:r>
      <w:r>
        <w:rPr>
          <w:w w:val="105"/>
        </w:rPr>
        <w:t>proxy,</w:t>
      </w:r>
      <w:r>
        <w:rPr>
          <w:spacing w:val="21"/>
          <w:w w:val="105"/>
        </w:rPr>
        <w:t> </w:t>
      </w:r>
      <w:r>
        <w:rPr>
          <w:w w:val="105"/>
        </w:rPr>
        <w:t>the</w:t>
      </w:r>
      <w:r>
        <w:rPr>
          <w:spacing w:val="21"/>
          <w:w w:val="105"/>
        </w:rPr>
        <w:t> </w:t>
      </w:r>
      <w:r>
        <w:rPr>
          <w:w w:val="105"/>
        </w:rPr>
        <w:t>individuals</w:t>
      </w:r>
      <w:r>
        <w:rPr>
          <w:spacing w:val="21"/>
          <w:w w:val="105"/>
        </w:rPr>
        <w:t> </w:t>
      </w:r>
      <w:r>
        <w:rPr>
          <w:w w:val="105"/>
        </w:rPr>
        <w:t>named</w:t>
      </w:r>
      <w:r>
        <w:rPr>
          <w:spacing w:val="21"/>
          <w:w w:val="105"/>
        </w:rPr>
        <w:t> </w:t>
      </w:r>
      <w:r>
        <w:rPr>
          <w:w w:val="105"/>
        </w:rPr>
        <w:t>as</w:t>
      </w:r>
      <w:r>
        <w:rPr>
          <w:spacing w:val="21"/>
          <w:w w:val="105"/>
        </w:rPr>
        <w:t> </w:t>
      </w:r>
      <w:r>
        <w:rPr>
          <w:w w:val="105"/>
        </w:rPr>
        <w:t>proxyholders</w:t>
      </w:r>
      <w:r>
        <w:rPr>
          <w:spacing w:val="21"/>
          <w:w w:val="105"/>
        </w:rPr>
        <w:t> </w:t>
      </w:r>
      <w:r>
        <w:rPr>
          <w:w w:val="105"/>
        </w:rPr>
        <w:t>will</w:t>
      </w:r>
      <w:r>
        <w:rPr>
          <w:spacing w:val="21"/>
          <w:w w:val="105"/>
        </w:rPr>
        <w:t> </w:t>
      </w:r>
      <w:r>
        <w:rPr>
          <w:w w:val="105"/>
        </w:rPr>
        <w:t>vote</w:t>
      </w:r>
      <w:r>
        <w:rPr>
          <w:spacing w:val="21"/>
          <w:w w:val="105"/>
        </w:rPr>
        <w:t> </w:t>
      </w:r>
      <w:r>
        <w:rPr>
          <w:w w:val="105"/>
        </w:rPr>
        <w:t>your</w:t>
      </w:r>
      <w:r>
        <w:rPr>
          <w:spacing w:val="21"/>
          <w:w w:val="105"/>
        </w:rPr>
        <w:t> </w:t>
      </w:r>
      <w:r>
        <w:rPr>
          <w:w w:val="105"/>
        </w:rPr>
        <w:t>shares</w:t>
      </w:r>
      <w:r>
        <w:rPr>
          <w:spacing w:val="21"/>
          <w:w w:val="105"/>
        </w:rPr>
        <w:t> </w:t>
      </w:r>
      <w:r>
        <w:rPr>
          <w:w w:val="105"/>
        </w:rPr>
        <w:t>as</w:t>
      </w:r>
      <w:r>
        <w:rPr>
          <w:spacing w:val="21"/>
          <w:w w:val="105"/>
        </w:rPr>
        <w:t> </w:t>
      </w:r>
      <w:r>
        <w:rPr>
          <w:w w:val="105"/>
        </w:rPr>
        <w:t>you</w:t>
      </w:r>
      <w:r>
        <w:rPr>
          <w:spacing w:val="21"/>
          <w:w w:val="105"/>
        </w:rPr>
        <w:t> </w:t>
      </w:r>
      <w:r>
        <w:rPr>
          <w:w w:val="105"/>
        </w:rPr>
        <w:t>instruct.</w:t>
      </w:r>
      <w:r>
        <w:rPr>
          <w:spacing w:val="21"/>
          <w:w w:val="105"/>
        </w:rPr>
        <w:t> </w:t>
      </w:r>
      <w:r>
        <w:rPr>
          <w:w w:val="105"/>
        </w:rPr>
        <w:t>If</w:t>
      </w:r>
      <w:r>
        <w:rPr>
          <w:w w:val="105"/>
        </w:rPr>
        <w:t> you</w:t>
      </w:r>
      <w:r>
        <w:rPr>
          <w:spacing w:val="22"/>
          <w:w w:val="105"/>
        </w:rPr>
        <w:t> </w:t>
      </w:r>
      <w:r>
        <w:rPr>
          <w:w w:val="105"/>
        </w:rPr>
        <w:t>vote</w:t>
      </w:r>
      <w:r>
        <w:rPr>
          <w:spacing w:val="22"/>
          <w:w w:val="105"/>
        </w:rPr>
        <w:t> </w:t>
      </w:r>
      <w:r>
        <w:rPr>
          <w:w w:val="105"/>
        </w:rPr>
        <w:t>your</w:t>
      </w:r>
      <w:r>
        <w:rPr>
          <w:spacing w:val="22"/>
          <w:w w:val="105"/>
        </w:rPr>
        <w:t> </w:t>
      </w:r>
      <w:r>
        <w:rPr>
          <w:w w:val="105"/>
        </w:rPr>
        <w:t>shares</w:t>
      </w:r>
      <w:r>
        <w:rPr>
          <w:spacing w:val="22"/>
          <w:w w:val="105"/>
        </w:rPr>
        <w:t> </w:t>
      </w:r>
      <w:r>
        <w:rPr>
          <w:w w:val="105"/>
        </w:rPr>
        <w:t>over</w:t>
      </w:r>
      <w:r>
        <w:rPr>
          <w:spacing w:val="22"/>
          <w:w w:val="105"/>
        </w:rPr>
        <w:t> </w:t>
      </w:r>
      <w:r>
        <w:rPr>
          <w:w w:val="105"/>
        </w:rPr>
        <w:t>the</w:t>
      </w:r>
      <w:r>
        <w:rPr>
          <w:spacing w:val="22"/>
          <w:w w:val="105"/>
        </w:rPr>
        <w:t> </w:t>
      </w:r>
      <w:r>
        <w:rPr>
          <w:w w:val="105"/>
        </w:rPr>
        <w:t>telephone,</w:t>
      </w:r>
      <w:r>
        <w:rPr>
          <w:spacing w:val="22"/>
          <w:w w:val="105"/>
        </w:rPr>
        <w:t> </w:t>
      </w:r>
      <w:r>
        <w:rPr>
          <w:w w:val="105"/>
        </w:rPr>
        <w:t>you</w:t>
      </w:r>
      <w:r>
        <w:rPr>
          <w:spacing w:val="22"/>
          <w:w w:val="105"/>
        </w:rPr>
        <w:t> </w:t>
      </w:r>
      <w:r>
        <w:rPr>
          <w:w w:val="105"/>
        </w:rPr>
        <w:t>must</w:t>
      </w:r>
      <w:r>
        <w:rPr>
          <w:spacing w:val="22"/>
          <w:w w:val="105"/>
        </w:rPr>
        <w:t> </w:t>
      </w:r>
      <w:r>
        <w:rPr>
          <w:w w:val="105"/>
        </w:rPr>
        <w:t>select</w:t>
      </w:r>
      <w:r>
        <w:rPr>
          <w:spacing w:val="22"/>
          <w:w w:val="105"/>
        </w:rPr>
        <w:t> </w:t>
      </w:r>
      <w:r>
        <w:rPr>
          <w:w w:val="105"/>
        </w:rPr>
        <w:t>a</w:t>
      </w:r>
      <w:r>
        <w:rPr>
          <w:spacing w:val="22"/>
          <w:w w:val="105"/>
        </w:rPr>
        <w:t> </w:t>
      </w:r>
      <w:r>
        <w:rPr>
          <w:w w:val="105"/>
        </w:rPr>
        <w:t>voting</w:t>
      </w:r>
      <w:r>
        <w:rPr>
          <w:spacing w:val="22"/>
          <w:w w:val="105"/>
        </w:rPr>
        <w:t> </w:t>
      </w:r>
      <w:r>
        <w:rPr>
          <w:w w:val="105"/>
        </w:rPr>
        <w:t>option — “For,”</w:t>
      </w:r>
      <w:r>
        <w:rPr>
          <w:spacing w:val="22"/>
          <w:w w:val="105"/>
        </w:rPr>
        <w:t> </w:t>
      </w:r>
      <w:r>
        <w:rPr>
          <w:w w:val="105"/>
        </w:rPr>
        <w:t>“Withhold Authority,” or “Abstain” (for Proposal One) and “For,” “Against,” or “Abstain” (for Proposals Two and Three) — for</w:t>
      </w:r>
      <w:r>
        <w:rPr>
          <w:spacing w:val="17"/>
          <w:w w:val="105"/>
        </w:rPr>
        <w:t> </w:t>
      </w:r>
      <w:r>
        <w:rPr>
          <w:w w:val="105"/>
        </w:rPr>
        <w:t>your</w:t>
      </w:r>
      <w:r>
        <w:rPr>
          <w:spacing w:val="17"/>
          <w:w w:val="105"/>
        </w:rPr>
        <w:t> </w:t>
      </w:r>
      <w:r>
        <w:rPr>
          <w:w w:val="105"/>
        </w:rPr>
        <w:t>proxy</w:t>
      </w:r>
      <w:r>
        <w:rPr>
          <w:spacing w:val="17"/>
          <w:w w:val="105"/>
        </w:rPr>
        <w:t> </w:t>
      </w:r>
      <w:r>
        <w:rPr>
          <w:w w:val="105"/>
        </w:rPr>
        <w:t>to</w:t>
      </w:r>
      <w:r>
        <w:rPr>
          <w:spacing w:val="17"/>
          <w:w w:val="105"/>
        </w:rPr>
        <w:t> </w:t>
      </w:r>
      <w:r>
        <w:rPr>
          <w:w w:val="105"/>
        </w:rPr>
        <w:t>be</w:t>
      </w:r>
      <w:r>
        <w:rPr>
          <w:spacing w:val="17"/>
          <w:w w:val="105"/>
        </w:rPr>
        <w:t> </w:t>
      </w:r>
      <w:r>
        <w:rPr>
          <w:w w:val="105"/>
        </w:rPr>
        <w:t>counted</w:t>
      </w:r>
      <w:r>
        <w:rPr>
          <w:spacing w:val="17"/>
          <w:w w:val="105"/>
        </w:rPr>
        <w:t> </w:t>
      </w:r>
      <w:r>
        <w:rPr>
          <w:w w:val="105"/>
        </w:rPr>
        <w:t>on</w:t>
      </w:r>
      <w:r>
        <w:rPr>
          <w:spacing w:val="17"/>
          <w:w w:val="105"/>
        </w:rPr>
        <w:t> </w:t>
      </w:r>
      <w:r>
        <w:rPr>
          <w:w w:val="105"/>
        </w:rPr>
        <w:t>that</w:t>
      </w:r>
      <w:r>
        <w:rPr>
          <w:spacing w:val="17"/>
          <w:w w:val="105"/>
        </w:rPr>
        <w:t> </w:t>
      </w:r>
      <w:r>
        <w:rPr>
          <w:w w:val="105"/>
        </w:rPr>
        <w:t>matter.</w:t>
      </w:r>
      <w:r>
        <w:rPr>
          <w:spacing w:val="17"/>
          <w:w w:val="105"/>
        </w:rPr>
        <w:t> </w:t>
      </w:r>
      <w:r>
        <w:rPr>
          <w:w w:val="105"/>
        </w:rPr>
        <w:t>If</w:t>
      </w:r>
      <w:r>
        <w:rPr>
          <w:spacing w:val="17"/>
          <w:w w:val="105"/>
        </w:rPr>
        <w:t> </w:t>
      </w:r>
      <w:r>
        <w:rPr>
          <w:w w:val="105"/>
        </w:rPr>
        <w:t>you</w:t>
      </w:r>
      <w:r>
        <w:rPr>
          <w:spacing w:val="17"/>
          <w:w w:val="105"/>
        </w:rPr>
        <w:t> </w:t>
      </w:r>
      <w:r>
        <w:rPr>
          <w:w w:val="105"/>
        </w:rPr>
        <w:t>validly</w:t>
      </w:r>
      <w:r>
        <w:rPr>
          <w:spacing w:val="17"/>
          <w:w w:val="105"/>
        </w:rPr>
        <w:t> </w:t>
      </w:r>
      <w:r>
        <w:rPr>
          <w:w w:val="105"/>
        </w:rPr>
        <w:t>vote</w:t>
      </w:r>
      <w:r>
        <w:rPr>
          <w:spacing w:val="17"/>
          <w:w w:val="105"/>
        </w:rPr>
        <w:t> </w:t>
      </w:r>
      <w:r>
        <w:rPr>
          <w:w w:val="105"/>
        </w:rPr>
        <w:t>your</w:t>
      </w:r>
      <w:r>
        <w:rPr>
          <w:spacing w:val="17"/>
          <w:w w:val="105"/>
        </w:rPr>
        <w:t> </w:t>
      </w:r>
      <w:r>
        <w:rPr>
          <w:w w:val="105"/>
        </w:rPr>
        <w:t>shares</w:t>
      </w:r>
      <w:r>
        <w:rPr>
          <w:spacing w:val="17"/>
          <w:w w:val="105"/>
        </w:rPr>
        <w:t> </w:t>
      </w:r>
      <w:r>
        <w:rPr>
          <w:w w:val="105"/>
        </w:rPr>
        <w:t>over</w:t>
      </w:r>
      <w:r>
        <w:rPr>
          <w:spacing w:val="17"/>
          <w:w w:val="105"/>
        </w:rPr>
        <w:t> </w:t>
      </w:r>
      <w:r>
        <w:rPr>
          <w:w w:val="105"/>
        </w:rPr>
        <w:t>the</w:t>
      </w:r>
      <w:r>
        <w:rPr>
          <w:spacing w:val="17"/>
          <w:w w:val="105"/>
        </w:rPr>
        <w:t> </w:t>
      </w:r>
      <w:r>
        <w:rPr>
          <w:w w:val="105"/>
        </w:rPr>
        <w:t>Internet</w:t>
      </w:r>
    </w:p>
    <w:p>
      <w:pPr>
        <w:spacing w:after="0" w:line="259" w:lineRule="auto"/>
        <w:sectPr>
          <w:headerReference w:type="default" r:id="rId25"/>
          <w:footerReference w:type="default" r:id="rId26"/>
          <w:pgSz w:w="12240" w:h="15840"/>
          <w:pgMar w:header="529" w:footer="1288" w:top="720" w:bottom="1480" w:left="480" w:right="460"/>
          <w:pgNumType w:start="5"/>
        </w:sectPr>
      </w:pPr>
    </w:p>
    <w:p>
      <w:pPr>
        <w:pStyle w:val="BodyText"/>
        <w:rPr>
          <w:sz w:val="20"/>
        </w:rPr>
      </w:pPr>
    </w:p>
    <w:p>
      <w:pPr>
        <w:pStyle w:val="BodyText"/>
        <w:rPr>
          <w:sz w:val="20"/>
        </w:rPr>
      </w:pPr>
    </w:p>
    <w:p>
      <w:pPr>
        <w:pStyle w:val="BodyText"/>
        <w:spacing w:before="2"/>
        <w:rPr>
          <w:sz w:val="27"/>
        </w:rPr>
      </w:pPr>
    </w:p>
    <w:p>
      <w:pPr>
        <w:pStyle w:val="BodyText"/>
        <w:spacing w:line="249" w:lineRule="auto" w:before="98"/>
        <w:ind w:left="1772" w:right="1423"/>
      </w:pPr>
      <w:r>
        <w:rPr>
          <w:w w:val="105"/>
        </w:rPr>
        <w:t>or</w:t>
      </w:r>
      <w:r>
        <w:rPr>
          <w:spacing w:val="22"/>
          <w:w w:val="105"/>
        </w:rPr>
        <w:t> </w:t>
      </w:r>
      <w:r>
        <w:rPr>
          <w:w w:val="105"/>
        </w:rPr>
        <w:t>by</w:t>
      </w:r>
      <w:r>
        <w:rPr>
          <w:spacing w:val="22"/>
          <w:w w:val="105"/>
        </w:rPr>
        <w:t> </w:t>
      </w:r>
      <w:r>
        <w:rPr>
          <w:w w:val="105"/>
        </w:rPr>
        <w:t>mail</w:t>
      </w:r>
      <w:r>
        <w:rPr>
          <w:spacing w:val="22"/>
          <w:w w:val="105"/>
        </w:rPr>
        <w:t> </w:t>
      </w:r>
      <w:r>
        <w:rPr>
          <w:w w:val="105"/>
        </w:rPr>
        <w:t>but</w:t>
      </w:r>
      <w:r>
        <w:rPr>
          <w:spacing w:val="22"/>
          <w:w w:val="105"/>
        </w:rPr>
        <w:t> </w:t>
      </w:r>
      <w:r>
        <w:rPr>
          <w:w w:val="105"/>
        </w:rPr>
        <w:t>do</w:t>
      </w:r>
      <w:r>
        <w:rPr>
          <w:spacing w:val="22"/>
          <w:w w:val="105"/>
        </w:rPr>
        <w:t> </w:t>
      </w:r>
      <w:r>
        <w:rPr>
          <w:w w:val="105"/>
        </w:rPr>
        <w:t>not</w:t>
      </w:r>
      <w:r>
        <w:rPr>
          <w:spacing w:val="22"/>
          <w:w w:val="105"/>
        </w:rPr>
        <w:t> </w:t>
      </w:r>
      <w:r>
        <w:rPr>
          <w:w w:val="105"/>
        </w:rPr>
        <w:t>provide</w:t>
      </w:r>
      <w:r>
        <w:rPr>
          <w:spacing w:val="22"/>
          <w:w w:val="105"/>
        </w:rPr>
        <w:t> </w:t>
      </w:r>
      <w:r>
        <w:rPr>
          <w:w w:val="105"/>
        </w:rPr>
        <w:t>voting</w:t>
      </w:r>
      <w:r>
        <w:rPr>
          <w:spacing w:val="22"/>
          <w:w w:val="105"/>
        </w:rPr>
        <w:t> </w:t>
      </w:r>
      <w:r>
        <w:rPr>
          <w:w w:val="105"/>
        </w:rPr>
        <w:t>instructions</w:t>
      </w:r>
      <w:r>
        <w:rPr>
          <w:spacing w:val="22"/>
          <w:w w:val="105"/>
        </w:rPr>
        <w:t> </w:t>
      </w:r>
      <w:r>
        <w:rPr>
          <w:w w:val="105"/>
        </w:rPr>
        <w:t>on</w:t>
      </w:r>
      <w:r>
        <w:rPr>
          <w:spacing w:val="22"/>
          <w:w w:val="105"/>
        </w:rPr>
        <w:t> </w:t>
      </w:r>
      <w:r>
        <w:rPr>
          <w:w w:val="105"/>
        </w:rPr>
        <w:t>all</w:t>
      </w:r>
      <w:r>
        <w:rPr>
          <w:spacing w:val="22"/>
          <w:w w:val="105"/>
        </w:rPr>
        <w:t> </w:t>
      </w:r>
      <w:r>
        <w:rPr>
          <w:w w:val="105"/>
        </w:rPr>
        <w:t>or</w:t>
      </w:r>
      <w:r>
        <w:rPr>
          <w:spacing w:val="22"/>
          <w:w w:val="105"/>
        </w:rPr>
        <w:t> </w:t>
      </w:r>
      <w:r>
        <w:rPr>
          <w:w w:val="105"/>
        </w:rPr>
        <w:t>any</w:t>
      </w:r>
      <w:r>
        <w:rPr>
          <w:spacing w:val="22"/>
          <w:w w:val="105"/>
        </w:rPr>
        <w:t> </w:t>
      </w:r>
      <w:r>
        <w:rPr>
          <w:w w:val="105"/>
        </w:rPr>
        <w:t>voting</w:t>
      </w:r>
      <w:r>
        <w:rPr>
          <w:spacing w:val="22"/>
          <w:w w:val="105"/>
        </w:rPr>
        <w:t> </w:t>
      </w:r>
      <w:r>
        <w:rPr>
          <w:w w:val="105"/>
        </w:rPr>
        <w:t>proposal,</w:t>
      </w:r>
      <w:r>
        <w:rPr>
          <w:spacing w:val="22"/>
          <w:w w:val="105"/>
        </w:rPr>
        <w:t> </w:t>
      </w:r>
      <w:r>
        <w:rPr>
          <w:w w:val="105"/>
        </w:rPr>
        <w:t>the</w:t>
      </w:r>
      <w:r>
        <w:rPr>
          <w:spacing w:val="22"/>
          <w:w w:val="105"/>
        </w:rPr>
        <w:t> </w:t>
      </w:r>
      <w:r>
        <w:rPr>
          <w:w w:val="105"/>
        </w:rPr>
        <w:t>individuals</w:t>
      </w:r>
      <w:r>
        <w:rPr>
          <w:spacing w:val="22"/>
          <w:w w:val="105"/>
        </w:rPr>
        <w:t> </w:t>
      </w:r>
      <w:r>
        <w:rPr>
          <w:w w:val="105"/>
        </w:rPr>
        <w:t>named</w:t>
      </w:r>
      <w:r>
        <w:rPr>
          <w:w w:val="105"/>
        </w:rPr>
        <w:t> as proxyholders will vote your shares FOR each of the director nominees, FOR Proposal Two, and FOR Proposal Three.</w:t>
      </w:r>
      <w:r>
        <w:rPr>
          <w:spacing w:val="23"/>
          <w:w w:val="105"/>
        </w:rPr>
        <w:t> </w:t>
      </w:r>
      <w:r>
        <w:rPr>
          <w:w w:val="105"/>
        </w:rPr>
        <w:t>In</w:t>
      </w:r>
      <w:r>
        <w:rPr>
          <w:spacing w:val="23"/>
          <w:w w:val="105"/>
        </w:rPr>
        <w:t> </w:t>
      </w:r>
      <w:r>
        <w:rPr>
          <w:w w:val="105"/>
        </w:rPr>
        <w:t>that</w:t>
      </w:r>
      <w:r>
        <w:rPr>
          <w:spacing w:val="23"/>
          <w:w w:val="105"/>
        </w:rPr>
        <w:t> </w:t>
      </w:r>
      <w:r>
        <w:rPr>
          <w:w w:val="105"/>
        </w:rPr>
        <w:t>case,</w:t>
      </w:r>
      <w:r>
        <w:rPr>
          <w:spacing w:val="23"/>
          <w:w w:val="105"/>
        </w:rPr>
        <w:t> </w:t>
      </w:r>
      <w:r>
        <w:rPr>
          <w:w w:val="105"/>
        </w:rPr>
        <w:t>the</w:t>
      </w:r>
      <w:r>
        <w:rPr>
          <w:spacing w:val="23"/>
          <w:w w:val="105"/>
        </w:rPr>
        <w:t> </w:t>
      </w:r>
      <w:r>
        <w:rPr>
          <w:w w:val="105"/>
        </w:rPr>
        <w:t>proxyholders</w:t>
      </w:r>
      <w:r>
        <w:rPr>
          <w:spacing w:val="23"/>
          <w:w w:val="105"/>
        </w:rPr>
        <w:t> </w:t>
      </w:r>
      <w:r>
        <w:rPr>
          <w:w w:val="105"/>
        </w:rPr>
        <w:t>will</w:t>
      </w:r>
      <w:r>
        <w:rPr>
          <w:spacing w:val="23"/>
          <w:w w:val="105"/>
        </w:rPr>
        <w:t> </w:t>
      </w:r>
      <w:r>
        <w:rPr>
          <w:w w:val="105"/>
        </w:rPr>
        <w:t>have</w:t>
      </w:r>
      <w:r>
        <w:rPr>
          <w:spacing w:val="23"/>
          <w:w w:val="105"/>
        </w:rPr>
        <w:t> </w:t>
      </w:r>
      <w:r>
        <w:rPr>
          <w:w w:val="105"/>
        </w:rPr>
        <w:t>full</w:t>
      </w:r>
      <w:r>
        <w:rPr>
          <w:spacing w:val="23"/>
          <w:w w:val="105"/>
        </w:rPr>
        <w:t> </w:t>
      </w:r>
      <w:r>
        <w:rPr>
          <w:w w:val="105"/>
        </w:rPr>
        <w:t>discretion</w:t>
      </w:r>
      <w:r>
        <w:rPr>
          <w:spacing w:val="23"/>
          <w:w w:val="105"/>
        </w:rPr>
        <w:t> </w:t>
      </w:r>
      <w:r>
        <w:rPr>
          <w:w w:val="105"/>
        </w:rPr>
        <w:t>and</w:t>
      </w:r>
      <w:r>
        <w:rPr>
          <w:spacing w:val="23"/>
          <w:w w:val="105"/>
        </w:rPr>
        <w:t> </w:t>
      </w:r>
      <w:r>
        <w:rPr>
          <w:w w:val="105"/>
        </w:rPr>
        <w:t>authority</w:t>
      </w:r>
      <w:r>
        <w:rPr>
          <w:spacing w:val="23"/>
          <w:w w:val="105"/>
        </w:rPr>
        <w:t> </w:t>
      </w:r>
      <w:r>
        <w:rPr>
          <w:w w:val="105"/>
        </w:rPr>
        <w:t>to</w:t>
      </w:r>
      <w:r>
        <w:rPr>
          <w:spacing w:val="23"/>
          <w:w w:val="105"/>
        </w:rPr>
        <w:t> </w:t>
      </w:r>
      <w:r>
        <w:rPr>
          <w:w w:val="105"/>
        </w:rPr>
        <w:t>vote</w:t>
      </w:r>
      <w:r>
        <w:rPr>
          <w:spacing w:val="23"/>
          <w:w w:val="105"/>
        </w:rPr>
        <w:t> </w:t>
      </w:r>
      <w:r>
        <w:rPr>
          <w:w w:val="105"/>
        </w:rPr>
        <w:t>in</w:t>
      </w:r>
      <w:r>
        <w:rPr>
          <w:spacing w:val="23"/>
          <w:w w:val="105"/>
        </w:rPr>
        <w:t> </w:t>
      </w:r>
      <w:r>
        <w:rPr>
          <w:w w:val="105"/>
        </w:rPr>
        <w:t>the election of directors.</w:t>
      </w:r>
    </w:p>
    <w:p>
      <w:pPr>
        <w:pStyle w:val="BodyText"/>
        <w:spacing w:line="249" w:lineRule="auto" w:before="146"/>
        <w:ind w:left="1772" w:right="1411"/>
      </w:pPr>
      <w:r>
        <w:rPr>
          <w:w w:val="105"/>
        </w:rPr>
        <w:t>If your shares are registered in street name, you must vote your shares in the manner prescribed by your</w:t>
      </w:r>
      <w:r>
        <w:rPr>
          <w:spacing w:val="40"/>
          <w:w w:val="105"/>
        </w:rPr>
        <w:t> </w:t>
      </w:r>
      <w:r>
        <w:rPr>
          <w:w w:val="105"/>
        </w:rPr>
        <w:t>broker,</w:t>
      </w:r>
      <w:r>
        <w:rPr>
          <w:spacing w:val="21"/>
          <w:w w:val="105"/>
        </w:rPr>
        <w:t> </w:t>
      </w:r>
      <w:r>
        <w:rPr>
          <w:w w:val="105"/>
        </w:rPr>
        <w:t>bank,</w:t>
      </w:r>
      <w:r>
        <w:rPr>
          <w:spacing w:val="21"/>
          <w:w w:val="105"/>
        </w:rPr>
        <w:t> </w:t>
      </w:r>
      <w:r>
        <w:rPr>
          <w:w w:val="105"/>
        </w:rPr>
        <w:t>or</w:t>
      </w:r>
      <w:r>
        <w:rPr>
          <w:spacing w:val="21"/>
          <w:w w:val="105"/>
        </w:rPr>
        <w:t> </w:t>
      </w:r>
      <w:r>
        <w:rPr>
          <w:w w:val="105"/>
        </w:rPr>
        <w:t>other</w:t>
      </w:r>
      <w:r>
        <w:rPr>
          <w:spacing w:val="21"/>
          <w:w w:val="105"/>
        </w:rPr>
        <w:t> </w:t>
      </w:r>
      <w:r>
        <w:rPr>
          <w:w w:val="105"/>
        </w:rPr>
        <w:t>nominee.</w:t>
      </w:r>
      <w:r>
        <w:rPr>
          <w:spacing w:val="21"/>
          <w:w w:val="105"/>
        </w:rPr>
        <w:t> </w:t>
      </w:r>
      <w:r>
        <w:rPr>
          <w:w w:val="105"/>
        </w:rPr>
        <w:t>In</w:t>
      </w:r>
      <w:r>
        <w:rPr>
          <w:spacing w:val="21"/>
          <w:w w:val="105"/>
        </w:rPr>
        <w:t> </w:t>
      </w:r>
      <w:r>
        <w:rPr>
          <w:w w:val="105"/>
        </w:rPr>
        <w:t>most</w:t>
      </w:r>
      <w:r>
        <w:rPr>
          <w:spacing w:val="21"/>
          <w:w w:val="105"/>
        </w:rPr>
        <w:t> </w:t>
      </w:r>
      <w:r>
        <w:rPr>
          <w:w w:val="105"/>
        </w:rPr>
        <w:t>instances,</w:t>
      </w:r>
      <w:r>
        <w:rPr>
          <w:spacing w:val="21"/>
          <w:w w:val="105"/>
        </w:rPr>
        <w:t> </w:t>
      </w:r>
      <w:r>
        <w:rPr>
          <w:w w:val="105"/>
        </w:rPr>
        <w:t>you</w:t>
      </w:r>
      <w:r>
        <w:rPr>
          <w:spacing w:val="21"/>
          <w:w w:val="105"/>
        </w:rPr>
        <w:t> </w:t>
      </w:r>
      <w:r>
        <w:rPr>
          <w:w w:val="105"/>
        </w:rPr>
        <w:t>can</w:t>
      </w:r>
      <w:r>
        <w:rPr>
          <w:spacing w:val="21"/>
          <w:w w:val="105"/>
        </w:rPr>
        <w:t> </w:t>
      </w:r>
      <w:r>
        <w:rPr>
          <w:w w:val="105"/>
        </w:rPr>
        <w:t>do</w:t>
      </w:r>
      <w:r>
        <w:rPr>
          <w:spacing w:val="21"/>
          <w:w w:val="105"/>
        </w:rPr>
        <w:t> </w:t>
      </w:r>
      <w:r>
        <w:rPr>
          <w:w w:val="105"/>
        </w:rPr>
        <w:t>this</w:t>
      </w:r>
      <w:r>
        <w:rPr>
          <w:spacing w:val="21"/>
          <w:w w:val="105"/>
        </w:rPr>
        <w:t> </w:t>
      </w:r>
      <w:r>
        <w:rPr>
          <w:w w:val="105"/>
        </w:rPr>
        <w:t>over</w:t>
      </w:r>
      <w:r>
        <w:rPr>
          <w:spacing w:val="21"/>
          <w:w w:val="105"/>
        </w:rPr>
        <w:t> </w:t>
      </w:r>
      <w:r>
        <w:rPr>
          <w:w w:val="105"/>
        </w:rPr>
        <w:t>the</w:t>
      </w:r>
      <w:r>
        <w:rPr>
          <w:spacing w:val="21"/>
          <w:w w:val="105"/>
        </w:rPr>
        <w:t> </w:t>
      </w:r>
      <w:r>
        <w:rPr>
          <w:w w:val="105"/>
        </w:rPr>
        <w:t>telephone</w:t>
      </w:r>
      <w:r>
        <w:rPr>
          <w:spacing w:val="21"/>
          <w:w w:val="105"/>
        </w:rPr>
        <w:t> </w:t>
      </w:r>
      <w:r>
        <w:rPr>
          <w:w w:val="105"/>
        </w:rPr>
        <w:t>or</w:t>
      </w:r>
      <w:r>
        <w:rPr>
          <w:spacing w:val="21"/>
          <w:w w:val="105"/>
        </w:rPr>
        <w:t> </w:t>
      </w:r>
      <w:r>
        <w:rPr>
          <w:w w:val="105"/>
        </w:rPr>
        <w:t>Internet,</w:t>
      </w:r>
      <w:r>
        <w:rPr>
          <w:spacing w:val="21"/>
          <w:w w:val="105"/>
        </w:rPr>
        <w:t> </w:t>
      </w:r>
      <w:r>
        <w:rPr>
          <w:w w:val="105"/>
        </w:rPr>
        <w:t>or</w:t>
      </w:r>
      <w:r>
        <w:rPr>
          <w:spacing w:val="21"/>
          <w:w w:val="105"/>
        </w:rPr>
        <w:t> </w:t>
      </w:r>
      <w:r>
        <w:rPr>
          <w:w w:val="105"/>
        </w:rPr>
        <w:t>if you have received or request a hard copy of the Proxy Statement and accompanying voting instruction form,</w:t>
      </w:r>
      <w:r>
        <w:rPr>
          <w:spacing w:val="22"/>
          <w:w w:val="105"/>
        </w:rPr>
        <w:t> </w:t>
      </w:r>
      <w:r>
        <w:rPr>
          <w:w w:val="105"/>
        </w:rPr>
        <w:t>you</w:t>
      </w:r>
      <w:r>
        <w:rPr>
          <w:spacing w:val="22"/>
          <w:w w:val="105"/>
        </w:rPr>
        <w:t> </w:t>
      </w:r>
      <w:r>
        <w:rPr>
          <w:w w:val="105"/>
        </w:rPr>
        <w:t>may</w:t>
      </w:r>
      <w:r>
        <w:rPr>
          <w:spacing w:val="22"/>
          <w:w w:val="105"/>
        </w:rPr>
        <w:t> </w:t>
      </w:r>
      <w:r>
        <w:rPr>
          <w:w w:val="105"/>
        </w:rPr>
        <w:t>mark,</w:t>
      </w:r>
      <w:r>
        <w:rPr>
          <w:spacing w:val="22"/>
          <w:w w:val="105"/>
        </w:rPr>
        <w:t> </w:t>
      </w:r>
      <w:r>
        <w:rPr>
          <w:w w:val="105"/>
        </w:rPr>
        <w:t>sign,</w:t>
      </w:r>
      <w:r>
        <w:rPr>
          <w:spacing w:val="22"/>
          <w:w w:val="105"/>
        </w:rPr>
        <w:t> </w:t>
      </w:r>
      <w:r>
        <w:rPr>
          <w:w w:val="105"/>
        </w:rPr>
        <w:t>date</w:t>
      </w:r>
      <w:r>
        <w:rPr>
          <w:spacing w:val="22"/>
          <w:w w:val="105"/>
        </w:rPr>
        <w:t> </w:t>
      </w:r>
      <w:r>
        <w:rPr>
          <w:w w:val="105"/>
        </w:rPr>
        <w:t>and</w:t>
      </w:r>
      <w:r>
        <w:rPr>
          <w:spacing w:val="22"/>
          <w:w w:val="105"/>
        </w:rPr>
        <w:t> </w:t>
      </w:r>
      <w:r>
        <w:rPr>
          <w:w w:val="105"/>
        </w:rPr>
        <w:t>mail</w:t>
      </w:r>
      <w:r>
        <w:rPr>
          <w:spacing w:val="22"/>
          <w:w w:val="105"/>
        </w:rPr>
        <w:t> </w:t>
      </w:r>
      <w:r>
        <w:rPr>
          <w:w w:val="105"/>
        </w:rPr>
        <w:t>your</w:t>
      </w:r>
      <w:r>
        <w:rPr>
          <w:spacing w:val="22"/>
          <w:w w:val="105"/>
        </w:rPr>
        <w:t> </w:t>
      </w:r>
      <w:r>
        <w:rPr>
          <w:w w:val="105"/>
        </w:rPr>
        <w:t>voting</w:t>
      </w:r>
      <w:r>
        <w:rPr>
          <w:spacing w:val="22"/>
          <w:w w:val="105"/>
        </w:rPr>
        <w:t> </w:t>
      </w:r>
      <w:r>
        <w:rPr>
          <w:w w:val="105"/>
        </w:rPr>
        <w:t>instruction</w:t>
      </w:r>
      <w:r>
        <w:rPr>
          <w:spacing w:val="22"/>
          <w:w w:val="105"/>
        </w:rPr>
        <w:t> </w:t>
      </w:r>
      <w:r>
        <w:rPr>
          <w:w w:val="105"/>
        </w:rPr>
        <w:t>form</w:t>
      </w:r>
      <w:r>
        <w:rPr>
          <w:spacing w:val="22"/>
          <w:w w:val="105"/>
        </w:rPr>
        <w:t> </w:t>
      </w:r>
      <w:r>
        <w:rPr>
          <w:w w:val="105"/>
        </w:rPr>
        <w:t>in</w:t>
      </w:r>
      <w:r>
        <w:rPr>
          <w:spacing w:val="22"/>
          <w:w w:val="105"/>
        </w:rPr>
        <w:t> </w:t>
      </w:r>
      <w:r>
        <w:rPr>
          <w:w w:val="105"/>
        </w:rPr>
        <w:t>the</w:t>
      </w:r>
      <w:r>
        <w:rPr>
          <w:spacing w:val="22"/>
          <w:w w:val="105"/>
        </w:rPr>
        <w:t> </w:t>
      </w:r>
      <w:r>
        <w:rPr>
          <w:w w:val="105"/>
        </w:rPr>
        <w:t>envelope</w:t>
      </w:r>
      <w:r>
        <w:rPr>
          <w:spacing w:val="22"/>
          <w:w w:val="105"/>
        </w:rPr>
        <w:t> </w:t>
      </w:r>
      <w:r>
        <w:rPr>
          <w:w w:val="105"/>
        </w:rPr>
        <w:t>your</w:t>
      </w:r>
      <w:r>
        <w:rPr>
          <w:spacing w:val="22"/>
          <w:w w:val="105"/>
        </w:rPr>
        <w:t> </w:t>
      </w:r>
      <w:r>
        <w:rPr>
          <w:w w:val="105"/>
        </w:rPr>
        <w:t>broker,</w:t>
      </w:r>
      <w:r>
        <w:rPr>
          <w:w w:val="105"/>
        </w:rPr>
        <w:t> bank,</w:t>
      </w:r>
      <w:r>
        <w:rPr>
          <w:spacing w:val="17"/>
          <w:w w:val="105"/>
        </w:rPr>
        <w:t> </w:t>
      </w:r>
      <w:r>
        <w:rPr>
          <w:w w:val="105"/>
        </w:rPr>
        <w:t>or</w:t>
      </w:r>
      <w:r>
        <w:rPr>
          <w:spacing w:val="17"/>
          <w:w w:val="105"/>
        </w:rPr>
        <w:t> </w:t>
      </w:r>
      <w:r>
        <w:rPr>
          <w:w w:val="105"/>
        </w:rPr>
        <w:t>other</w:t>
      </w:r>
      <w:r>
        <w:rPr>
          <w:spacing w:val="17"/>
          <w:w w:val="105"/>
        </w:rPr>
        <w:t> </w:t>
      </w:r>
      <w:r>
        <w:rPr>
          <w:w w:val="105"/>
        </w:rPr>
        <w:t>nominee</w:t>
      </w:r>
      <w:r>
        <w:rPr>
          <w:spacing w:val="17"/>
          <w:w w:val="105"/>
        </w:rPr>
        <w:t> </w:t>
      </w:r>
      <w:r>
        <w:rPr>
          <w:w w:val="105"/>
        </w:rPr>
        <w:t>provides.</w:t>
      </w:r>
      <w:r>
        <w:rPr>
          <w:spacing w:val="12"/>
          <w:w w:val="105"/>
        </w:rPr>
        <w:t> </w:t>
      </w:r>
      <w:r>
        <w:rPr>
          <w:w w:val="105"/>
        </w:rPr>
        <w:t>The</w:t>
      </w:r>
      <w:r>
        <w:rPr>
          <w:spacing w:val="17"/>
          <w:w w:val="105"/>
        </w:rPr>
        <w:t> </w:t>
      </w:r>
      <w:r>
        <w:rPr>
          <w:w w:val="105"/>
        </w:rPr>
        <w:t>materials</w:t>
      </w:r>
      <w:r>
        <w:rPr>
          <w:spacing w:val="17"/>
          <w:w w:val="105"/>
        </w:rPr>
        <w:t> </w:t>
      </w:r>
      <w:r>
        <w:rPr>
          <w:w w:val="105"/>
        </w:rPr>
        <w:t>that</w:t>
      </w:r>
      <w:r>
        <w:rPr>
          <w:spacing w:val="17"/>
          <w:w w:val="105"/>
        </w:rPr>
        <w:t> </w:t>
      </w:r>
      <w:r>
        <w:rPr>
          <w:w w:val="105"/>
        </w:rPr>
        <w:t>were</w:t>
      </w:r>
      <w:r>
        <w:rPr>
          <w:spacing w:val="17"/>
          <w:w w:val="105"/>
        </w:rPr>
        <w:t> </w:t>
      </w:r>
      <w:r>
        <w:rPr>
          <w:w w:val="105"/>
        </w:rPr>
        <w:t>sent</w:t>
      </w:r>
      <w:r>
        <w:rPr>
          <w:spacing w:val="17"/>
          <w:w w:val="105"/>
        </w:rPr>
        <w:t> </w:t>
      </w:r>
      <w:r>
        <w:rPr>
          <w:w w:val="105"/>
        </w:rPr>
        <w:t>to</w:t>
      </w:r>
      <w:r>
        <w:rPr>
          <w:spacing w:val="17"/>
          <w:w w:val="105"/>
        </w:rPr>
        <w:t> </w:t>
      </w:r>
      <w:r>
        <w:rPr>
          <w:w w:val="105"/>
        </w:rPr>
        <w:t>you</w:t>
      </w:r>
      <w:r>
        <w:rPr>
          <w:spacing w:val="17"/>
          <w:w w:val="105"/>
        </w:rPr>
        <w:t> </w:t>
      </w:r>
      <w:r>
        <w:rPr>
          <w:w w:val="105"/>
        </w:rPr>
        <w:t>have</w:t>
      </w:r>
      <w:r>
        <w:rPr>
          <w:spacing w:val="17"/>
          <w:w w:val="105"/>
        </w:rPr>
        <w:t> </w:t>
      </w:r>
      <w:r>
        <w:rPr>
          <w:w w:val="105"/>
        </w:rPr>
        <w:t>specific</w:t>
      </w:r>
      <w:r>
        <w:rPr>
          <w:spacing w:val="17"/>
          <w:w w:val="105"/>
        </w:rPr>
        <w:t> </w:t>
      </w:r>
      <w:r>
        <w:rPr>
          <w:w w:val="105"/>
        </w:rPr>
        <w:t>instructions</w:t>
      </w:r>
      <w:r>
        <w:rPr>
          <w:spacing w:val="17"/>
          <w:w w:val="105"/>
        </w:rPr>
        <w:t> </w:t>
      </w:r>
      <w:r>
        <w:rPr>
          <w:w w:val="105"/>
        </w:rPr>
        <w:t>for</w:t>
      </w:r>
      <w:r>
        <w:rPr>
          <w:spacing w:val="17"/>
          <w:w w:val="105"/>
        </w:rPr>
        <w:t> </w:t>
      </w:r>
      <w:r>
        <w:rPr>
          <w:w w:val="105"/>
        </w:rPr>
        <w:t>how to submit your vote and the deadline for doing so. If you hold shares in street name and would like to</w:t>
      </w:r>
      <w:r>
        <w:rPr>
          <w:spacing w:val="40"/>
          <w:w w:val="105"/>
        </w:rPr>
        <w:t> </w:t>
      </w:r>
      <w:r>
        <w:rPr>
          <w:w w:val="105"/>
        </w:rPr>
        <w:t>revoke</w:t>
      </w:r>
      <w:r>
        <w:rPr>
          <w:spacing w:val="18"/>
          <w:w w:val="105"/>
        </w:rPr>
        <w:t> </w:t>
      </w:r>
      <w:r>
        <w:rPr>
          <w:w w:val="105"/>
        </w:rPr>
        <w:t>your</w:t>
      </w:r>
      <w:r>
        <w:rPr>
          <w:spacing w:val="18"/>
          <w:w w:val="105"/>
        </w:rPr>
        <w:t> </w:t>
      </w:r>
      <w:r>
        <w:rPr>
          <w:w w:val="105"/>
        </w:rPr>
        <w:t>proxy,</w:t>
      </w:r>
      <w:r>
        <w:rPr>
          <w:spacing w:val="18"/>
          <w:w w:val="105"/>
        </w:rPr>
        <w:t> </w:t>
      </w:r>
      <w:r>
        <w:rPr>
          <w:w w:val="105"/>
        </w:rPr>
        <w:t>you</w:t>
      </w:r>
      <w:r>
        <w:rPr>
          <w:spacing w:val="18"/>
          <w:w w:val="105"/>
        </w:rPr>
        <w:t> </w:t>
      </w:r>
      <w:r>
        <w:rPr>
          <w:w w:val="105"/>
        </w:rPr>
        <w:t>must</w:t>
      </w:r>
      <w:r>
        <w:rPr>
          <w:spacing w:val="18"/>
          <w:w w:val="105"/>
        </w:rPr>
        <w:t> </w:t>
      </w:r>
      <w:r>
        <w:rPr>
          <w:w w:val="105"/>
        </w:rPr>
        <w:t>follow</w:t>
      </w:r>
      <w:r>
        <w:rPr>
          <w:spacing w:val="18"/>
          <w:w w:val="105"/>
        </w:rPr>
        <w:t> </w:t>
      </w:r>
      <w:r>
        <w:rPr>
          <w:w w:val="105"/>
        </w:rPr>
        <w:t>the</w:t>
      </w:r>
      <w:r>
        <w:rPr>
          <w:spacing w:val="18"/>
          <w:w w:val="105"/>
        </w:rPr>
        <w:t> </w:t>
      </w:r>
      <w:r>
        <w:rPr>
          <w:w w:val="105"/>
        </w:rPr>
        <w:t>broker,</w:t>
      </w:r>
      <w:r>
        <w:rPr>
          <w:spacing w:val="18"/>
          <w:w w:val="105"/>
        </w:rPr>
        <w:t> </w:t>
      </w:r>
      <w:r>
        <w:rPr>
          <w:w w:val="105"/>
        </w:rPr>
        <w:t>bank,</w:t>
      </w:r>
      <w:r>
        <w:rPr>
          <w:spacing w:val="18"/>
          <w:w w:val="105"/>
        </w:rPr>
        <w:t> </w:t>
      </w:r>
      <w:r>
        <w:rPr>
          <w:w w:val="105"/>
        </w:rPr>
        <w:t>or</w:t>
      </w:r>
      <w:r>
        <w:rPr>
          <w:spacing w:val="18"/>
          <w:w w:val="105"/>
        </w:rPr>
        <w:t> </w:t>
      </w:r>
      <w:r>
        <w:rPr>
          <w:w w:val="105"/>
        </w:rPr>
        <w:t>other</w:t>
      </w:r>
      <w:r>
        <w:rPr>
          <w:spacing w:val="18"/>
          <w:w w:val="105"/>
        </w:rPr>
        <w:t> </w:t>
      </w:r>
      <w:r>
        <w:rPr>
          <w:w w:val="105"/>
        </w:rPr>
        <w:t>nominee’s</w:t>
      </w:r>
      <w:r>
        <w:rPr>
          <w:spacing w:val="18"/>
          <w:w w:val="105"/>
        </w:rPr>
        <w:t> </w:t>
      </w:r>
      <w:r>
        <w:rPr>
          <w:w w:val="105"/>
        </w:rPr>
        <w:t>instructions</w:t>
      </w:r>
      <w:r>
        <w:rPr>
          <w:spacing w:val="18"/>
          <w:w w:val="105"/>
        </w:rPr>
        <w:t> </w:t>
      </w:r>
      <w:r>
        <w:rPr>
          <w:w w:val="105"/>
        </w:rPr>
        <w:t>on</w:t>
      </w:r>
      <w:r>
        <w:rPr>
          <w:spacing w:val="18"/>
          <w:w w:val="105"/>
        </w:rPr>
        <w:t> </w:t>
      </w:r>
      <w:r>
        <w:rPr>
          <w:w w:val="105"/>
        </w:rPr>
        <w:t>how</w:t>
      </w:r>
      <w:r>
        <w:rPr>
          <w:spacing w:val="18"/>
          <w:w w:val="105"/>
        </w:rPr>
        <w:t> </w:t>
      </w:r>
      <w:r>
        <w:rPr>
          <w:w w:val="105"/>
        </w:rPr>
        <w:t>to</w:t>
      </w:r>
      <w:r>
        <w:rPr>
          <w:spacing w:val="18"/>
          <w:w w:val="105"/>
        </w:rPr>
        <w:t> </w:t>
      </w:r>
      <w:r>
        <w:rPr>
          <w:w w:val="105"/>
        </w:rPr>
        <w:t>do</w:t>
      </w:r>
      <w:r>
        <w:rPr>
          <w:spacing w:val="18"/>
          <w:w w:val="105"/>
        </w:rPr>
        <w:t> </w:t>
      </w:r>
      <w:r>
        <w:rPr>
          <w:w w:val="105"/>
        </w:rPr>
        <w:t>so. If</w:t>
      </w:r>
      <w:r>
        <w:rPr>
          <w:spacing w:val="19"/>
          <w:w w:val="105"/>
        </w:rPr>
        <w:t> </w:t>
      </w:r>
      <w:r>
        <w:rPr>
          <w:w w:val="105"/>
        </w:rPr>
        <w:t>you</w:t>
      </w:r>
      <w:r>
        <w:rPr>
          <w:spacing w:val="19"/>
          <w:w w:val="105"/>
        </w:rPr>
        <w:t> </w:t>
      </w:r>
      <w:r>
        <w:rPr>
          <w:w w:val="105"/>
        </w:rPr>
        <w:t>wish</w:t>
      </w:r>
      <w:r>
        <w:rPr>
          <w:spacing w:val="19"/>
          <w:w w:val="105"/>
        </w:rPr>
        <w:t> </w:t>
      </w:r>
      <w:r>
        <w:rPr>
          <w:w w:val="105"/>
        </w:rPr>
        <w:t>to</w:t>
      </w:r>
      <w:r>
        <w:rPr>
          <w:spacing w:val="19"/>
          <w:w w:val="105"/>
        </w:rPr>
        <w:t> </w:t>
      </w:r>
      <w:r>
        <w:rPr>
          <w:w w:val="105"/>
        </w:rPr>
        <w:t>vote</w:t>
      </w:r>
      <w:r>
        <w:rPr>
          <w:spacing w:val="19"/>
          <w:w w:val="105"/>
        </w:rPr>
        <w:t> </w:t>
      </w:r>
      <w:r>
        <w:rPr>
          <w:w w:val="105"/>
        </w:rPr>
        <w:t>online</w:t>
      </w:r>
      <w:r>
        <w:rPr>
          <w:spacing w:val="19"/>
          <w:w w:val="105"/>
        </w:rPr>
        <w:t> </w:t>
      </w:r>
      <w:r>
        <w:rPr>
          <w:w w:val="105"/>
        </w:rPr>
        <w:t>at</w:t>
      </w:r>
      <w:r>
        <w:rPr>
          <w:spacing w:val="19"/>
          <w:w w:val="105"/>
        </w:rPr>
        <w:t> </w:t>
      </w:r>
      <w:r>
        <w:rPr>
          <w:w w:val="105"/>
        </w:rPr>
        <w:t>the</w:t>
      </w:r>
      <w:r>
        <w:rPr>
          <w:spacing w:val="19"/>
          <w:w w:val="105"/>
        </w:rPr>
        <w:t> </w:t>
      </w:r>
      <w:r>
        <w:rPr>
          <w:w w:val="105"/>
        </w:rPr>
        <w:t>virtual</w:t>
      </w:r>
      <w:r>
        <w:rPr>
          <w:spacing w:val="19"/>
          <w:w w:val="105"/>
        </w:rPr>
        <w:t> </w:t>
      </w:r>
      <w:r>
        <w:rPr>
          <w:w w:val="105"/>
        </w:rPr>
        <w:t>meeting,</w:t>
      </w:r>
      <w:r>
        <w:rPr>
          <w:spacing w:val="19"/>
          <w:w w:val="105"/>
        </w:rPr>
        <w:t> </w:t>
      </w:r>
      <w:r>
        <w:rPr>
          <w:w w:val="105"/>
        </w:rPr>
        <w:t>you</w:t>
      </w:r>
      <w:r>
        <w:rPr>
          <w:spacing w:val="19"/>
          <w:w w:val="105"/>
        </w:rPr>
        <w:t> </w:t>
      </w:r>
      <w:r>
        <w:rPr>
          <w:w w:val="105"/>
        </w:rPr>
        <w:t>must</w:t>
      </w:r>
      <w:r>
        <w:rPr>
          <w:spacing w:val="19"/>
          <w:w w:val="105"/>
        </w:rPr>
        <w:t> </w:t>
      </w:r>
      <w:r>
        <w:rPr>
          <w:w w:val="105"/>
        </w:rPr>
        <w:t>obtain</w:t>
      </w:r>
      <w:r>
        <w:rPr>
          <w:spacing w:val="19"/>
          <w:w w:val="105"/>
        </w:rPr>
        <w:t> </w:t>
      </w:r>
      <w:r>
        <w:rPr>
          <w:w w:val="105"/>
        </w:rPr>
        <w:t>a</w:t>
      </w:r>
      <w:r>
        <w:rPr>
          <w:spacing w:val="19"/>
          <w:w w:val="105"/>
        </w:rPr>
        <w:t> </w:t>
      </w:r>
      <w:r>
        <w:rPr>
          <w:w w:val="105"/>
        </w:rPr>
        <w:t>legal</w:t>
      </w:r>
      <w:r>
        <w:rPr>
          <w:spacing w:val="19"/>
          <w:w w:val="105"/>
        </w:rPr>
        <w:t> </w:t>
      </w:r>
      <w:r>
        <w:rPr>
          <w:w w:val="105"/>
        </w:rPr>
        <w:t>proxy</w:t>
      </w:r>
      <w:r>
        <w:rPr>
          <w:spacing w:val="19"/>
          <w:w w:val="105"/>
        </w:rPr>
        <w:t> </w:t>
      </w:r>
      <w:r>
        <w:rPr>
          <w:w w:val="105"/>
        </w:rPr>
        <w:t>from</w:t>
      </w:r>
      <w:r>
        <w:rPr>
          <w:spacing w:val="19"/>
          <w:w w:val="105"/>
        </w:rPr>
        <w:t> </w:t>
      </w:r>
      <w:r>
        <w:rPr>
          <w:w w:val="105"/>
        </w:rPr>
        <w:t>the</w:t>
      </w:r>
      <w:r>
        <w:rPr>
          <w:spacing w:val="19"/>
          <w:w w:val="105"/>
        </w:rPr>
        <w:t> </w:t>
      </w:r>
      <w:r>
        <w:rPr>
          <w:w w:val="105"/>
        </w:rPr>
        <w:t>broker,</w:t>
      </w:r>
      <w:r>
        <w:rPr>
          <w:spacing w:val="19"/>
          <w:w w:val="105"/>
        </w:rPr>
        <w:t> </w:t>
      </w:r>
      <w:r>
        <w:rPr>
          <w:w w:val="105"/>
        </w:rPr>
        <w:t>bank, or other nominee holding your shares.</w:t>
      </w:r>
    </w:p>
    <w:p>
      <w:pPr>
        <w:pStyle w:val="Heading2"/>
        <w:spacing w:before="132"/>
      </w:pPr>
      <w:r>
        <w:rPr>
          <w:spacing w:val="-4"/>
          <w:w w:val="105"/>
        </w:rPr>
        <w:t>Q:</w:t>
      </w:r>
      <w:r>
        <w:rPr>
          <w:spacing w:val="77"/>
          <w:w w:val="150"/>
        </w:rPr>
        <w:t> </w:t>
      </w:r>
      <w:r>
        <w:rPr>
          <w:spacing w:val="-4"/>
          <w:w w:val="105"/>
        </w:rPr>
        <w:t>What</w:t>
      </w:r>
      <w:r>
        <w:rPr>
          <w:spacing w:val="-8"/>
          <w:w w:val="105"/>
        </w:rPr>
        <w:t> </w:t>
      </w:r>
      <w:r>
        <w:rPr>
          <w:spacing w:val="-4"/>
          <w:w w:val="105"/>
        </w:rPr>
        <w:t>is</w:t>
      </w:r>
      <w:r>
        <w:rPr>
          <w:spacing w:val="-8"/>
          <w:w w:val="105"/>
        </w:rPr>
        <w:t> </w:t>
      </w:r>
      <w:r>
        <w:rPr>
          <w:spacing w:val="-4"/>
          <w:w w:val="105"/>
        </w:rPr>
        <w:t>the</w:t>
      </w:r>
      <w:r>
        <w:rPr>
          <w:spacing w:val="-9"/>
          <w:w w:val="105"/>
        </w:rPr>
        <w:t> </w:t>
      </w:r>
      <w:r>
        <w:rPr>
          <w:spacing w:val="-4"/>
          <w:w w:val="105"/>
        </w:rPr>
        <w:t>deadline</w:t>
      </w:r>
      <w:r>
        <w:rPr>
          <w:spacing w:val="-8"/>
          <w:w w:val="105"/>
        </w:rPr>
        <w:t> </w:t>
      </w:r>
      <w:r>
        <w:rPr>
          <w:spacing w:val="-4"/>
          <w:w w:val="105"/>
        </w:rPr>
        <w:t>for</w:t>
      </w:r>
      <w:r>
        <w:rPr>
          <w:spacing w:val="-12"/>
          <w:w w:val="105"/>
        </w:rPr>
        <w:t> </w:t>
      </w:r>
      <w:r>
        <w:rPr>
          <w:spacing w:val="-4"/>
          <w:w w:val="105"/>
        </w:rPr>
        <w:t>submitting</w:t>
      </w:r>
      <w:r>
        <w:rPr>
          <w:spacing w:val="-8"/>
          <w:w w:val="105"/>
        </w:rPr>
        <w:t> </w:t>
      </w:r>
      <w:r>
        <w:rPr>
          <w:spacing w:val="-4"/>
          <w:w w:val="105"/>
        </w:rPr>
        <w:t>a</w:t>
      </w:r>
      <w:r>
        <w:rPr>
          <w:spacing w:val="-9"/>
          <w:w w:val="105"/>
        </w:rPr>
        <w:t> </w:t>
      </w:r>
      <w:r>
        <w:rPr>
          <w:spacing w:val="-4"/>
          <w:w w:val="105"/>
        </w:rPr>
        <w:t>proxy?</w:t>
      </w:r>
    </w:p>
    <w:p>
      <w:pPr>
        <w:pStyle w:val="BodyText"/>
        <w:spacing w:line="259" w:lineRule="auto" w:before="156"/>
        <w:ind w:left="1772" w:right="1680" w:hanging="373"/>
      </w:pPr>
      <w:r>
        <w:rPr>
          <w:w w:val="105"/>
        </w:rPr>
        <w:t>A:</w:t>
      </w:r>
      <w:r>
        <w:rPr>
          <w:spacing w:val="40"/>
          <w:w w:val="105"/>
        </w:rPr>
        <w:t>  </w:t>
      </w:r>
      <w:r>
        <w:rPr>
          <w:w w:val="105"/>
        </w:rPr>
        <w:t>Telephone and Internet voting facilities for stockholders of record will be available 24 hours a day. To</w:t>
      </w:r>
      <w:r>
        <w:rPr>
          <w:spacing w:val="80"/>
          <w:w w:val="105"/>
        </w:rPr>
        <w:t> </w:t>
      </w:r>
      <w:r>
        <w:rPr>
          <w:w w:val="105"/>
        </w:rPr>
        <w:t>be</w:t>
      </w:r>
      <w:r>
        <w:rPr>
          <w:spacing w:val="23"/>
          <w:w w:val="105"/>
        </w:rPr>
        <w:t> </w:t>
      </w:r>
      <w:r>
        <w:rPr>
          <w:w w:val="105"/>
        </w:rPr>
        <w:t>counted,</w:t>
      </w:r>
      <w:r>
        <w:rPr>
          <w:spacing w:val="23"/>
          <w:w w:val="105"/>
        </w:rPr>
        <w:t> </w:t>
      </w:r>
      <w:r>
        <w:rPr>
          <w:w w:val="105"/>
        </w:rPr>
        <w:t>proxies</w:t>
      </w:r>
      <w:r>
        <w:rPr>
          <w:spacing w:val="23"/>
          <w:w w:val="105"/>
        </w:rPr>
        <w:t> </w:t>
      </w:r>
      <w:r>
        <w:rPr>
          <w:w w:val="105"/>
        </w:rPr>
        <w:t>submitted</w:t>
      </w:r>
      <w:r>
        <w:rPr>
          <w:spacing w:val="23"/>
          <w:w w:val="105"/>
        </w:rPr>
        <w:t> </w:t>
      </w:r>
      <w:r>
        <w:rPr>
          <w:w w:val="105"/>
        </w:rPr>
        <w:t>by</w:t>
      </w:r>
      <w:r>
        <w:rPr>
          <w:spacing w:val="23"/>
          <w:w w:val="105"/>
        </w:rPr>
        <w:t> </w:t>
      </w:r>
      <w:r>
        <w:rPr>
          <w:w w:val="105"/>
        </w:rPr>
        <w:t>telephone</w:t>
      </w:r>
      <w:r>
        <w:rPr>
          <w:spacing w:val="23"/>
          <w:w w:val="105"/>
        </w:rPr>
        <w:t> </w:t>
      </w:r>
      <w:r>
        <w:rPr>
          <w:w w:val="105"/>
        </w:rPr>
        <w:t>or</w:t>
      </w:r>
      <w:r>
        <w:rPr>
          <w:spacing w:val="23"/>
          <w:w w:val="105"/>
        </w:rPr>
        <w:t> </w:t>
      </w:r>
      <w:r>
        <w:rPr>
          <w:w w:val="105"/>
        </w:rPr>
        <w:t>the</w:t>
      </w:r>
      <w:r>
        <w:rPr>
          <w:spacing w:val="23"/>
          <w:w w:val="105"/>
        </w:rPr>
        <w:t> </w:t>
      </w:r>
      <w:r>
        <w:rPr>
          <w:w w:val="105"/>
        </w:rPr>
        <w:t>Internet</w:t>
      </w:r>
      <w:r>
        <w:rPr>
          <w:spacing w:val="23"/>
          <w:w w:val="105"/>
        </w:rPr>
        <w:t> </w:t>
      </w:r>
      <w:r>
        <w:rPr>
          <w:w w:val="105"/>
        </w:rPr>
        <w:t>must</w:t>
      </w:r>
      <w:r>
        <w:rPr>
          <w:spacing w:val="23"/>
          <w:w w:val="105"/>
        </w:rPr>
        <w:t> </w:t>
      </w:r>
      <w:r>
        <w:rPr>
          <w:w w:val="105"/>
        </w:rPr>
        <w:t>be</w:t>
      </w:r>
      <w:r>
        <w:rPr>
          <w:spacing w:val="23"/>
          <w:w w:val="105"/>
        </w:rPr>
        <w:t> </w:t>
      </w:r>
      <w:r>
        <w:rPr>
          <w:w w:val="105"/>
        </w:rPr>
        <w:t>received</w:t>
      </w:r>
      <w:r>
        <w:rPr>
          <w:spacing w:val="23"/>
          <w:w w:val="105"/>
        </w:rPr>
        <w:t> </w:t>
      </w:r>
      <w:r>
        <w:rPr>
          <w:w w:val="105"/>
        </w:rPr>
        <w:t>by</w:t>
      </w:r>
      <w:r>
        <w:rPr>
          <w:spacing w:val="23"/>
          <w:w w:val="105"/>
        </w:rPr>
        <w:t> </w:t>
      </w:r>
      <w:r>
        <w:rPr>
          <w:w w:val="105"/>
        </w:rPr>
        <w:t>11:59</w:t>
      </w:r>
      <w:r>
        <w:rPr>
          <w:spacing w:val="23"/>
          <w:w w:val="105"/>
        </w:rPr>
        <w:t> </w:t>
      </w:r>
      <w:r>
        <w:rPr>
          <w:w w:val="105"/>
        </w:rPr>
        <w:t>p.m.</w:t>
      </w:r>
      <w:r>
        <w:rPr>
          <w:spacing w:val="23"/>
          <w:w w:val="105"/>
        </w:rPr>
        <w:t> </w:t>
      </w:r>
      <w:r>
        <w:rPr>
          <w:w w:val="105"/>
        </w:rPr>
        <w:t>Eastern Time on February 8, 2023. Proxies submitted by mail must be received prior to the start of the Annual </w:t>
      </w:r>
      <w:r>
        <w:rPr>
          <w:spacing w:val="-2"/>
          <w:w w:val="105"/>
        </w:rPr>
        <w:t>Meeting.</w:t>
      </w:r>
    </w:p>
    <w:p>
      <w:pPr>
        <w:pStyle w:val="Heading2"/>
        <w:spacing w:before="140"/>
      </w:pPr>
      <w:r>
        <w:rPr>
          <w:spacing w:val="-2"/>
          <w:w w:val="105"/>
        </w:rPr>
        <w:t>Q:</w:t>
      </w:r>
      <w:r>
        <w:rPr>
          <w:spacing w:val="75"/>
          <w:w w:val="105"/>
        </w:rPr>
        <w:t> </w:t>
      </w:r>
      <w:r>
        <w:rPr>
          <w:spacing w:val="-2"/>
          <w:w w:val="105"/>
        </w:rPr>
        <w:t>What</w:t>
      </w:r>
      <w:r>
        <w:rPr>
          <w:spacing w:val="-10"/>
          <w:w w:val="105"/>
        </w:rPr>
        <w:t> </w:t>
      </w:r>
      <w:r>
        <w:rPr>
          <w:spacing w:val="-2"/>
          <w:w w:val="105"/>
        </w:rPr>
        <w:t>constitutes</w:t>
      </w:r>
      <w:r>
        <w:rPr>
          <w:spacing w:val="-9"/>
          <w:w w:val="105"/>
        </w:rPr>
        <w:t> </w:t>
      </w:r>
      <w:r>
        <w:rPr>
          <w:spacing w:val="-2"/>
          <w:w w:val="105"/>
        </w:rPr>
        <w:t>a</w:t>
      </w:r>
      <w:r>
        <w:rPr>
          <w:spacing w:val="-10"/>
          <w:w w:val="105"/>
        </w:rPr>
        <w:t> </w:t>
      </w:r>
      <w:r>
        <w:rPr>
          <w:spacing w:val="-2"/>
          <w:w w:val="105"/>
        </w:rPr>
        <w:t>quorum?</w:t>
      </w:r>
    </w:p>
    <w:p>
      <w:pPr>
        <w:pStyle w:val="BodyText"/>
        <w:spacing w:line="259" w:lineRule="auto" w:before="157"/>
        <w:ind w:left="1772" w:right="1680" w:hanging="373"/>
      </w:pPr>
      <w:r>
        <w:rPr>
          <w:w w:val="105"/>
        </w:rPr>
        <w:t>A:</w:t>
      </w:r>
      <w:r>
        <w:rPr>
          <w:spacing w:val="80"/>
          <w:w w:val="150"/>
        </w:rPr>
        <w:t> </w:t>
      </w:r>
      <w:r>
        <w:rPr>
          <w:w w:val="105"/>
        </w:rPr>
        <w:t>On the record date, we had 40,087,100 shares of common stock, $0.01 par value, outstanding. Voting</w:t>
      </w:r>
      <w:r>
        <w:rPr>
          <w:spacing w:val="40"/>
          <w:w w:val="105"/>
        </w:rPr>
        <w:t> </w:t>
      </w:r>
      <w:r>
        <w:rPr>
          <w:w w:val="105"/>
        </w:rPr>
        <w:t>can take place at the Annual Meeting only if stockholders owning a majority of the issued and outstanding stock entitled to vote at the Annual Meeting are present online at the virtual meeting or represented by proxy.</w:t>
      </w:r>
    </w:p>
    <w:p>
      <w:pPr>
        <w:pStyle w:val="Heading2"/>
        <w:spacing w:before="140"/>
      </w:pPr>
      <w:r>
        <w:rPr/>
        <w:t>Q:</w:t>
      </w:r>
      <w:r>
        <w:rPr>
          <w:spacing w:val="33"/>
        </w:rPr>
        <w:t>  </w:t>
      </w:r>
      <w:r>
        <w:rPr/>
        <w:t>What</w:t>
      </w:r>
      <w:r>
        <w:rPr>
          <w:spacing w:val="-8"/>
        </w:rPr>
        <w:t> </w:t>
      </w:r>
      <w:r>
        <w:rPr/>
        <w:t>are</w:t>
      </w:r>
      <w:r>
        <w:rPr>
          <w:spacing w:val="-8"/>
        </w:rPr>
        <w:t> </w:t>
      </w:r>
      <w:r>
        <w:rPr/>
        <w:t>abstentions</w:t>
      </w:r>
      <w:r>
        <w:rPr>
          <w:spacing w:val="-9"/>
        </w:rPr>
        <w:t> </w:t>
      </w:r>
      <w:r>
        <w:rPr/>
        <w:t>and</w:t>
      </w:r>
      <w:r>
        <w:rPr>
          <w:spacing w:val="-8"/>
        </w:rPr>
        <w:t> </w:t>
      </w:r>
      <w:r>
        <w:rPr/>
        <w:t>broker</w:t>
      </w:r>
      <w:r>
        <w:rPr>
          <w:spacing w:val="-11"/>
        </w:rPr>
        <w:t> </w:t>
      </w:r>
      <w:r>
        <w:rPr/>
        <w:t>non-votes</w:t>
      </w:r>
      <w:r>
        <w:rPr>
          <w:spacing w:val="-9"/>
        </w:rPr>
        <w:t> </w:t>
      </w:r>
      <w:r>
        <w:rPr/>
        <w:t>and</w:t>
      </w:r>
      <w:r>
        <w:rPr>
          <w:spacing w:val="-8"/>
        </w:rPr>
        <w:t> </w:t>
      </w:r>
      <w:r>
        <w:rPr/>
        <w:t>how</w:t>
      </w:r>
      <w:r>
        <w:rPr>
          <w:spacing w:val="-9"/>
        </w:rPr>
        <w:t> </w:t>
      </w:r>
      <w:r>
        <w:rPr/>
        <w:t>do</w:t>
      </w:r>
      <w:r>
        <w:rPr>
          <w:spacing w:val="-8"/>
        </w:rPr>
        <w:t> </w:t>
      </w:r>
      <w:r>
        <w:rPr/>
        <w:t>they</w:t>
      </w:r>
      <w:r>
        <w:rPr>
          <w:spacing w:val="-9"/>
        </w:rPr>
        <w:t> </w:t>
      </w:r>
      <w:r>
        <w:rPr/>
        <w:t>affect</w:t>
      </w:r>
      <w:r>
        <w:rPr>
          <w:spacing w:val="-8"/>
        </w:rPr>
        <w:t> </w:t>
      </w:r>
      <w:r>
        <w:rPr>
          <w:spacing w:val="-2"/>
        </w:rPr>
        <w:t>voting?</w:t>
      </w:r>
    </w:p>
    <w:p>
      <w:pPr>
        <w:pStyle w:val="BodyText"/>
        <w:spacing w:line="259" w:lineRule="auto" w:before="143"/>
        <w:ind w:left="1772" w:right="1423" w:hanging="373"/>
      </w:pPr>
      <w:r>
        <w:rPr>
          <w:w w:val="105"/>
        </w:rPr>
        <w:t>A:</w:t>
      </w:r>
      <w:r>
        <w:rPr>
          <w:spacing w:val="40"/>
          <w:w w:val="105"/>
        </w:rPr>
        <w:t>  </w:t>
      </w:r>
      <w:r>
        <w:rPr>
          <w:i/>
          <w:w w:val="105"/>
        </w:rPr>
        <w:t>Abstentions — </w:t>
      </w:r>
      <w:r>
        <w:rPr>
          <w:w w:val="105"/>
        </w:rPr>
        <w:t>If you specify that you wish to “abstain” from voting on an item, your shares will not be</w:t>
      </w:r>
      <w:r>
        <w:rPr>
          <w:spacing w:val="40"/>
          <w:w w:val="105"/>
        </w:rPr>
        <w:t> </w:t>
      </w:r>
      <w:r>
        <w:rPr>
          <w:w w:val="105"/>
        </w:rPr>
        <w:t>voted</w:t>
      </w:r>
      <w:r>
        <w:rPr>
          <w:spacing w:val="26"/>
          <w:w w:val="105"/>
        </w:rPr>
        <w:t> </w:t>
      </w:r>
      <w:r>
        <w:rPr>
          <w:w w:val="105"/>
        </w:rPr>
        <w:t>on</w:t>
      </w:r>
      <w:r>
        <w:rPr>
          <w:spacing w:val="26"/>
          <w:w w:val="105"/>
        </w:rPr>
        <w:t> </w:t>
      </w:r>
      <w:r>
        <w:rPr>
          <w:w w:val="105"/>
        </w:rPr>
        <w:t>that</w:t>
      </w:r>
      <w:r>
        <w:rPr>
          <w:spacing w:val="26"/>
          <w:w w:val="105"/>
        </w:rPr>
        <w:t> </w:t>
      </w:r>
      <w:r>
        <w:rPr>
          <w:w w:val="105"/>
        </w:rPr>
        <w:t>item. Abstentions</w:t>
      </w:r>
      <w:r>
        <w:rPr>
          <w:spacing w:val="26"/>
          <w:w w:val="105"/>
        </w:rPr>
        <w:t> </w:t>
      </w:r>
      <w:r>
        <w:rPr>
          <w:w w:val="105"/>
        </w:rPr>
        <w:t>are</w:t>
      </w:r>
      <w:r>
        <w:rPr>
          <w:spacing w:val="26"/>
          <w:w w:val="105"/>
        </w:rPr>
        <w:t> </w:t>
      </w:r>
      <w:r>
        <w:rPr>
          <w:w w:val="105"/>
        </w:rPr>
        <w:t>counted</w:t>
      </w:r>
      <w:r>
        <w:rPr>
          <w:spacing w:val="26"/>
          <w:w w:val="105"/>
        </w:rPr>
        <w:t> </w:t>
      </w:r>
      <w:r>
        <w:rPr>
          <w:w w:val="105"/>
        </w:rPr>
        <w:t>toward</w:t>
      </w:r>
      <w:r>
        <w:rPr>
          <w:spacing w:val="26"/>
          <w:w w:val="105"/>
        </w:rPr>
        <w:t> </w:t>
      </w:r>
      <w:r>
        <w:rPr>
          <w:w w:val="105"/>
        </w:rPr>
        <w:t>establishing</w:t>
      </w:r>
      <w:r>
        <w:rPr>
          <w:spacing w:val="26"/>
          <w:w w:val="105"/>
        </w:rPr>
        <w:t> </w:t>
      </w:r>
      <w:r>
        <w:rPr>
          <w:w w:val="105"/>
        </w:rPr>
        <w:t>a</w:t>
      </w:r>
      <w:r>
        <w:rPr>
          <w:spacing w:val="26"/>
          <w:w w:val="105"/>
        </w:rPr>
        <w:t> </w:t>
      </w:r>
      <w:r>
        <w:rPr>
          <w:w w:val="105"/>
        </w:rPr>
        <w:t>quorum. Abstentions</w:t>
      </w:r>
      <w:r>
        <w:rPr>
          <w:spacing w:val="26"/>
          <w:w w:val="105"/>
        </w:rPr>
        <w:t> </w:t>
      </w:r>
      <w:r>
        <w:rPr>
          <w:w w:val="105"/>
        </w:rPr>
        <w:t>have</w:t>
      </w:r>
      <w:r>
        <w:rPr>
          <w:spacing w:val="26"/>
          <w:w w:val="105"/>
        </w:rPr>
        <w:t> </w:t>
      </w:r>
      <w:r>
        <w:rPr>
          <w:w w:val="105"/>
        </w:rPr>
        <w:t>no</w:t>
      </w:r>
      <w:r>
        <w:rPr>
          <w:spacing w:val="26"/>
          <w:w w:val="105"/>
        </w:rPr>
        <w:t> </w:t>
      </w:r>
      <w:r>
        <w:rPr>
          <w:w w:val="105"/>
        </w:rPr>
        <w:t>effect on</w:t>
      </w:r>
      <w:r>
        <w:rPr>
          <w:spacing w:val="17"/>
          <w:w w:val="105"/>
        </w:rPr>
        <w:t> </w:t>
      </w:r>
      <w:r>
        <w:rPr>
          <w:w w:val="105"/>
        </w:rPr>
        <w:t>the</w:t>
      </w:r>
      <w:r>
        <w:rPr>
          <w:spacing w:val="17"/>
          <w:w w:val="105"/>
        </w:rPr>
        <w:t> </w:t>
      </w:r>
      <w:r>
        <w:rPr>
          <w:w w:val="105"/>
        </w:rPr>
        <w:t>election</w:t>
      </w:r>
      <w:r>
        <w:rPr>
          <w:spacing w:val="17"/>
          <w:w w:val="105"/>
        </w:rPr>
        <w:t> </w:t>
      </w:r>
      <w:r>
        <w:rPr>
          <w:w w:val="105"/>
        </w:rPr>
        <w:t>of</w:t>
      </w:r>
      <w:r>
        <w:rPr>
          <w:spacing w:val="17"/>
          <w:w w:val="105"/>
        </w:rPr>
        <w:t> </w:t>
      </w:r>
      <w:r>
        <w:rPr>
          <w:w w:val="105"/>
        </w:rPr>
        <w:t>directors</w:t>
      </w:r>
      <w:r>
        <w:rPr>
          <w:spacing w:val="17"/>
          <w:w w:val="105"/>
        </w:rPr>
        <w:t> </w:t>
      </w:r>
      <w:r>
        <w:rPr>
          <w:w w:val="105"/>
        </w:rPr>
        <w:t>but</w:t>
      </w:r>
      <w:r>
        <w:rPr>
          <w:spacing w:val="17"/>
          <w:w w:val="105"/>
        </w:rPr>
        <w:t> </w:t>
      </w:r>
      <w:r>
        <w:rPr>
          <w:w w:val="105"/>
        </w:rPr>
        <w:t>are</w:t>
      </w:r>
      <w:r>
        <w:rPr>
          <w:spacing w:val="17"/>
          <w:w w:val="105"/>
        </w:rPr>
        <w:t> </w:t>
      </w:r>
      <w:r>
        <w:rPr>
          <w:w w:val="105"/>
        </w:rPr>
        <w:t>included</w:t>
      </w:r>
      <w:r>
        <w:rPr>
          <w:spacing w:val="17"/>
          <w:w w:val="105"/>
        </w:rPr>
        <w:t> </w:t>
      </w:r>
      <w:r>
        <w:rPr>
          <w:w w:val="105"/>
        </w:rPr>
        <w:t>in</w:t>
      </w:r>
      <w:r>
        <w:rPr>
          <w:spacing w:val="17"/>
          <w:w w:val="105"/>
        </w:rPr>
        <w:t> </w:t>
      </w:r>
      <w:r>
        <w:rPr>
          <w:w w:val="105"/>
        </w:rPr>
        <w:t>the</w:t>
      </w:r>
      <w:r>
        <w:rPr>
          <w:spacing w:val="17"/>
          <w:w w:val="105"/>
        </w:rPr>
        <w:t> </w:t>
      </w:r>
      <w:r>
        <w:rPr>
          <w:w w:val="105"/>
        </w:rPr>
        <w:t>shares</w:t>
      </w:r>
      <w:r>
        <w:rPr>
          <w:spacing w:val="17"/>
          <w:w w:val="105"/>
        </w:rPr>
        <w:t> </w:t>
      </w:r>
      <w:r>
        <w:rPr>
          <w:w w:val="105"/>
        </w:rPr>
        <w:t>entitled</w:t>
      </w:r>
      <w:r>
        <w:rPr>
          <w:spacing w:val="17"/>
          <w:w w:val="105"/>
        </w:rPr>
        <w:t> </w:t>
      </w:r>
      <w:r>
        <w:rPr>
          <w:w w:val="105"/>
        </w:rPr>
        <w:t>to</w:t>
      </w:r>
      <w:r>
        <w:rPr>
          <w:spacing w:val="17"/>
          <w:w w:val="105"/>
        </w:rPr>
        <w:t> </w:t>
      </w:r>
      <w:r>
        <w:rPr>
          <w:w w:val="105"/>
        </w:rPr>
        <w:t>vote</w:t>
      </w:r>
      <w:r>
        <w:rPr>
          <w:spacing w:val="17"/>
          <w:w w:val="105"/>
        </w:rPr>
        <w:t> </w:t>
      </w:r>
      <w:r>
        <w:rPr>
          <w:w w:val="105"/>
        </w:rPr>
        <w:t>on</w:t>
      </w:r>
      <w:r>
        <w:rPr>
          <w:spacing w:val="17"/>
          <w:w w:val="105"/>
        </w:rPr>
        <w:t> </w:t>
      </w:r>
      <w:r>
        <w:rPr>
          <w:w w:val="105"/>
        </w:rPr>
        <w:t>Proposals Two</w:t>
      </w:r>
      <w:r>
        <w:rPr>
          <w:spacing w:val="17"/>
          <w:w w:val="105"/>
        </w:rPr>
        <w:t> </w:t>
      </w:r>
      <w:r>
        <w:rPr>
          <w:w w:val="105"/>
        </w:rPr>
        <w:t>and Three. On Proposals Two and Three, abstentions have the effect of a vote against the proposal.</w:t>
      </w:r>
    </w:p>
    <w:p>
      <w:pPr>
        <w:pStyle w:val="BodyText"/>
        <w:spacing w:line="249" w:lineRule="auto" w:before="154"/>
        <w:ind w:left="1772" w:right="1427"/>
      </w:pPr>
      <w:r>
        <w:rPr>
          <w:i/>
          <w:w w:val="105"/>
        </w:rPr>
        <w:t>Broker</w:t>
      </w:r>
      <w:r>
        <w:rPr>
          <w:i/>
          <w:spacing w:val="20"/>
          <w:w w:val="105"/>
        </w:rPr>
        <w:t> </w:t>
      </w:r>
      <w:r>
        <w:rPr>
          <w:i/>
          <w:w w:val="105"/>
        </w:rPr>
        <w:t>Non-Votes</w:t>
      </w:r>
      <w:r>
        <w:rPr>
          <w:i/>
          <w:spacing w:val="20"/>
          <w:w w:val="105"/>
        </w:rPr>
        <w:t> </w:t>
      </w:r>
      <w:r>
        <w:rPr>
          <w:i/>
          <w:w w:val="105"/>
        </w:rPr>
        <w:t>—</w:t>
      </w:r>
      <w:r>
        <w:rPr>
          <w:i/>
          <w:spacing w:val="20"/>
          <w:w w:val="105"/>
        </w:rPr>
        <w:t> </w:t>
      </w:r>
      <w:r>
        <w:rPr>
          <w:w w:val="105"/>
        </w:rPr>
        <w:t>If</w:t>
      </w:r>
      <w:r>
        <w:rPr>
          <w:spacing w:val="20"/>
          <w:w w:val="105"/>
        </w:rPr>
        <w:t> </w:t>
      </w:r>
      <w:r>
        <w:rPr>
          <w:w w:val="105"/>
        </w:rPr>
        <w:t>your</w:t>
      </w:r>
      <w:r>
        <w:rPr>
          <w:spacing w:val="20"/>
          <w:w w:val="105"/>
        </w:rPr>
        <w:t> </w:t>
      </w:r>
      <w:r>
        <w:rPr>
          <w:w w:val="105"/>
        </w:rPr>
        <w:t>broker</w:t>
      </w:r>
      <w:r>
        <w:rPr>
          <w:spacing w:val="20"/>
          <w:w w:val="105"/>
        </w:rPr>
        <w:t> </w:t>
      </w:r>
      <w:r>
        <w:rPr>
          <w:w w:val="105"/>
        </w:rPr>
        <w:t>holds</w:t>
      </w:r>
      <w:r>
        <w:rPr>
          <w:spacing w:val="20"/>
          <w:w w:val="105"/>
        </w:rPr>
        <w:t> </w:t>
      </w:r>
      <w:r>
        <w:rPr>
          <w:w w:val="105"/>
        </w:rPr>
        <w:t>your</w:t>
      </w:r>
      <w:r>
        <w:rPr>
          <w:spacing w:val="20"/>
          <w:w w:val="105"/>
        </w:rPr>
        <w:t> </w:t>
      </w:r>
      <w:r>
        <w:rPr>
          <w:w w:val="105"/>
        </w:rPr>
        <w:t>shares</w:t>
      </w:r>
      <w:r>
        <w:rPr>
          <w:spacing w:val="20"/>
          <w:w w:val="105"/>
        </w:rPr>
        <w:t> </w:t>
      </w:r>
      <w:r>
        <w:rPr>
          <w:w w:val="105"/>
        </w:rPr>
        <w:t>in</w:t>
      </w:r>
      <w:r>
        <w:rPr>
          <w:spacing w:val="20"/>
          <w:w w:val="105"/>
        </w:rPr>
        <w:t> </w:t>
      </w:r>
      <w:r>
        <w:rPr>
          <w:w w:val="105"/>
        </w:rPr>
        <w:t>its</w:t>
      </w:r>
      <w:r>
        <w:rPr>
          <w:spacing w:val="20"/>
          <w:w w:val="105"/>
        </w:rPr>
        <w:t> </w:t>
      </w:r>
      <w:r>
        <w:rPr>
          <w:w w:val="105"/>
        </w:rPr>
        <w:t>name</w:t>
      </w:r>
      <w:r>
        <w:rPr>
          <w:spacing w:val="20"/>
          <w:w w:val="105"/>
        </w:rPr>
        <w:t> </w:t>
      </w:r>
      <w:r>
        <w:rPr>
          <w:w w:val="105"/>
        </w:rPr>
        <w:t>and</w:t>
      </w:r>
      <w:r>
        <w:rPr>
          <w:spacing w:val="20"/>
          <w:w w:val="105"/>
        </w:rPr>
        <w:t> </w:t>
      </w:r>
      <w:r>
        <w:rPr>
          <w:w w:val="105"/>
        </w:rPr>
        <w:t>does</w:t>
      </w:r>
      <w:r>
        <w:rPr>
          <w:spacing w:val="20"/>
          <w:w w:val="105"/>
        </w:rPr>
        <w:t> </w:t>
      </w:r>
      <w:r>
        <w:rPr>
          <w:w w:val="105"/>
        </w:rPr>
        <w:t>not</w:t>
      </w:r>
      <w:r>
        <w:rPr>
          <w:spacing w:val="20"/>
          <w:w w:val="105"/>
        </w:rPr>
        <w:t> </w:t>
      </w:r>
      <w:r>
        <w:rPr>
          <w:w w:val="105"/>
        </w:rPr>
        <w:t>receive</w:t>
      </w:r>
      <w:r>
        <w:rPr>
          <w:spacing w:val="20"/>
          <w:w w:val="105"/>
        </w:rPr>
        <w:t> </w:t>
      </w:r>
      <w:r>
        <w:rPr>
          <w:w w:val="105"/>
        </w:rPr>
        <w:t>voting instructions</w:t>
      </w:r>
      <w:r>
        <w:rPr>
          <w:spacing w:val="16"/>
          <w:w w:val="105"/>
        </w:rPr>
        <w:t> </w:t>
      </w:r>
      <w:r>
        <w:rPr>
          <w:w w:val="105"/>
        </w:rPr>
        <w:t>from</w:t>
      </w:r>
      <w:r>
        <w:rPr>
          <w:spacing w:val="16"/>
          <w:w w:val="105"/>
        </w:rPr>
        <w:t> </w:t>
      </w:r>
      <w:r>
        <w:rPr>
          <w:w w:val="105"/>
        </w:rPr>
        <w:t>you,</w:t>
      </w:r>
      <w:r>
        <w:rPr>
          <w:spacing w:val="16"/>
          <w:w w:val="105"/>
        </w:rPr>
        <w:t> </w:t>
      </w:r>
      <w:r>
        <w:rPr>
          <w:w w:val="105"/>
        </w:rPr>
        <w:t>your</w:t>
      </w:r>
      <w:r>
        <w:rPr>
          <w:spacing w:val="16"/>
          <w:w w:val="105"/>
        </w:rPr>
        <w:t> </w:t>
      </w:r>
      <w:r>
        <w:rPr>
          <w:w w:val="105"/>
        </w:rPr>
        <w:t>broker</w:t>
      </w:r>
      <w:r>
        <w:rPr>
          <w:spacing w:val="16"/>
          <w:w w:val="105"/>
        </w:rPr>
        <w:t> </w:t>
      </w:r>
      <w:r>
        <w:rPr>
          <w:w w:val="105"/>
        </w:rPr>
        <w:t>has</w:t>
      </w:r>
      <w:r>
        <w:rPr>
          <w:spacing w:val="16"/>
          <w:w w:val="105"/>
        </w:rPr>
        <w:t> </w:t>
      </w:r>
      <w:r>
        <w:rPr>
          <w:w w:val="105"/>
        </w:rPr>
        <w:t>discretion</w:t>
      </w:r>
      <w:r>
        <w:rPr>
          <w:spacing w:val="16"/>
          <w:w w:val="105"/>
        </w:rPr>
        <w:t> </w:t>
      </w:r>
      <w:r>
        <w:rPr>
          <w:w w:val="105"/>
        </w:rPr>
        <w:t>to</w:t>
      </w:r>
      <w:r>
        <w:rPr>
          <w:spacing w:val="16"/>
          <w:w w:val="105"/>
        </w:rPr>
        <w:t> </w:t>
      </w:r>
      <w:r>
        <w:rPr>
          <w:w w:val="105"/>
        </w:rPr>
        <w:t>vote</w:t>
      </w:r>
      <w:r>
        <w:rPr>
          <w:spacing w:val="16"/>
          <w:w w:val="105"/>
        </w:rPr>
        <w:t> </w:t>
      </w:r>
      <w:r>
        <w:rPr>
          <w:w w:val="105"/>
        </w:rPr>
        <w:t>these</w:t>
      </w:r>
      <w:r>
        <w:rPr>
          <w:spacing w:val="16"/>
          <w:w w:val="105"/>
        </w:rPr>
        <w:t> </w:t>
      </w:r>
      <w:r>
        <w:rPr>
          <w:w w:val="105"/>
        </w:rPr>
        <w:t>shares</w:t>
      </w:r>
      <w:r>
        <w:rPr>
          <w:spacing w:val="16"/>
          <w:w w:val="105"/>
        </w:rPr>
        <w:t> </w:t>
      </w:r>
      <w:r>
        <w:rPr>
          <w:w w:val="105"/>
        </w:rPr>
        <w:t>on</w:t>
      </w:r>
      <w:r>
        <w:rPr>
          <w:spacing w:val="16"/>
          <w:w w:val="105"/>
        </w:rPr>
        <w:t> </w:t>
      </w:r>
      <w:r>
        <w:rPr>
          <w:w w:val="105"/>
        </w:rPr>
        <w:t>certain</w:t>
      </w:r>
      <w:r>
        <w:rPr>
          <w:spacing w:val="16"/>
          <w:w w:val="105"/>
        </w:rPr>
        <w:t> </w:t>
      </w:r>
      <w:r>
        <w:rPr>
          <w:w w:val="105"/>
        </w:rPr>
        <w:t>“routine”</w:t>
      </w:r>
      <w:r>
        <w:rPr>
          <w:spacing w:val="16"/>
          <w:w w:val="105"/>
        </w:rPr>
        <w:t> </w:t>
      </w:r>
      <w:r>
        <w:rPr>
          <w:w w:val="105"/>
        </w:rPr>
        <w:t>matters,</w:t>
      </w:r>
      <w:r>
        <w:rPr>
          <w:spacing w:val="16"/>
          <w:w w:val="105"/>
        </w:rPr>
        <w:t> </w:t>
      </w:r>
      <w:r>
        <w:rPr>
          <w:w w:val="105"/>
        </w:rPr>
        <w:t>such as</w:t>
      </w:r>
      <w:r>
        <w:rPr>
          <w:spacing w:val="28"/>
          <w:w w:val="105"/>
        </w:rPr>
        <w:t> </w:t>
      </w:r>
      <w:r>
        <w:rPr>
          <w:w w:val="105"/>
        </w:rPr>
        <w:t>the</w:t>
      </w:r>
      <w:r>
        <w:rPr>
          <w:spacing w:val="28"/>
          <w:w w:val="105"/>
        </w:rPr>
        <w:t> </w:t>
      </w:r>
      <w:r>
        <w:rPr>
          <w:w w:val="105"/>
        </w:rPr>
        <w:t>ratification</w:t>
      </w:r>
      <w:r>
        <w:rPr>
          <w:spacing w:val="28"/>
          <w:w w:val="105"/>
        </w:rPr>
        <w:t> </w:t>
      </w:r>
      <w:r>
        <w:rPr>
          <w:w w:val="105"/>
        </w:rPr>
        <w:t>of</w:t>
      </w:r>
      <w:r>
        <w:rPr>
          <w:spacing w:val="28"/>
          <w:w w:val="105"/>
        </w:rPr>
        <w:t> </w:t>
      </w:r>
      <w:r>
        <w:rPr>
          <w:w w:val="105"/>
        </w:rPr>
        <w:t>the</w:t>
      </w:r>
      <w:r>
        <w:rPr>
          <w:spacing w:val="28"/>
          <w:w w:val="105"/>
        </w:rPr>
        <w:t> </w:t>
      </w:r>
      <w:r>
        <w:rPr>
          <w:w w:val="105"/>
        </w:rPr>
        <w:t>appointment</w:t>
      </w:r>
      <w:r>
        <w:rPr>
          <w:spacing w:val="28"/>
          <w:w w:val="105"/>
        </w:rPr>
        <w:t> </w:t>
      </w:r>
      <w:r>
        <w:rPr>
          <w:w w:val="105"/>
        </w:rPr>
        <w:t>of</w:t>
      </w:r>
      <w:r>
        <w:rPr>
          <w:spacing w:val="28"/>
          <w:w w:val="105"/>
        </w:rPr>
        <w:t> </w:t>
      </w:r>
      <w:r>
        <w:rPr>
          <w:w w:val="105"/>
        </w:rPr>
        <w:t>the</w:t>
      </w:r>
      <w:r>
        <w:rPr>
          <w:spacing w:val="28"/>
          <w:w w:val="105"/>
        </w:rPr>
        <w:t> </w:t>
      </w:r>
      <w:r>
        <w:rPr>
          <w:w w:val="105"/>
        </w:rPr>
        <w:t>independent</w:t>
      </w:r>
      <w:r>
        <w:rPr>
          <w:spacing w:val="28"/>
          <w:w w:val="105"/>
        </w:rPr>
        <w:t> </w:t>
      </w:r>
      <w:r>
        <w:rPr>
          <w:w w:val="105"/>
        </w:rPr>
        <w:t>registered</w:t>
      </w:r>
      <w:r>
        <w:rPr>
          <w:spacing w:val="28"/>
          <w:w w:val="105"/>
        </w:rPr>
        <w:t> </w:t>
      </w:r>
      <w:r>
        <w:rPr>
          <w:w w:val="105"/>
        </w:rPr>
        <w:t>public</w:t>
      </w:r>
      <w:r>
        <w:rPr>
          <w:spacing w:val="28"/>
          <w:w w:val="105"/>
        </w:rPr>
        <w:t> </w:t>
      </w:r>
      <w:r>
        <w:rPr>
          <w:w w:val="105"/>
        </w:rPr>
        <w:t>accounting</w:t>
      </w:r>
      <w:r>
        <w:rPr>
          <w:spacing w:val="28"/>
          <w:w w:val="105"/>
        </w:rPr>
        <w:t> </w:t>
      </w:r>
      <w:r>
        <w:rPr>
          <w:w w:val="105"/>
        </w:rPr>
        <w:t>firm.</w:t>
      </w:r>
      <w:r>
        <w:rPr>
          <w:spacing w:val="28"/>
          <w:w w:val="105"/>
        </w:rPr>
        <w:t> </w:t>
      </w:r>
      <w:r>
        <w:rPr>
          <w:w w:val="105"/>
        </w:rPr>
        <w:t>However,</w:t>
      </w:r>
      <w:r>
        <w:rPr>
          <w:w w:val="105"/>
        </w:rPr>
        <w:t> on non-routine matters such as the election of directors and the advisory vote to approve executive</w:t>
      </w:r>
      <w:r>
        <w:rPr>
          <w:spacing w:val="40"/>
          <w:w w:val="105"/>
        </w:rPr>
        <w:t> </w:t>
      </w:r>
      <w:r>
        <w:rPr>
          <w:w w:val="105"/>
        </w:rPr>
        <w:t>compensation, your broker must receive voting instructions from you, as your broker does not have discretionary voting power for those particular items. So long as the broker has discretion to vote on at</w:t>
      </w:r>
      <w:r>
        <w:rPr>
          <w:spacing w:val="40"/>
          <w:w w:val="105"/>
        </w:rPr>
        <w:t> </w:t>
      </w:r>
      <w:r>
        <w:rPr>
          <w:w w:val="105"/>
        </w:rPr>
        <w:t>least one proposal, these “broker non-votes” are counted toward establishing a quorum but will have no</w:t>
      </w:r>
      <w:r>
        <w:rPr>
          <w:spacing w:val="40"/>
          <w:w w:val="105"/>
        </w:rPr>
        <w:t> </w:t>
      </w:r>
      <w:r>
        <w:rPr>
          <w:w w:val="105"/>
        </w:rPr>
        <w:t>effect on the proposal because they are not “entitled to vote” on the matter. When voted on “routine” matters, broker non-votes are counted toward determining the outcome of that “routine” matter.</w:t>
      </w:r>
    </w:p>
    <w:p>
      <w:pPr>
        <w:pStyle w:val="Heading2"/>
        <w:spacing w:before="132"/>
      </w:pPr>
      <w:r>
        <w:rPr>
          <w:w w:val="105"/>
        </w:rPr>
        <w:t>Q:</w:t>
      </w:r>
      <w:r>
        <w:rPr>
          <w:spacing w:val="79"/>
          <w:w w:val="105"/>
        </w:rPr>
        <w:t> </w:t>
      </w:r>
      <w:r>
        <w:rPr>
          <w:w w:val="105"/>
        </w:rPr>
        <w:t>What</w:t>
      </w:r>
      <w:r>
        <w:rPr>
          <w:spacing w:val="-12"/>
          <w:w w:val="105"/>
        </w:rPr>
        <w:t> </w:t>
      </w:r>
      <w:r>
        <w:rPr>
          <w:w w:val="105"/>
        </w:rPr>
        <w:t>vote</w:t>
      </w:r>
      <w:r>
        <w:rPr>
          <w:spacing w:val="-12"/>
          <w:w w:val="105"/>
        </w:rPr>
        <w:t> </w:t>
      </w:r>
      <w:r>
        <w:rPr>
          <w:w w:val="105"/>
        </w:rPr>
        <w:t>is</w:t>
      </w:r>
      <w:r>
        <w:rPr>
          <w:spacing w:val="-12"/>
          <w:w w:val="105"/>
        </w:rPr>
        <w:t> </w:t>
      </w:r>
      <w:r>
        <w:rPr>
          <w:spacing w:val="-2"/>
          <w:w w:val="105"/>
        </w:rPr>
        <w:t>needed?</w:t>
      </w:r>
    </w:p>
    <w:p>
      <w:pPr>
        <w:pStyle w:val="BodyText"/>
        <w:spacing w:line="259" w:lineRule="auto" w:before="156"/>
        <w:ind w:left="1772" w:right="1464" w:hanging="373"/>
      </w:pPr>
      <w:r>
        <w:rPr>
          <w:w w:val="105"/>
        </w:rPr>
        <w:t>A:</w:t>
      </w:r>
      <w:r>
        <w:rPr>
          <w:spacing w:val="53"/>
          <w:w w:val="105"/>
        </w:rPr>
        <w:t>  </w:t>
      </w:r>
      <w:r>
        <w:rPr>
          <w:w w:val="105"/>
        </w:rPr>
        <w:t>For</w:t>
      </w:r>
      <w:r>
        <w:rPr>
          <w:spacing w:val="12"/>
          <w:w w:val="105"/>
        </w:rPr>
        <w:t> </w:t>
      </w:r>
      <w:r>
        <w:rPr>
          <w:w w:val="105"/>
        </w:rPr>
        <w:t>Proposal</w:t>
      </w:r>
      <w:r>
        <w:rPr>
          <w:spacing w:val="12"/>
          <w:w w:val="105"/>
        </w:rPr>
        <w:t> </w:t>
      </w:r>
      <w:r>
        <w:rPr>
          <w:w w:val="105"/>
        </w:rPr>
        <w:t>One,</w:t>
      </w:r>
      <w:r>
        <w:rPr>
          <w:spacing w:val="12"/>
          <w:w w:val="105"/>
        </w:rPr>
        <w:t> </w:t>
      </w:r>
      <w:r>
        <w:rPr>
          <w:w w:val="105"/>
        </w:rPr>
        <w:t>the</w:t>
      </w:r>
      <w:r>
        <w:rPr>
          <w:spacing w:val="12"/>
          <w:w w:val="105"/>
        </w:rPr>
        <w:t> </w:t>
      </w:r>
      <w:r>
        <w:rPr>
          <w:w w:val="105"/>
        </w:rPr>
        <w:t>election</w:t>
      </w:r>
      <w:r>
        <w:rPr>
          <w:spacing w:val="12"/>
          <w:w w:val="105"/>
        </w:rPr>
        <w:t> </w:t>
      </w:r>
      <w:r>
        <w:rPr>
          <w:w w:val="105"/>
        </w:rPr>
        <w:t>of</w:t>
      </w:r>
      <w:r>
        <w:rPr>
          <w:spacing w:val="12"/>
          <w:w w:val="105"/>
        </w:rPr>
        <w:t> </w:t>
      </w:r>
      <w:r>
        <w:rPr>
          <w:w w:val="105"/>
        </w:rPr>
        <w:t>directors,</w:t>
      </w:r>
      <w:r>
        <w:rPr>
          <w:spacing w:val="12"/>
          <w:w w:val="105"/>
        </w:rPr>
        <w:t> </w:t>
      </w:r>
      <w:r>
        <w:rPr>
          <w:w w:val="105"/>
        </w:rPr>
        <w:t>a</w:t>
      </w:r>
      <w:r>
        <w:rPr>
          <w:spacing w:val="12"/>
          <w:w w:val="105"/>
        </w:rPr>
        <w:t> </w:t>
      </w:r>
      <w:r>
        <w:rPr>
          <w:w w:val="105"/>
        </w:rPr>
        <w:t>majority</w:t>
      </w:r>
      <w:r>
        <w:rPr>
          <w:spacing w:val="12"/>
          <w:w w:val="105"/>
        </w:rPr>
        <w:t> </w:t>
      </w:r>
      <w:r>
        <w:rPr>
          <w:w w:val="105"/>
        </w:rPr>
        <w:t>of</w:t>
      </w:r>
      <w:r>
        <w:rPr>
          <w:spacing w:val="12"/>
          <w:w w:val="105"/>
        </w:rPr>
        <w:t> </w:t>
      </w:r>
      <w:r>
        <w:rPr>
          <w:w w:val="105"/>
        </w:rPr>
        <w:t>the</w:t>
      </w:r>
      <w:r>
        <w:rPr>
          <w:spacing w:val="12"/>
          <w:w w:val="105"/>
        </w:rPr>
        <w:t> </w:t>
      </w:r>
      <w:r>
        <w:rPr>
          <w:w w:val="105"/>
        </w:rPr>
        <w:t>votes</w:t>
      </w:r>
      <w:r>
        <w:rPr>
          <w:spacing w:val="12"/>
          <w:w w:val="105"/>
        </w:rPr>
        <w:t> </w:t>
      </w:r>
      <w:r>
        <w:rPr>
          <w:w w:val="105"/>
        </w:rPr>
        <w:t>cast</w:t>
      </w:r>
      <w:r>
        <w:rPr>
          <w:spacing w:val="12"/>
          <w:w w:val="105"/>
        </w:rPr>
        <w:t> </w:t>
      </w:r>
      <w:r>
        <w:rPr>
          <w:w w:val="105"/>
        </w:rPr>
        <w:t>at</w:t>
      </w:r>
      <w:r>
        <w:rPr>
          <w:spacing w:val="12"/>
          <w:w w:val="105"/>
        </w:rPr>
        <w:t> </w:t>
      </w:r>
      <w:r>
        <w:rPr>
          <w:w w:val="105"/>
        </w:rPr>
        <w:t>the Annual</w:t>
      </w:r>
      <w:r>
        <w:rPr>
          <w:spacing w:val="12"/>
          <w:w w:val="105"/>
        </w:rPr>
        <w:t> </w:t>
      </w:r>
      <w:r>
        <w:rPr>
          <w:w w:val="105"/>
        </w:rPr>
        <w:t>Meeting</w:t>
      </w:r>
      <w:r>
        <w:rPr>
          <w:spacing w:val="12"/>
          <w:w w:val="105"/>
        </w:rPr>
        <w:t> </w:t>
      </w:r>
      <w:r>
        <w:rPr>
          <w:w w:val="105"/>
        </w:rPr>
        <w:t>at</w:t>
      </w:r>
      <w:r>
        <w:rPr>
          <w:spacing w:val="12"/>
          <w:w w:val="105"/>
        </w:rPr>
        <w:t> </w:t>
      </w:r>
      <w:r>
        <w:rPr>
          <w:w w:val="105"/>
        </w:rPr>
        <w:t>which a quorum is present shall elect the nominees for director. For purposes of the election of directors, a</w:t>
      </w:r>
      <w:r>
        <w:rPr>
          <w:spacing w:val="40"/>
          <w:w w:val="105"/>
        </w:rPr>
        <w:t> </w:t>
      </w:r>
      <w:r>
        <w:rPr>
          <w:w w:val="105"/>
        </w:rPr>
        <w:t>“majority</w:t>
      </w:r>
      <w:r>
        <w:rPr>
          <w:spacing w:val="14"/>
          <w:w w:val="105"/>
        </w:rPr>
        <w:t> </w:t>
      </w:r>
      <w:r>
        <w:rPr>
          <w:w w:val="105"/>
        </w:rPr>
        <w:t>of</w:t>
      </w:r>
      <w:r>
        <w:rPr>
          <w:spacing w:val="14"/>
          <w:w w:val="105"/>
        </w:rPr>
        <w:t> </w:t>
      </w:r>
      <w:r>
        <w:rPr>
          <w:w w:val="105"/>
        </w:rPr>
        <w:t>votes</w:t>
      </w:r>
      <w:r>
        <w:rPr>
          <w:spacing w:val="14"/>
          <w:w w:val="105"/>
        </w:rPr>
        <w:t> </w:t>
      </w:r>
      <w:r>
        <w:rPr>
          <w:w w:val="105"/>
        </w:rPr>
        <w:t>cast”</w:t>
      </w:r>
      <w:r>
        <w:rPr>
          <w:spacing w:val="14"/>
          <w:w w:val="105"/>
        </w:rPr>
        <w:t> </w:t>
      </w:r>
      <w:r>
        <w:rPr>
          <w:w w:val="105"/>
        </w:rPr>
        <w:t>means</w:t>
      </w:r>
      <w:r>
        <w:rPr>
          <w:spacing w:val="14"/>
          <w:w w:val="105"/>
        </w:rPr>
        <w:t> </w:t>
      </w:r>
      <w:r>
        <w:rPr>
          <w:w w:val="105"/>
        </w:rPr>
        <w:t>that</w:t>
      </w:r>
      <w:r>
        <w:rPr>
          <w:spacing w:val="14"/>
          <w:w w:val="105"/>
        </w:rPr>
        <w:t> </w:t>
      </w:r>
      <w:r>
        <w:rPr>
          <w:w w:val="105"/>
        </w:rPr>
        <w:t>the</w:t>
      </w:r>
      <w:r>
        <w:rPr>
          <w:spacing w:val="14"/>
          <w:w w:val="105"/>
        </w:rPr>
        <w:t> </w:t>
      </w:r>
      <w:r>
        <w:rPr>
          <w:w w:val="105"/>
        </w:rPr>
        <w:t>number</w:t>
      </w:r>
      <w:r>
        <w:rPr>
          <w:spacing w:val="14"/>
          <w:w w:val="105"/>
        </w:rPr>
        <w:t> </w:t>
      </w:r>
      <w:r>
        <w:rPr>
          <w:w w:val="105"/>
        </w:rPr>
        <w:t>of</w:t>
      </w:r>
      <w:r>
        <w:rPr>
          <w:spacing w:val="14"/>
          <w:w w:val="105"/>
        </w:rPr>
        <w:t> </w:t>
      </w:r>
      <w:r>
        <w:rPr>
          <w:w w:val="105"/>
        </w:rPr>
        <w:t>shares</w:t>
      </w:r>
      <w:r>
        <w:rPr>
          <w:spacing w:val="14"/>
          <w:w w:val="105"/>
        </w:rPr>
        <w:t> </w:t>
      </w:r>
      <w:r>
        <w:rPr>
          <w:w w:val="105"/>
        </w:rPr>
        <w:t>voted</w:t>
      </w:r>
      <w:r>
        <w:rPr>
          <w:spacing w:val="14"/>
          <w:w w:val="105"/>
        </w:rPr>
        <w:t> </w:t>
      </w:r>
      <w:r>
        <w:rPr>
          <w:w w:val="105"/>
        </w:rPr>
        <w:t>“for”</w:t>
      </w:r>
      <w:r>
        <w:rPr>
          <w:spacing w:val="14"/>
          <w:w w:val="105"/>
        </w:rPr>
        <w:t> </w:t>
      </w:r>
      <w:r>
        <w:rPr>
          <w:w w:val="105"/>
        </w:rPr>
        <w:t>a</w:t>
      </w:r>
      <w:r>
        <w:rPr>
          <w:spacing w:val="14"/>
          <w:w w:val="105"/>
        </w:rPr>
        <w:t> </w:t>
      </w:r>
      <w:r>
        <w:rPr>
          <w:w w:val="105"/>
        </w:rPr>
        <w:t>director’s</w:t>
      </w:r>
      <w:r>
        <w:rPr>
          <w:spacing w:val="14"/>
          <w:w w:val="105"/>
        </w:rPr>
        <w:t> </w:t>
      </w:r>
      <w:r>
        <w:rPr>
          <w:w w:val="105"/>
        </w:rPr>
        <w:t>election</w:t>
      </w:r>
      <w:r>
        <w:rPr>
          <w:spacing w:val="14"/>
          <w:w w:val="105"/>
        </w:rPr>
        <w:t> </w:t>
      </w:r>
      <w:r>
        <w:rPr>
          <w:w w:val="105"/>
        </w:rPr>
        <w:t>exceeds</w:t>
      </w:r>
      <w:r>
        <w:rPr>
          <w:spacing w:val="14"/>
          <w:w w:val="105"/>
        </w:rPr>
        <w:t> </w:t>
      </w:r>
      <w:r>
        <w:rPr>
          <w:w w:val="105"/>
        </w:rPr>
        <w:t>50% of the number of votes cast with respect to that director’s election. Votes cast shall include direction to “withhold”</w:t>
      </w:r>
      <w:r>
        <w:rPr>
          <w:spacing w:val="28"/>
          <w:w w:val="105"/>
        </w:rPr>
        <w:t> </w:t>
      </w:r>
      <w:r>
        <w:rPr>
          <w:w w:val="105"/>
        </w:rPr>
        <w:t>authority</w:t>
      </w:r>
      <w:r>
        <w:rPr>
          <w:spacing w:val="28"/>
          <w:w w:val="105"/>
        </w:rPr>
        <w:t> </w:t>
      </w:r>
      <w:r>
        <w:rPr>
          <w:w w:val="105"/>
        </w:rPr>
        <w:t>in</w:t>
      </w:r>
      <w:r>
        <w:rPr>
          <w:spacing w:val="28"/>
          <w:w w:val="105"/>
        </w:rPr>
        <w:t> </w:t>
      </w:r>
      <w:r>
        <w:rPr>
          <w:w w:val="105"/>
        </w:rPr>
        <w:t>each</w:t>
      </w:r>
      <w:r>
        <w:rPr>
          <w:spacing w:val="28"/>
          <w:w w:val="105"/>
        </w:rPr>
        <w:t> </w:t>
      </w:r>
      <w:r>
        <w:rPr>
          <w:w w:val="105"/>
        </w:rPr>
        <w:t>case</w:t>
      </w:r>
      <w:r>
        <w:rPr>
          <w:spacing w:val="28"/>
          <w:w w:val="105"/>
        </w:rPr>
        <w:t> </w:t>
      </w:r>
      <w:r>
        <w:rPr>
          <w:w w:val="105"/>
        </w:rPr>
        <w:t>and</w:t>
      </w:r>
      <w:r>
        <w:rPr>
          <w:spacing w:val="28"/>
          <w:w w:val="105"/>
        </w:rPr>
        <w:t> </w:t>
      </w:r>
      <w:r>
        <w:rPr>
          <w:w w:val="105"/>
        </w:rPr>
        <w:t>exclude</w:t>
      </w:r>
      <w:r>
        <w:rPr>
          <w:spacing w:val="28"/>
          <w:w w:val="105"/>
        </w:rPr>
        <w:t> </w:t>
      </w:r>
      <w:r>
        <w:rPr>
          <w:w w:val="105"/>
        </w:rPr>
        <w:t>“abstentions”</w:t>
      </w:r>
      <w:r>
        <w:rPr>
          <w:spacing w:val="28"/>
          <w:w w:val="105"/>
        </w:rPr>
        <w:t> </w:t>
      </w:r>
      <w:r>
        <w:rPr>
          <w:w w:val="105"/>
        </w:rPr>
        <w:t>with</w:t>
      </w:r>
      <w:r>
        <w:rPr>
          <w:spacing w:val="28"/>
          <w:w w:val="105"/>
        </w:rPr>
        <w:t> </w:t>
      </w:r>
      <w:r>
        <w:rPr>
          <w:w w:val="105"/>
        </w:rPr>
        <w:t>respect</w:t>
      </w:r>
      <w:r>
        <w:rPr>
          <w:spacing w:val="28"/>
          <w:w w:val="105"/>
        </w:rPr>
        <w:t> </w:t>
      </w:r>
      <w:r>
        <w:rPr>
          <w:w w:val="105"/>
        </w:rPr>
        <w:t>to</w:t>
      </w:r>
      <w:r>
        <w:rPr>
          <w:spacing w:val="28"/>
          <w:w w:val="105"/>
        </w:rPr>
        <w:t> </w:t>
      </w:r>
      <w:r>
        <w:rPr>
          <w:w w:val="105"/>
        </w:rPr>
        <w:t>that</w:t>
      </w:r>
      <w:r>
        <w:rPr>
          <w:spacing w:val="28"/>
          <w:w w:val="105"/>
        </w:rPr>
        <w:t> </w:t>
      </w:r>
      <w:r>
        <w:rPr>
          <w:w w:val="105"/>
        </w:rPr>
        <w:t>director’s</w:t>
      </w:r>
      <w:r>
        <w:rPr>
          <w:spacing w:val="28"/>
          <w:w w:val="105"/>
        </w:rPr>
        <w:t> </w:t>
      </w:r>
      <w:r>
        <w:rPr>
          <w:w w:val="105"/>
        </w:rPr>
        <w:t>election.</w:t>
      </w:r>
    </w:p>
    <w:p>
      <w:pPr>
        <w:pStyle w:val="BodyText"/>
        <w:spacing w:line="259" w:lineRule="auto" w:before="141"/>
        <w:ind w:left="1772" w:right="1551"/>
      </w:pPr>
      <w:r>
        <w:rPr>
          <w:w w:val="105"/>
        </w:rPr>
        <w:t>For Proposals Two and Three, an affirmative vote of the majority of shares present online at the virtual meeting or represented by proxy at the Annual Meeting and entitled to vote is required.</w:t>
      </w:r>
    </w:p>
    <w:p>
      <w:pPr>
        <w:pStyle w:val="Heading2"/>
        <w:spacing w:before="126"/>
      </w:pPr>
      <w:r>
        <w:rPr/>
        <w:t>Q:</w:t>
      </w:r>
      <w:r>
        <w:rPr>
          <w:spacing w:val="32"/>
        </w:rPr>
        <w:t>  </w:t>
      </w:r>
      <w:r>
        <w:rPr/>
        <w:t>Is</w:t>
      </w:r>
      <w:r>
        <w:rPr>
          <w:spacing w:val="-8"/>
        </w:rPr>
        <w:t> </w:t>
      </w:r>
      <w:r>
        <w:rPr/>
        <w:t>cumulative</w:t>
      </w:r>
      <w:r>
        <w:rPr>
          <w:spacing w:val="-9"/>
        </w:rPr>
        <w:t> </w:t>
      </w:r>
      <w:r>
        <w:rPr/>
        <w:t>voting</w:t>
      </w:r>
      <w:r>
        <w:rPr>
          <w:spacing w:val="-9"/>
        </w:rPr>
        <w:t> </w:t>
      </w:r>
      <w:r>
        <w:rPr/>
        <w:t>permitted</w:t>
      </w:r>
      <w:r>
        <w:rPr>
          <w:spacing w:val="-9"/>
        </w:rPr>
        <w:t> </w:t>
      </w:r>
      <w:r>
        <w:rPr/>
        <w:t>for</w:t>
      </w:r>
      <w:r>
        <w:rPr>
          <w:spacing w:val="-11"/>
        </w:rPr>
        <w:t> </w:t>
      </w:r>
      <w:r>
        <w:rPr/>
        <w:t>the</w:t>
      </w:r>
      <w:r>
        <w:rPr>
          <w:spacing w:val="-9"/>
        </w:rPr>
        <w:t> </w:t>
      </w:r>
      <w:r>
        <w:rPr/>
        <w:t>election</w:t>
      </w:r>
      <w:r>
        <w:rPr>
          <w:spacing w:val="-8"/>
        </w:rPr>
        <w:t> </w:t>
      </w:r>
      <w:r>
        <w:rPr/>
        <w:t>of</w:t>
      </w:r>
      <w:r>
        <w:rPr>
          <w:spacing w:val="-9"/>
        </w:rPr>
        <w:t> </w:t>
      </w:r>
      <w:r>
        <w:rPr>
          <w:spacing w:val="-2"/>
        </w:rPr>
        <w:t>directors?</w:t>
      </w:r>
    </w:p>
    <w:p>
      <w:pPr>
        <w:pStyle w:val="BodyText"/>
        <w:spacing w:line="259" w:lineRule="auto" w:before="142"/>
        <w:ind w:left="1772" w:right="1680" w:hanging="373"/>
      </w:pPr>
      <w:r>
        <w:rPr>
          <w:w w:val="105"/>
        </w:rPr>
        <w:t>A:</w:t>
      </w:r>
      <w:r>
        <w:rPr>
          <w:spacing w:val="40"/>
          <w:w w:val="105"/>
        </w:rPr>
        <w:t>  </w:t>
      </w:r>
      <w:r>
        <w:rPr>
          <w:w w:val="105"/>
        </w:rPr>
        <w:t>No, in accordance with our certificate of incorporation, you may not cumulate your votes for the</w:t>
      </w:r>
      <w:r>
        <w:rPr>
          <w:spacing w:val="40"/>
          <w:w w:val="105"/>
        </w:rPr>
        <w:t> </w:t>
      </w:r>
      <w:r>
        <w:rPr>
          <w:w w:val="105"/>
        </w:rPr>
        <w:t>election of directors.</w:t>
      </w:r>
    </w:p>
    <w:p>
      <w:pPr>
        <w:spacing w:after="0" w:line="259" w:lineRule="auto"/>
        <w:sectPr>
          <w:pgSz w:w="12240" w:h="15840"/>
          <w:pgMar w:header="529" w:footer="1288" w:top="720" w:bottom="1480" w:left="480" w:right="460"/>
        </w:sectPr>
      </w:pPr>
    </w:p>
    <w:p>
      <w:pPr>
        <w:pStyle w:val="BodyText"/>
        <w:rPr>
          <w:sz w:val="20"/>
        </w:rPr>
      </w:pPr>
    </w:p>
    <w:p>
      <w:pPr>
        <w:pStyle w:val="BodyText"/>
        <w:rPr>
          <w:sz w:val="20"/>
        </w:rPr>
      </w:pPr>
    </w:p>
    <w:p>
      <w:pPr>
        <w:pStyle w:val="BodyText"/>
        <w:spacing w:before="2"/>
        <w:rPr>
          <w:sz w:val="27"/>
        </w:rPr>
      </w:pPr>
    </w:p>
    <w:p>
      <w:pPr>
        <w:pStyle w:val="Heading2"/>
        <w:spacing w:before="98"/>
      </w:pPr>
      <w:r>
        <w:rPr/>
        <w:t>Q:</w:t>
      </w:r>
      <w:r>
        <w:rPr>
          <w:spacing w:val="33"/>
        </w:rPr>
        <w:t>  </w:t>
      </w:r>
      <w:r>
        <w:rPr/>
        <w:t>What</w:t>
      </w:r>
      <w:r>
        <w:rPr>
          <w:spacing w:val="-9"/>
        </w:rPr>
        <w:t> </w:t>
      </w:r>
      <w:r>
        <w:rPr/>
        <w:t>happens</w:t>
      </w:r>
      <w:r>
        <w:rPr>
          <w:spacing w:val="-8"/>
        </w:rPr>
        <w:t> </w:t>
      </w:r>
      <w:r>
        <w:rPr/>
        <w:t>if</w:t>
      </w:r>
      <w:r>
        <w:rPr>
          <w:spacing w:val="-8"/>
        </w:rPr>
        <w:t> </w:t>
      </w:r>
      <w:r>
        <w:rPr/>
        <w:t>the</w:t>
      </w:r>
      <w:r>
        <w:rPr>
          <w:spacing w:val="-9"/>
        </w:rPr>
        <w:t> </w:t>
      </w:r>
      <w:r>
        <w:rPr/>
        <w:t>director</w:t>
      </w:r>
      <w:r>
        <w:rPr>
          <w:spacing w:val="-11"/>
        </w:rPr>
        <w:t> </w:t>
      </w:r>
      <w:r>
        <w:rPr/>
        <w:t>nominees</w:t>
      </w:r>
      <w:r>
        <w:rPr>
          <w:spacing w:val="-8"/>
        </w:rPr>
        <w:t> </w:t>
      </w:r>
      <w:r>
        <w:rPr/>
        <w:t>do</w:t>
      </w:r>
      <w:r>
        <w:rPr>
          <w:spacing w:val="-8"/>
        </w:rPr>
        <w:t> </w:t>
      </w:r>
      <w:r>
        <w:rPr/>
        <w:t>not</w:t>
      </w:r>
      <w:r>
        <w:rPr>
          <w:spacing w:val="-9"/>
        </w:rPr>
        <w:t> </w:t>
      </w:r>
      <w:r>
        <w:rPr/>
        <w:t>receive</w:t>
      </w:r>
      <w:r>
        <w:rPr>
          <w:spacing w:val="-8"/>
        </w:rPr>
        <w:t> </w:t>
      </w:r>
      <w:r>
        <w:rPr/>
        <w:t>a</w:t>
      </w:r>
      <w:r>
        <w:rPr>
          <w:spacing w:val="-8"/>
        </w:rPr>
        <w:t> </w:t>
      </w:r>
      <w:r>
        <w:rPr/>
        <w:t>majority</w:t>
      </w:r>
      <w:r>
        <w:rPr>
          <w:spacing w:val="-9"/>
        </w:rPr>
        <w:t> </w:t>
      </w:r>
      <w:r>
        <w:rPr/>
        <w:t>of</w:t>
      </w:r>
      <w:r>
        <w:rPr>
          <w:spacing w:val="-8"/>
        </w:rPr>
        <w:t> </w:t>
      </w:r>
      <w:r>
        <w:rPr/>
        <w:t>votes</w:t>
      </w:r>
      <w:r>
        <w:rPr>
          <w:spacing w:val="-8"/>
        </w:rPr>
        <w:t> </w:t>
      </w:r>
      <w:r>
        <w:rPr/>
        <w:t>cast</w:t>
      </w:r>
      <w:r>
        <w:rPr>
          <w:spacing w:val="-9"/>
        </w:rPr>
        <w:t> </w:t>
      </w:r>
      <w:r>
        <w:rPr/>
        <w:t>at</w:t>
      </w:r>
      <w:r>
        <w:rPr>
          <w:spacing w:val="-8"/>
        </w:rPr>
        <w:t> </w:t>
      </w:r>
      <w:r>
        <w:rPr/>
        <w:t>the</w:t>
      </w:r>
      <w:r>
        <w:rPr>
          <w:spacing w:val="-17"/>
        </w:rPr>
        <w:t> </w:t>
      </w:r>
      <w:r>
        <w:rPr/>
        <w:t>Annual</w:t>
      </w:r>
      <w:r>
        <w:rPr>
          <w:spacing w:val="-9"/>
        </w:rPr>
        <w:t> </w:t>
      </w:r>
      <w:r>
        <w:rPr>
          <w:spacing w:val="-2"/>
        </w:rPr>
        <w:t>Meeting?</w:t>
      </w:r>
    </w:p>
    <w:p>
      <w:pPr>
        <w:pStyle w:val="BodyText"/>
        <w:spacing w:line="259" w:lineRule="auto" w:before="171"/>
        <w:ind w:left="1772" w:right="1551" w:hanging="373"/>
      </w:pPr>
      <w:r>
        <w:rPr>
          <w:w w:val="105"/>
        </w:rPr>
        <w:t>A:</w:t>
      </w:r>
      <w:r>
        <w:rPr>
          <w:spacing w:val="40"/>
          <w:w w:val="105"/>
        </w:rPr>
        <w:t>  </w:t>
      </w:r>
      <w:r>
        <w:rPr>
          <w:w w:val="105"/>
        </w:rPr>
        <w:t>In an uncontested election, if a nominee for director who is an incumbent director is not elected and no</w:t>
      </w:r>
      <w:r>
        <w:rPr>
          <w:spacing w:val="40"/>
          <w:w w:val="105"/>
        </w:rPr>
        <w:t> </w:t>
      </w:r>
      <w:r>
        <w:rPr>
          <w:w w:val="105"/>
        </w:rPr>
        <w:t>successor has been elected at the Annual Meeting, our Bylaws indicate that the director is to promptly tender</w:t>
      </w:r>
      <w:r>
        <w:rPr>
          <w:spacing w:val="24"/>
          <w:w w:val="105"/>
        </w:rPr>
        <w:t> </w:t>
      </w:r>
      <w:r>
        <w:rPr>
          <w:w w:val="105"/>
        </w:rPr>
        <w:t>his</w:t>
      </w:r>
      <w:r>
        <w:rPr>
          <w:spacing w:val="24"/>
          <w:w w:val="105"/>
        </w:rPr>
        <w:t> </w:t>
      </w:r>
      <w:r>
        <w:rPr>
          <w:w w:val="105"/>
        </w:rPr>
        <w:t>or</w:t>
      </w:r>
      <w:r>
        <w:rPr>
          <w:spacing w:val="24"/>
          <w:w w:val="105"/>
        </w:rPr>
        <w:t> </w:t>
      </w:r>
      <w:r>
        <w:rPr>
          <w:w w:val="105"/>
        </w:rPr>
        <w:t>her</w:t>
      </w:r>
      <w:r>
        <w:rPr>
          <w:spacing w:val="24"/>
          <w:w w:val="105"/>
        </w:rPr>
        <w:t> </w:t>
      </w:r>
      <w:r>
        <w:rPr>
          <w:w w:val="105"/>
        </w:rPr>
        <w:t>resignation</w:t>
      </w:r>
      <w:r>
        <w:rPr>
          <w:spacing w:val="24"/>
          <w:w w:val="105"/>
        </w:rPr>
        <w:t> </w:t>
      </w:r>
      <w:r>
        <w:rPr>
          <w:w w:val="105"/>
        </w:rPr>
        <w:t>to</w:t>
      </w:r>
      <w:r>
        <w:rPr>
          <w:spacing w:val="24"/>
          <w:w w:val="105"/>
        </w:rPr>
        <w:t> </w:t>
      </w:r>
      <w:r>
        <w:rPr>
          <w:w w:val="105"/>
        </w:rPr>
        <w:t>the</w:t>
      </w:r>
      <w:r>
        <w:rPr>
          <w:spacing w:val="24"/>
          <w:w w:val="105"/>
        </w:rPr>
        <w:t> </w:t>
      </w:r>
      <w:r>
        <w:rPr>
          <w:w w:val="105"/>
        </w:rPr>
        <w:t>Board.</w:t>
      </w:r>
      <w:r>
        <w:rPr>
          <w:spacing w:val="18"/>
          <w:w w:val="105"/>
        </w:rPr>
        <w:t> </w:t>
      </w:r>
      <w:r>
        <w:rPr>
          <w:w w:val="105"/>
        </w:rPr>
        <w:t>The</w:t>
      </w:r>
      <w:r>
        <w:rPr>
          <w:spacing w:val="24"/>
          <w:w w:val="105"/>
        </w:rPr>
        <w:t> </w:t>
      </w:r>
      <w:r>
        <w:rPr>
          <w:w w:val="105"/>
        </w:rPr>
        <w:t>Nominating</w:t>
      </w:r>
      <w:r>
        <w:rPr>
          <w:spacing w:val="24"/>
          <w:w w:val="105"/>
        </w:rPr>
        <w:t> </w:t>
      </w:r>
      <w:r>
        <w:rPr>
          <w:w w:val="105"/>
        </w:rPr>
        <w:t>Committee</w:t>
      </w:r>
      <w:r>
        <w:rPr>
          <w:spacing w:val="24"/>
          <w:w w:val="105"/>
        </w:rPr>
        <w:t> </w:t>
      </w:r>
      <w:r>
        <w:rPr>
          <w:w w:val="105"/>
        </w:rPr>
        <w:t>will</w:t>
      </w:r>
      <w:r>
        <w:rPr>
          <w:spacing w:val="24"/>
          <w:w w:val="105"/>
        </w:rPr>
        <w:t> </w:t>
      </w:r>
      <w:r>
        <w:rPr>
          <w:w w:val="105"/>
        </w:rPr>
        <w:t>then</w:t>
      </w:r>
      <w:r>
        <w:rPr>
          <w:spacing w:val="24"/>
          <w:w w:val="105"/>
        </w:rPr>
        <w:t> </w:t>
      </w:r>
      <w:r>
        <w:rPr>
          <w:w w:val="105"/>
        </w:rPr>
        <w:t>make</w:t>
      </w:r>
      <w:r>
        <w:rPr>
          <w:spacing w:val="24"/>
          <w:w w:val="105"/>
        </w:rPr>
        <w:t> </w:t>
      </w:r>
      <w:r>
        <w:rPr>
          <w:w w:val="105"/>
        </w:rPr>
        <w:t>a recommendation</w:t>
      </w:r>
      <w:r>
        <w:rPr>
          <w:spacing w:val="24"/>
          <w:w w:val="105"/>
        </w:rPr>
        <w:t> </w:t>
      </w:r>
      <w:r>
        <w:rPr>
          <w:w w:val="105"/>
        </w:rPr>
        <w:t>to</w:t>
      </w:r>
      <w:r>
        <w:rPr>
          <w:spacing w:val="24"/>
          <w:w w:val="105"/>
        </w:rPr>
        <w:t> </w:t>
      </w:r>
      <w:r>
        <w:rPr>
          <w:w w:val="105"/>
        </w:rPr>
        <w:t>the</w:t>
      </w:r>
      <w:r>
        <w:rPr>
          <w:spacing w:val="24"/>
          <w:w w:val="105"/>
        </w:rPr>
        <w:t> </w:t>
      </w:r>
      <w:r>
        <w:rPr>
          <w:w w:val="105"/>
        </w:rPr>
        <w:t>Board</w:t>
      </w:r>
      <w:r>
        <w:rPr>
          <w:spacing w:val="24"/>
          <w:w w:val="105"/>
        </w:rPr>
        <w:t> </w:t>
      </w:r>
      <w:r>
        <w:rPr>
          <w:w w:val="105"/>
        </w:rPr>
        <w:t>as</w:t>
      </w:r>
      <w:r>
        <w:rPr>
          <w:spacing w:val="24"/>
          <w:w w:val="105"/>
        </w:rPr>
        <w:t> </w:t>
      </w:r>
      <w:r>
        <w:rPr>
          <w:w w:val="105"/>
        </w:rPr>
        <w:t>to</w:t>
      </w:r>
      <w:r>
        <w:rPr>
          <w:spacing w:val="24"/>
          <w:w w:val="105"/>
        </w:rPr>
        <w:t> </w:t>
      </w:r>
      <w:r>
        <w:rPr>
          <w:w w:val="105"/>
        </w:rPr>
        <w:t>whether</w:t>
      </w:r>
      <w:r>
        <w:rPr>
          <w:spacing w:val="24"/>
          <w:w w:val="105"/>
        </w:rPr>
        <w:t> </w:t>
      </w:r>
      <w:r>
        <w:rPr>
          <w:w w:val="105"/>
        </w:rPr>
        <w:t>to</w:t>
      </w:r>
      <w:r>
        <w:rPr>
          <w:spacing w:val="24"/>
          <w:w w:val="105"/>
        </w:rPr>
        <w:t> </w:t>
      </w:r>
      <w:r>
        <w:rPr>
          <w:w w:val="105"/>
        </w:rPr>
        <w:t>accept</w:t>
      </w:r>
      <w:r>
        <w:rPr>
          <w:spacing w:val="24"/>
          <w:w w:val="105"/>
        </w:rPr>
        <w:t> </w:t>
      </w:r>
      <w:r>
        <w:rPr>
          <w:w w:val="105"/>
        </w:rPr>
        <w:t>or</w:t>
      </w:r>
      <w:r>
        <w:rPr>
          <w:spacing w:val="24"/>
          <w:w w:val="105"/>
        </w:rPr>
        <w:t> </w:t>
      </w:r>
      <w:r>
        <w:rPr>
          <w:w w:val="105"/>
        </w:rPr>
        <w:t>reject</w:t>
      </w:r>
      <w:r>
        <w:rPr>
          <w:spacing w:val="24"/>
          <w:w w:val="105"/>
        </w:rPr>
        <w:t> </w:t>
      </w:r>
      <w:r>
        <w:rPr>
          <w:w w:val="105"/>
        </w:rPr>
        <w:t>the</w:t>
      </w:r>
      <w:r>
        <w:rPr>
          <w:spacing w:val="24"/>
          <w:w w:val="105"/>
        </w:rPr>
        <w:t> </w:t>
      </w:r>
      <w:r>
        <w:rPr>
          <w:w w:val="105"/>
        </w:rPr>
        <w:t>tendered</w:t>
      </w:r>
      <w:r>
        <w:rPr>
          <w:spacing w:val="24"/>
          <w:w w:val="105"/>
        </w:rPr>
        <w:t> </w:t>
      </w:r>
      <w:r>
        <w:rPr>
          <w:w w:val="105"/>
        </w:rPr>
        <w:t>resignation,</w:t>
      </w:r>
      <w:r>
        <w:rPr>
          <w:spacing w:val="24"/>
          <w:w w:val="105"/>
        </w:rPr>
        <w:t> </w:t>
      </w:r>
      <w:r>
        <w:rPr>
          <w:w w:val="105"/>
        </w:rPr>
        <w:t>or</w:t>
      </w:r>
      <w:r>
        <w:rPr>
          <w:spacing w:val="24"/>
          <w:w w:val="105"/>
        </w:rPr>
        <w:t> </w:t>
      </w:r>
      <w:r>
        <w:rPr>
          <w:w w:val="105"/>
        </w:rPr>
        <w:t>whether other</w:t>
      </w:r>
      <w:r>
        <w:rPr>
          <w:spacing w:val="31"/>
          <w:w w:val="105"/>
        </w:rPr>
        <w:t> </w:t>
      </w:r>
      <w:r>
        <w:rPr>
          <w:w w:val="105"/>
        </w:rPr>
        <w:t>action</w:t>
      </w:r>
      <w:r>
        <w:rPr>
          <w:spacing w:val="31"/>
          <w:w w:val="105"/>
        </w:rPr>
        <w:t> </w:t>
      </w:r>
      <w:r>
        <w:rPr>
          <w:w w:val="105"/>
        </w:rPr>
        <w:t>should</w:t>
      </w:r>
      <w:r>
        <w:rPr>
          <w:spacing w:val="31"/>
          <w:w w:val="105"/>
        </w:rPr>
        <w:t> </w:t>
      </w:r>
      <w:r>
        <w:rPr>
          <w:w w:val="105"/>
        </w:rPr>
        <w:t>be</w:t>
      </w:r>
      <w:r>
        <w:rPr>
          <w:spacing w:val="31"/>
          <w:w w:val="105"/>
        </w:rPr>
        <w:t> </w:t>
      </w:r>
      <w:r>
        <w:rPr>
          <w:w w:val="105"/>
        </w:rPr>
        <w:t>taken. After</w:t>
      </w:r>
      <w:r>
        <w:rPr>
          <w:spacing w:val="31"/>
          <w:w w:val="105"/>
        </w:rPr>
        <w:t> </w:t>
      </w:r>
      <w:r>
        <w:rPr>
          <w:w w:val="105"/>
        </w:rPr>
        <w:t>considering</w:t>
      </w:r>
      <w:r>
        <w:rPr>
          <w:spacing w:val="31"/>
          <w:w w:val="105"/>
        </w:rPr>
        <w:t> </w:t>
      </w:r>
      <w:r>
        <w:rPr>
          <w:w w:val="105"/>
        </w:rPr>
        <w:t>the</w:t>
      </w:r>
      <w:r>
        <w:rPr>
          <w:spacing w:val="31"/>
          <w:w w:val="105"/>
        </w:rPr>
        <w:t> </w:t>
      </w:r>
      <w:r>
        <w:rPr>
          <w:w w:val="105"/>
        </w:rPr>
        <w:t>Nominating</w:t>
      </w:r>
      <w:r>
        <w:rPr>
          <w:spacing w:val="31"/>
          <w:w w:val="105"/>
        </w:rPr>
        <w:t> </w:t>
      </w:r>
      <w:r>
        <w:rPr>
          <w:w w:val="105"/>
        </w:rPr>
        <w:t>Committee’s</w:t>
      </w:r>
      <w:r>
        <w:rPr>
          <w:spacing w:val="31"/>
          <w:w w:val="105"/>
        </w:rPr>
        <w:t> </w:t>
      </w:r>
      <w:r>
        <w:rPr>
          <w:w w:val="105"/>
        </w:rPr>
        <w:t>recommendation,</w:t>
      </w:r>
      <w:r>
        <w:rPr>
          <w:spacing w:val="31"/>
          <w:w w:val="105"/>
        </w:rPr>
        <w:t> </w:t>
      </w:r>
      <w:r>
        <w:rPr>
          <w:w w:val="105"/>
        </w:rPr>
        <w:t>the Board</w:t>
      </w:r>
      <w:r>
        <w:rPr>
          <w:spacing w:val="25"/>
          <w:w w:val="105"/>
        </w:rPr>
        <w:t> </w:t>
      </w:r>
      <w:r>
        <w:rPr>
          <w:w w:val="105"/>
        </w:rPr>
        <w:t>will</w:t>
      </w:r>
      <w:r>
        <w:rPr>
          <w:spacing w:val="25"/>
          <w:w w:val="105"/>
        </w:rPr>
        <w:t> </w:t>
      </w:r>
      <w:r>
        <w:rPr>
          <w:w w:val="105"/>
        </w:rPr>
        <w:t>decide</w:t>
      </w:r>
      <w:r>
        <w:rPr>
          <w:spacing w:val="25"/>
          <w:w w:val="105"/>
        </w:rPr>
        <w:t> </w:t>
      </w:r>
      <w:r>
        <w:rPr>
          <w:w w:val="105"/>
        </w:rPr>
        <w:t>to</w:t>
      </w:r>
      <w:r>
        <w:rPr>
          <w:spacing w:val="25"/>
          <w:w w:val="105"/>
        </w:rPr>
        <w:t> </w:t>
      </w:r>
      <w:r>
        <w:rPr>
          <w:w w:val="105"/>
        </w:rPr>
        <w:t>act</w:t>
      </w:r>
      <w:r>
        <w:rPr>
          <w:spacing w:val="25"/>
          <w:w w:val="105"/>
        </w:rPr>
        <w:t> </w:t>
      </w:r>
      <w:r>
        <w:rPr>
          <w:w w:val="105"/>
        </w:rPr>
        <w:t>on</w:t>
      </w:r>
      <w:r>
        <w:rPr>
          <w:spacing w:val="25"/>
          <w:w w:val="105"/>
        </w:rPr>
        <w:t> </w:t>
      </w:r>
      <w:r>
        <w:rPr>
          <w:w w:val="105"/>
        </w:rPr>
        <w:t>the</w:t>
      </w:r>
      <w:r>
        <w:rPr>
          <w:spacing w:val="25"/>
          <w:w w:val="105"/>
        </w:rPr>
        <w:t> </w:t>
      </w:r>
      <w:r>
        <w:rPr>
          <w:w w:val="105"/>
        </w:rPr>
        <w:t>tendered</w:t>
      </w:r>
      <w:r>
        <w:rPr>
          <w:spacing w:val="25"/>
          <w:w w:val="105"/>
        </w:rPr>
        <w:t> </w:t>
      </w:r>
      <w:r>
        <w:rPr>
          <w:w w:val="105"/>
        </w:rPr>
        <w:t>resignation</w:t>
      </w:r>
      <w:r>
        <w:rPr>
          <w:spacing w:val="25"/>
          <w:w w:val="105"/>
        </w:rPr>
        <w:t> </w:t>
      </w:r>
      <w:r>
        <w:rPr>
          <w:w w:val="105"/>
        </w:rPr>
        <w:t>and</w:t>
      </w:r>
      <w:r>
        <w:rPr>
          <w:spacing w:val="25"/>
          <w:w w:val="105"/>
        </w:rPr>
        <w:t> </w:t>
      </w:r>
      <w:r>
        <w:rPr>
          <w:w w:val="105"/>
        </w:rPr>
        <w:t>publicly</w:t>
      </w:r>
      <w:r>
        <w:rPr>
          <w:spacing w:val="25"/>
          <w:w w:val="105"/>
        </w:rPr>
        <w:t> </w:t>
      </w:r>
      <w:r>
        <w:rPr>
          <w:w w:val="105"/>
        </w:rPr>
        <w:t>disclose</w:t>
      </w:r>
      <w:r>
        <w:rPr>
          <w:spacing w:val="25"/>
          <w:w w:val="105"/>
        </w:rPr>
        <w:t> </w:t>
      </w:r>
      <w:r>
        <w:rPr>
          <w:w w:val="105"/>
        </w:rPr>
        <w:t>its</w:t>
      </w:r>
      <w:r>
        <w:rPr>
          <w:spacing w:val="25"/>
          <w:w w:val="105"/>
        </w:rPr>
        <w:t> </w:t>
      </w:r>
      <w:r>
        <w:rPr>
          <w:w w:val="105"/>
        </w:rPr>
        <w:t>decision. Any</w:t>
      </w:r>
      <w:r>
        <w:rPr>
          <w:spacing w:val="25"/>
          <w:w w:val="105"/>
        </w:rPr>
        <w:t> </w:t>
      </w:r>
      <w:r>
        <w:rPr>
          <w:w w:val="105"/>
        </w:rPr>
        <w:t>director</w:t>
      </w:r>
      <w:r>
        <w:rPr>
          <w:w w:val="105"/>
        </w:rPr>
        <w:t> who tenders his or her resignation will not participate in the recommendation of the Nominating Committee</w:t>
      </w:r>
      <w:r>
        <w:rPr>
          <w:spacing w:val="22"/>
          <w:w w:val="105"/>
        </w:rPr>
        <w:t> </w:t>
      </w:r>
      <w:r>
        <w:rPr>
          <w:w w:val="105"/>
        </w:rPr>
        <w:t>or</w:t>
      </w:r>
      <w:r>
        <w:rPr>
          <w:spacing w:val="22"/>
          <w:w w:val="105"/>
        </w:rPr>
        <w:t> </w:t>
      </w:r>
      <w:r>
        <w:rPr>
          <w:w w:val="105"/>
        </w:rPr>
        <w:t>the</w:t>
      </w:r>
      <w:r>
        <w:rPr>
          <w:spacing w:val="22"/>
          <w:w w:val="105"/>
        </w:rPr>
        <w:t> </w:t>
      </w:r>
      <w:r>
        <w:rPr>
          <w:w w:val="105"/>
        </w:rPr>
        <w:t>decision</w:t>
      </w:r>
      <w:r>
        <w:rPr>
          <w:spacing w:val="22"/>
          <w:w w:val="105"/>
        </w:rPr>
        <w:t> </w:t>
      </w:r>
      <w:r>
        <w:rPr>
          <w:w w:val="105"/>
        </w:rPr>
        <w:t>of</w:t>
      </w:r>
      <w:r>
        <w:rPr>
          <w:spacing w:val="22"/>
          <w:w w:val="105"/>
        </w:rPr>
        <w:t> </w:t>
      </w:r>
      <w:r>
        <w:rPr>
          <w:w w:val="105"/>
        </w:rPr>
        <w:t>the</w:t>
      </w:r>
      <w:r>
        <w:rPr>
          <w:spacing w:val="22"/>
          <w:w w:val="105"/>
        </w:rPr>
        <w:t> </w:t>
      </w:r>
      <w:r>
        <w:rPr>
          <w:w w:val="105"/>
        </w:rPr>
        <w:t>Board</w:t>
      </w:r>
      <w:r>
        <w:rPr>
          <w:spacing w:val="22"/>
          <w:w w:val="105"/>
        </w:rPr>
        <w:t> </w:t>
      </w:r>
      <w:r>
        <w:rPr>
          <w:w w:val="105"/>
        </w:rPr>
        <w:t>with</w:t>
      </w:r>
      <w:r>
        <w:rPr>
          <w:spacing w:val="22"/>
          <w:w w:val="105"/>
        </w:rPr>
        <w:t> </w:t>
      </w:r>
      <w:r>
        <w:rPr>
          <w:w w:val="105"/>
        </w:rPr>
        <w:t>respect</w:t>
      </w:r>
      <w:r>
        <w:rPr>
          <w:spacing w:val="22"/>
          <w:w w:val="105"/>
        </w:rPr>
        <w:t> </w:t>
      </w:r>
      <w:r>
        <w:rPr>
          <w:w w:val="105"/>
        </w:rPr>
        <w:t>to</w:t>
      </w:r>
      <w:r>
        <w:rPr>
          <w:spacing w:val="22"/>
          <w:w w:val="105"/>
        </w:rPr>
        <w:t> </w:t>
      </w:r>
      <w:r>
        <w:rPr>
          <w:w w:val="105"/>
        </w:rPr>
        <w:t>his</w:t>
      </w:r>
      <w:r>
        <w:rPr>
          <w:spacing w:val="22"/>
          <w:w w:val="105"/>
        </w:rPr>
        <w:t> </w:t>
      </w:r>
      <w:r>
        <w:rPr>
          <w:w w:val="105"/>
        </w:rPr>
        <w:t>or</w:t>
      </w:r>
      <w:r>
        <w:rPr>
          <w:spacing w:val="22"/>
          <w:w w:val="105"/>
        </w:rPr>
        <w:t> </w:t>
      </w:r>
      <w:r>
        <w:rPr>
          <w:w w:val="105"/>
        </w:rPr>
        <w:t>her</w:t>
      </w:r>
      <w:r>
        <w:rPr>
          <w:spacing w:val="22"/>
          <w:w w:val="105"/>
        </w:rPr>
        <w:t> </w:t>
      </w:r>
      <w:r>
        <w:rPr>
          <w:w w:val="105"/>
        </w:rPr>
        <w:t>resignation.</w:t>
      </w:r>
      <w:r>
        <w:rPr>
          <w:spacing w:val="22"/>
          <w:w w:val="105"/>
        </w:rPr>
        <w:t> </w:t>
      </w:r>
      <w:r>
        <w:rPr>
          <w:w w:val="105"/>
        </w:rPr>
        <w:t>If</w:t>
      </w:r>
      <w:r>
        <w:rPr>
          <w:spacing w:val="22"/>
          <w:w w:val="105"/>
        </w:rPr>
        <w:t> </w:t>
      </w:r>
      <w:r>
        <w:rPr>
          <w:w w:val="105"/>
        </w:rPr>
        <w:t>the</w:t>
      </w:r>
      <w:r>
        <w:rPr>
          <w:spacing w:val="22"/>
          <w:w w:val="105"/>
        </w:rPr>
        <w:t> </w:t>
      </w:r>
      <w:r>
        <w:rPr>
          <w:w w:val="105"/>
        </w:rPr>
        <w:t>director’s resignation</w:t>
      </w:r>
      <w:r>
        <w:rPr>
          <w:spacing w:val="23"/>
          <w:w w:val="105"/>
        </w:rPr>
        <w:t> </w:t>
      </w:r>
      <w:r>
        <w:rPr>
          <w:w w:val="105"/>
        </w:rPr>
        <w:t>is</w:t>
      </w:r>
      <w:r>
        <w:rPr>
          <w:spacing w:val="23"/>
          <w:w w:val="105"/>
        </w:rPr>
        <w:t> </w:t>
      </w:r>
      <w:r>
        <w:rPr>
          <w:w w:val="105"/>
        </w:rPr>
        <w:t>not</w:t>
      </w:r>
      <w:r>
        <w:rPr>
          <w:spacing w:val="23"/>
          <w:w w:val="105"/>
        </w:rPr>
        <w:t> </w:t>
      </w:r>
      <w:r>
        <w:rPr>
          <w:w w:val="105"/>
        </w:rPr>
        <w:t>accepted</w:t>
      </w:r>
      <w:r>
        <w:rPr>
          <w:spacing w:val="23"/>
          <w:w w:val="105"/>
        </w:rPr>
        <w:t> </w:t>
      </w:r>
      <w:r>
        <w:rPr>
          <w:w w:val="105"/>
        </w:rPr>
        <w:t>by</w:t>
      </w:r>
      <w:r>
        <w:rPr>
          <w:spacing w:val="23"/>
          <w:w w:val="105"/>
        </w:rPr>
        <w:t> </w:t>
      </w:r>
      <w:r>
        <w:rPr>
          <w:w w:val="105"/>
        </w:rPr>
        <w:t>the</w:t>
      </w:r>
      <w:r>
        <w:rPr>
          <w:spacing w:val="23"/>
          <w:w w:val="105"/>
        </w:rPr>
        <w:t> </w:t>
      </w:r>
      <w:r>
        <w:rPr>
          <w:w w:val="105"/>
        </w:rPr>
        <w:t>Board,</w:t>
      </w:r>
      <w:r>
        <w:rPr>
          <w:spacing w:val="23"/>
          <w:w w:val="105"/>
        </w:rPr>
        <w:t> </w:t>
      </w:r>
      <w:r>
        <w:rPr>
          <w:w w:val="105"/>
        </w:rPr>
        <w:t>the</w:t>
      </w:r>
      <w:r>
        <w:rPr>
          <w:spacing w:val="23"/>
          <w:w w:val="105"/>
        </w:rPr>
        <w:t> </w:t>
      </w:r>
      <w:r>
        <w:rPr>
          <w:w w:val="105"/>
        </w:rPr>
        <w:t>director</w:t>
      </w:r>
      <w:r>
        <w:rPr>
          <w:spacing w:val="23"/>
          <w:w w:val="105"/>
        </w:rPr>
        <w:t> </w:t>
      </w:r>
      <w:r>
        <w:rPr>
          <w:w w:val="105"/>
        </w:rPr>
        <w:t>will</w:t>
      </w:r>
      <w:r>
        <w:rPr>
          <w:spacing w:val="23"/>
          <w:w w:val="105"/>
        </w:rPr>
        <w:t> </w:t>
      </w:r>
      <w:r>
        <w:rPr>
          <w:w w:val="105"/>
        </w:rPr>
        <w:t>continue</w:t>
      </w:r>
      <w:r>
        <w:rPr>
          <w:spacing w:val="23"/>
          <w:w w:val="105"/>
        </w:rPr>
        <w:t> </w:t>
      </w:r>
      <w:r>
        <w:rPr>
          <w:w w:val="105"/>
        </w:rPr>
        <w:t>to</w:t>
      </w:r>
      <w:r>
        <w:rPr>
          <w:spacing w:val="23"/>
          <w:w w:val="105"/>
        </w:rPr>
        <w:t> </w:t>
      </w:r>
      <w:r>
        <w:rPr>
          <w:w w:val="105"/>
        </w:rPr>
        <w:t>serve</w:t>
      </w:r>
      <w:r>
        <w:rPr>
          <w:spacing w:val="23"/>
          <w:w w:val="105"/>
        </w:rPr>
        <w:t> </w:t>
      </w:r>
      <w:r>
        <w:rPr>
          <w:w w:val="105"/>
        </w:rPr>
        <w:t>until</w:t>
      </w:r>
      <w:r>
        <w:rPr>
          <w:spacing w:val="23"/>
          <w:w w:val="105"/>
        </w:rPr>
        <w:t> </w:t>
      </w:r>
      <w:r>
        <w:rPr>
          <w:w w:val="105"/>
        </w:rPr>
        <w:t>the</w:t>
      </w:r>
      <w:r>
        <w:rPr>
          <w:spacing w:val="23"/>
          <w:w w:val="105"/>
        </w:rPr>
        <w:t> </w:t>
      </w:r>
      <w:r>
        <w:rPr>
          <w:w w:val="105"/>
        </w:rPr>
        <w:t>next</w:t>
      </w:r>
      <w:r>
        <w:rPr>
          <w:spacing w:val="23"/>
          <w:w w:val="105"/>
        </w:rPr>
        <w:t> </w:t>
      </w:r>
      <w:r>
        <w:rPr>
          <w:w w:val="105"/>
        </w:rPr>
        <w:t>annual meeting and until his or her successor is duly elected, or his or her earlier resignation or removal. If the</w:t>
      </w:r>
      <w:r>
        <w:rPr>
          <w:spacing w:val="40"/>
          <w:w w:val="105"/>
        </w:rPr>
        <w:t> </w:t>
      </w:r>
      <w:r>
        <w:rPr>
          <w:w w:val="105"/>
        </w:rPr>
        <w:t>director’s</w:t>
      </w:r>
      <w:r>
        <w:rPr>
          <w:spacing w:val="22"/>
          <w:w w:val="105"/>
        </w:rPr>
        <w:t> </w:t>
      </w:r>
      <w:r>
        <w:rPr>
          <w:w w:val="105"/>
        </w:rPr>
        <w:t>resignation</w:t>
      </w:r>
      <w:r>
        <w:rPr>
          <w:spacing w:val="22"/>
          <w:w w:val="105"/>
        </w:rPr>
        <w:t> </w:t>
      </w:r>
      <w:r>
        <w:rPr>
          <w:w w:val="105"/>
        </w:rPr>
        <w:t>is</w:t>
      </w:r>
      <w:r>
        <w:rPr>
          <w:spacing w:val="22"/>
          <w:w w:val="105"/>
        </w:rPr>
        <w:t> </w:t>
      </w:r>
      <w:r>
        <w:rPr>
          <w:w w:val="105"/>
        </w:rPr>
        <w:t>accepted</w:t>
      </w:r>
      <w:r>
        <w:rPr>
          <w:spacing w:val="22"/>
          <w:w w:val="105"/>
        </w:rPr>
        <w:t> </w:t>
      </w:r>
      <w:r>
        <w:rPr>
          <w:w w:val="105"/>
        </w:rPr>
        <w:t>by</w:t>
      </w:r>
      <w:r>
        <w:rPr>
          <w:spacing w:val="22"/>
          <w:w w:val="105"/>
        </w:rPr>
        <w:t> </w:t>
      </w:r>
      <w:r>
        <w:rPr>
          <w:w w:val="105"/>
        </w:rPr>
        <w:t>the</w:t>
      </w:r>
      <w:r>
        <w:rPr>
          <w:spacing w:val="22"/>
          <w:w w:val="105"/>
        </w:rPr>
        <w:t> </w:t>
      </w:r>
      <w:r>
        <w:rPr>
          <w:w w:val="105"/>
        </w:rPr>
        <w:t>Board,</w:t>
      </w:r>
      <w:r>
        <w:rPr>
          <w:spacing w:val="22"/>
          <w:w w:val="105"/>
        </w:rPr>
        <w:t> </w:t>
      </w:r>
      <w:r>
        <w:rPr>
          <w:w w:val="105"/>
        </w:rPr>
        <w:t>or</w:t>
      </w:r>
      <w:r>
        <w:rPr>
          <w:spacing w:val="22"/>
          <w:w w:val="105"/>
        </w:rPr>
        <w:t> </w:t>
      </w:r>
      <w:r>
        <w:rPr>
          <w:w w:val="105"/>
        </w:rPr>
        <w:t>if</w:t>
      </w:r>
      <w:r>
        <w:rPr>
          <w:spacing w:val="22"/>
          <w:w w:val="105"/>
        </w:rPr>
        <w:t> </w:t>
      </w:r>
      <w:r>
        <w:rPr>
          <w:w w:val="105"/>
        </w:rPr>
        <w:t>a</w:t>
      </w:r>
      <w:r>
        <w:rPr>
          <w:spacing w:val="22"/>
          <w:w w:val="105"/>
        </w:rPr>
        <w:t> </w:t>
      </w:r>
      <w:r>
        <w:rPr>
          <w:w w:val="105"/>
        </w:rPr>
        <w:t>nominee</w:t>
      </w:r>
      <w:r>
        <w:rPr>
          <w:spacing w:val="22"/>
          <w:w w:val="105"/>
        </w:rPr>
        <w:t> </w:t>
      </w:r>
      <w:r>
        <w:rPr>
          <w:w w:val="105"/>
        </w:rPr>
        <w:t>for</w:t>
      </w:r>
      <w:r>
        <w:rPr>
          <w:spacing w:val="22"/>
          <w:w w:val="105"/>
        </w:rPr>
        <w:t> </w:t>
      </w:r>
      <w:r>
        <w:rPr>
          <w:w w:val="105"/>
        </w:rPr>
        <w:t>director</w:t>
      </w:r>
      <w:r>
        <w:rPr>
          <w:spacing w:val="22"/>
          <w:w w:val="105"/>
        </w:rPr>
        <w:t> </w:t>
      </w:r>
      <w:r>
        <w:rPr>
          <w:w w:val="105"/>
        </w:rPr>
        <w:t>is</w:t>
      </w:r>
      <w:r>
        <w:rPr>
          <w:spacing w:val="22"/>
          <w:w w:val="105"/>
        </w:rPr>
        <w:t> </w:t>
      </w:r>
      <w:r>
        <w:rPr>
          <w:w w:val="105"/>
        </w:rPr>
        <w:t>not</w:t>
      </w:r>
      <w:r>
        <w:rPr>
          <w:spacing w:val="22"/>
          <w:w w:val="105"/>
        </w:rPr>
        <w:t> </w:t>
      </w:r>
      <w:r>
        <w:rPr>
          <w:w w:val="105"/>
        </w:rPr>
        <w:t>elected</w:t>
      </w:r>
      <w:r>
        <w:rPr>
          <w:spacing w:val="22"/>
          <w:w w:val="105"/>
        </w:rPr>
        <w:t> </w:t>
      </w:r>
      <w:r>
        <w:rPr>
          <w:w w:val="105"/>
        </w:rPr>
        <w:t>and</w:t>
      </w:r>
      <w:r>
        <w:rPr>
          <w:spacing w:val="22"/>
          <w:w w:val="105"/>
        </w:rPr>
        <w:t> </w:t>
      </w:r>
      <w:r>
        <w:rPr>
          <w:w w:val="105"/>
        </w:rPr>
        <w:t>the nominee</w:t>
      </w:r>
      <w:r>
        <w:rPr>
          <w:spacing w:val="23"/>
          <w:w w:val="105"/>
        </w:rPr>
        <w:t> </w:t>
      </w:r>
      <w:r>
        <w:rPr>
          <w:w w:val="105"/>
        </w:rPr>
        <w:t>is</w:t>
      </w:r>
      <w:r>
        <w:rPr>
          <w:spacing w:val="23"/>
          <w:w w:val="105"/>
        </w:rPr>
        <w:t> </w:t>
      </w:r>
      <w:r>
        <w:rPr>
          <w:w w:val="105"/>
        </w:rPr>
        <w:t>not</w:t>
      </w:r>
      <w:r>
        <w:rPr>
          <w:spacing w:val="23"/>
          <w:w w:val="105"/>
        </w:rPr>
        <w:t> </w:t>
      </w:r>
      <w:r>
        <w:rPr>
          <w:w w:val="105"/>
        </w:rPr>
        <w:t>an</w:t>
      </w:r>
      <w:r>
        <w:rPr>
          <w:spacing w:val="23"/>
          <w:w w:val="105"/>
        </w:rPr>
        <w:t> </w:t>
      </w:r>
      <w:r>
        <w:rPr>
          <w:w w:val="105"/>
        </w:rPr>
        <w:t>incumbent</w:t>
      </w:r>
      <w:r>
        <w:rPr>
          <w:spacing w:val="23"/>
          <w:w w:val="105"/>
        </w:rPr>
        <w:t> </w:t>
      </w:r>
      <w:r>
        <w:rPr>
          <w:w w:val="105"/>
        </w:rPr>
        <w:t>director,</w:t>
      </w:r>
      <w:r>
        <w:rPr>
          <w:spacing w:val="23"/>
          <w:w w:val="105"/>
        </w:rPr>
        <w:t> </w:t>
      </w:r>
      <w:r>
        <w:rPr>
          <w:w w:val="105"/>
        </w:rPr>
        <w:t>then</w:t>
      </w:r>
      <w:r>
        <w:rPr>
          <w:spacing w:val="23"/>
          <w:w w:val="105"/>
        </w:rPr>
        <w:t> </w:t>
      </w:r>
      <w:r>
        <w:rPr>
          <w:w w:val="105"/>
        </w:rPr>
        <w:t>the</w:t>
      </w:r>
      <w:r>
        <w:rPr>
          <w:spacing w:val="23"/>
          <w:w w:val="105"/>
        </w:rPr>
        <w:t> </w:t>
      </w:r>
      <w:r>
        <w:rPr>
          <w:w w:val="105"/>
        </w:rPr>
        <w:t>Board,</w:t>
      </w:r>
      <w:r>
        <w:rPr>
          <w:spacing w:val="23"/>
          <w:w w:val="105"/>
        </w:rPr>
        <w:t> </w:t>
      </w:r>
      <w:r>
        <w:rPr>
          <w:w w:val="105"/>
        </w:rPr>
        <w:t>in</w:t>
      </w:r>
      <w:r>
        <w:rPr>
          <w:spacing w:val="23"/>
          <w:w w:val="105"/>
        </w:rPr>
        <w:t> </w:t>
      </w:r>
      <w:r>
        <w:rPr>
          <w:w w:val="105"/>
        </w:rPr>
        <w:t>its</w:t>
      </w:r>
      <w:r>
        <w:rPr>
          <w:spacing w:val="23"/>
          <w:w w:val="105"/>
        </w:rPr>
        <w:t> </w:t>
      </w:r>
      <w:r>
        <w:rPr>
          <w:w w:val="105"/>
        </w:rPr>
        <w:t>sole</w:t>
      </w:r>
      <w:r>
        <w:rPr>
          <w:spacing w:val="23"/>
          <w:w w:val="105"/>
        </w:rPr>
        <w:t> </w:t>
      </w:r>
      <w:r>
        <w:rPr>
          <w:w w:val="105"/>
        </w:rPr>
        <w:t>discretion,</w:t>
      </w:r>
      <w:r>
        <w:rPr>
          <w:spacing w:val="23"/>
          <w:w w:val="105"/>
        </w:rPr>
        <w:t> </w:t>
      </w:r>
      <w:r>
        <w:rPr>
          <w:w w:val="105"/>
        </w:rPr>
        <w:t>may</w:t>
      </w:r>
      <w:r>
        <w:rPr>
          <w:spacing w:val="23"/>
          <w:w w:val="105"/>
        </w:rPr>
        <w:t> </w:t>
      </w:r>
      <w:r>
        <w:rPr>
          <w:w w:val="105"/>
        </w:rPr>
        <w:t>fill</w:t>
      </w:r>
      <w:r>
        <w:rPr>
          <w:spacing w:val="23"/>
          <w:w w:val="105"/>
        </w:rPr>
        <w:t> </w:t>
      </w:r>
      <w:r>
        <w:rPr>
          <w:w w:val="105"/>
        </w:rPr>
        <w:t>any</w:t>
      </w:r>
      <w:r>
        <w:rPr>
          <w:spacing w:val="23"/>
          <w:w w:val="105"/>
        </w:rPr>
        <w:t> </w:t>
      </w:r>
      <w:r>
        <w:rPr>
          <w:w w:val="105"/>
        </w:rPr>
        <w:t>resulting vacancy or decrease the size of the Board pursuant to the provisions of our Bylaws.</w:t>
      </w:r>
    </w:p>
    <w:p>
      <w:pPr>
        <w:pStyle w:val="Heading2"/>
        <w:spacing w:before="155"/>
      </w:pPr>
      <w:r>
        <w:rPr>
          <w:spacing w:val="-2"/>
          <w:w w:val="105"/>
        </w:rPr>
        <w:t>Q:</w:t>
      </w:r>
      <w:r>
        <w:rPr>
          <w:spacing w:val="67"/>
          <w:w w:val="150"/>
        </w:rPr>
        <w:t> </w:t>
      </w:r>
      <w:r>
        <w:rPr>
          <w:spacing w:val="-2"/>
          <w:w w:val="105"/>
        </w:rPr>
        <w:t>Can</w:t>
      </w:r>
      <w:r>
        <w:rPr>
          <w:spacing w:val="-10"/>
          <w:w w:val="105"/>
        </w:rPr>
        <w:t> </w:t>
      </w:r>
      <w:r>
        <w:rPr>
          <w:spacing w:val="-2"/>
          <w:w w:val="105"/>
        </w:rPr>
        <w:t>I</w:t>
      </w:r>
      <w:r>
        <w:rPr>
          <w:spacing w:val="-10"/>
          <w:w w:val="105"/>
        </w:rPr>
        <w:t> </w:t>
      </w:r>
      <w:r>
        <w:rPr>
          <w:spacing w:val="-2"/>
          <w:w w:val="105"/>
        </w:rPr>
        <w:t>vote</w:t>
      </w:r>
      <w:r>
        <w:rPr>
          <w:spacing w:val="-9"/>
          <w:w w:val="105"/>
        </w:rPr>
        <w:t> </w:t>
      </w:r>
      <w:r>
        <w:rPr>
          <w:spacing w:val="-2"/>
          <w:w w:val="105"/>
        </w:rPr>
        <w:t>on</w:t>
      </w:r>
      <w:r>
        <w:rPr>
          <w:spacing w:val="-10"/>
          <w:w w:val="105"/>
        </w:rPr>
        <w:t> </w:t>
      </w:r>
      <w:r>
        <w:rPr>
          <w:spacing w:val="-2"/>
          <w:w w:val="105"/>
        </w:rPr>
        <w:t>other</w:t>
      </w:r>
      <w:r>
        <w:rPr>
          <w:spacing w:val="-12"/>
          <w:w w:val="105"/>
        </w:rPr>
        <w:t> </w:t>
      </w:r>
      <w:r>
        <w:rPr>
          <w:spacing w:val="-2"/>
          <w:w w:val="105"/>
        </w:rPr>
        <w:t>matters?</w:t>
      </w:r>
    </w:p>
    <w:p>
      <w:pPr>
        <w:pStyle w:val="BodyText"/>
        <w:spacing w:line="259" w:lineRule="auto" w:before="157"/>
        <w:ind w:left="1772" w:right="1411" w:hanging="373"/>
      </w:pPr>
      <w:r>
        <w:rPr>
          <w:w w:val="105"/>
        </w:rPr>
        <w:t>A:</w:t>
      </w:r>
      <w:r>
        <w:rPr>
          <w:spacing w:val="40"/>
          <w:w w:val="105"/>
        </w:rPr>
        <w:t>  </w:t>
      </w:r>
      <w:r>
        <w:rPr>
          <w:w w:val="105"/>
        </w:rPr>
        <w:t>You are entitled to vote on any other matters that are properly brought before the Annual Meeting. Our Bylaws limit the business conducted at any annual meeting to (1) business in the notice of the annual</w:t>
      </w:r>
      <w:r>
        <w:rPr>
          <w:spacing w:val="40"/>
          <w:w w:val="105"/>
        </w:rPr>
        <w:t> </w:t>
      </w:r>
      <w:r>
        <w:rPr>
          <w:w w:val="105"/>
        </w:rPr>
        <w:t>meeting,</w:t>
      </w:r>
      <w:r>
        <w:rPr>
          <w:spacing w:val="14"/>
          <w:w w:val="105"/>
        </w:rPr>
        <w:t> </w:t>
      </w:r>
      <w:r>
        <w:rPr>
          <w:w w:val="105"/>
        </w:rPr>
        <w:t>(2)</w:t>
      </w:r>
      <w:r>
        <w:rPr>
          <w:spacing w:val="14"/>
          <w:w w:val="105"/>
        </w:rPr>
        <w:t> </w:t>
      </w:r>
      <w:r>
        <w:rPr>
          <w:w w:val="105"/>
        </w:rPr>
        <w:t>business</w:t>
      </w:r>
      <w:r>
        <w:rPr>
          <w:spacing w:val="14"/>
          <w:w w:val="105"/>
        </w:rPr>
        <w:t> </w:t>
      </w:r>
      <w:r>
        <w:rPr>
          <w:w w:val="105"/>
        </w:rPr>
        <w:t>directed</w:t>
      </w:r>
      <w:r>
        <w:rPr>
          <w:spacing w:val="14"/>
          <w:w w:val="105"/>
        </w:rPr>
        <w:t> </w:t>
      </w:r>
      <w:r>
        <w:rPr>
          <w:w w:val="105"/>
        </w:rPr>
        <w:t>by</w:t>
      </w:r>
      <w:r>
        <w:rPr>
          <w:spacing w:val="14"/>
          <w:w w:val="105"/>
        </w:rPr>
        <w:t> </w:t>
      </w:r>
      <w:r>
        <w:rPr>
          <w:w w:val="105"/>
        </w:rPr>
        <w:t>the</w:t>
      </w:r>
      <w:r>
        <w:rPr>
          <w:spacing w:val="14"/>
          <w:w w:val="105"/>
        </w:rPr>
        <w:t> </w:t>
      </w:r>
      <w:r>
        <w:rPr>
          <w:w w:val="105"/>
        </w:rPr>
        <w:t>Board</w:t>
      </w:r>
      <w:r>
        <w:rPr>
          <w:spacing w:val="14"/>
          <w:w w:val="105"/>
        </w:rPr>
        <w:t> </w:t>
      </w:r>
      <w:r>
        <w:rPr>
          <w:w w:val="105"/>
        </w:rPr>
        <w:t>and</w:t>
      </w:r>
      <w:r>
        <w:rPr>
          <w:spacing w:val="14"/>
          <w:w w:val="105"/>
        </w:rPr>
        <w:t> </w:t>
      </w:r>
      <w:r>
        <w:rPr>
          <w:w w:val="105"/>
        </w:rPr>
        <w:t>(3)</w:t>
      </w:r>
      <w:r>
        <w:rPr>
          <w:spacing w:val="14"/>
          <w:w w:val="105"/>
        </w:rPr>
        <w:t> </w:t>
      </w:r>
      <w:r>
        <w:rPr>
          <w:w w:val="105"/>
        </w:rPr>
        <w:t>business</w:t>
      </w:r>
      <w:r>
        <w:rPr>
          <w:spacing w:val="14"/>
          <w:w w:val="105"/>
        </w:rPr>
        <w:t> </w:t>
      </w:r>
      <w:r>
        <w:rPr>
          <w:w w:val="105"/>
        </w:rPr>
        <w:t>brought</w:t>
      </w:r>
      <w:r>
        <w:rPr>
          <w:spacing w:val="14"/>
          <w:w w:val="105"/>
        </w:rPr>
        <w:t> </w:t>
      </w:r>
      <w:r>
        <w:rPr>
          <w:w w:val="105"/>
        </w:rPr>
        <w:t>by</w:t>
      </w:r>
      <w:r>
        <w:rPr>
          <w:spacing w:val="14"/>
          <w:w w:val="105"/>
        </w:rPr>
        <w:t> </w:t>
      </w:r>
      <w:r>
        <w:rPr>
          <w:w w:val="105"/>
        </w:rPr>
        <w:t>a</w:t>
      </w:r>
      <w:r>
        <w:rPr>
          <w:spacing w:val="14"/>
          <w:w w:val="105"/>
        </w:rPr>
        <w:t> </w:t>
      </w:r>
      <w:r>
        <w:rPr>
          <w:w w:val="105"/>
        </w:rPr>
        <w:t>stockholder</w:t>
      </w:r>
      <w:r>
        <w:rPr>
          <w:spacing w:val="14"/>
          <w:w w:val="105"/>
        </w:rPr>
        <w:t> </w:t>
      </w:r>
      <w:r>
        <w:rPr>
          <w:w w:val="105"/>
        </w:rPr>
        <w:t>of</w:t>
      </w:r>
      <w:r>
        <w:rPr>
          <w:spacing w:val="14"/>
          <w:w w:val="105"/>
        </w:rPr>
        <w:t> </w:t>
      </w:r>
      <w:r>
        <w:rPr>
          <w:w w:val="105"/>
        </w:rPr>
        <w:t>record</w:t>
      </w:r>
      <w:r>
        <w:rPr>
          <w:spacing w:val="14"/>
          <w:w w:val="105"/>
        </w:rPr>
        <w:t> </w:t>
      </w:r>
      <w:r>
        <w:rPr>
          <w:w w:val="105"/>
        </w:rPr>
        <w:t>entitled to vote at the meeting so long as the stockholder has met the requirements for submitting stockholder</w:t>
      </w:r>
      <w:r>
        <w:rPr>
          <w:spacing w:val="40"/>
          <w:w w:val="105"/>
        </w:rPr>
        <w:t> </w:t>
      </w:r>
      <w:r>
        <w:rPr>
          <w:w w:val="105"/>
        </w:rPr>
        <w:t>proposals</w:t>
      </w:r>
      <w:r>
        <w:rPr>
          <w:spacing w:val="25"/>
          <w:w w:val="105"/>
        </w:rPr>
        <w:t> </w:t>
      </w:r>
      <w:r>
        <w:rPr>
          <w:w w:val="105"/>
        </w:rPr>
        <w:t>provided</w:t>
      </w:r>
      <w:r>
        <w:rPr>
          <w:spacing w:val="25"/>
          <w:w w:val="105"/>
        </w:rPr>
        <w:t> </w:t>
      </w:r>
      <w:r>
        <w:rPr>
          <w:w w:val="105"/>
        </w:rPr>
        <w:t>in</w:t>
      </w:r>
      <w:r>
        <w:rPr>
          <w:spacing w:val="25"/>
          <w:w w:val="105"/>
        </w:rPr>
        <w:t> </w:t>
      </w:r>
      <w:r>
        <w:rPr>
          <w:w w:val="105"/>
        </w:rPr>
        <w:t>our</w:t>
      </w:r>
      <w:r>
        <w:rPr>
          <w:spacing w:val="25"/>
          <w:w w:val="105"/>
        </w:rPr>
        <w:t> </w:t>
      </w:r>
      <w:r>
        <w:rPr>
          <w:w w:val="105"/>
        </w:rPr>
        <w:t>Bylaws.</w:t>
      </w:r>
      <w:r>
        <w:rPr>
          <w:spacing w:val="25"/>
          <w:w w:val="105"/>
        </w:rPr>
        <w:t> </w:t>
      </w:r>
      <w:r>
        <w:rPr>
          <w:w w:val="105"/>
        </w:rPr>
        <w:t>Under</w:t>
      </w:r>
      <w:r>
        <w:rPr>
          <w:spacing w:val="25"/>
          <w:w w:val="105"/>
        </w:rPr>
        <w:t> </w:t>
      </w:r>
      <w:r>
        <w:rPr>
          <w:w w:val="105"/>
        </w:rPr>
        <w:t>our</w:t>
      </w:r>
      <w:r>
        <w:rPr>
          <w:spacing w:val="25"/>
          <w:w w:val="105"/>
        </w:rPr>
        <w:t> </w:t>
      </w:r>
      <w:r>
        <w:rPr>
          <w:w w:val="105"/>
        </w:rPr>
        <w:t>Bylaws,</w:t>
      </w:r>
      <w:r>
        <w:rPr>
          <w:spacing w:val="25"/>
          <w:w w:val="105"/>
        </w:rPr>
        <w:t> </w:t>
      </w:r>
      <w:r>
        <w:rPr>
          <w:w w:val="105"/>
        </w:rPr>
        <w:t>a</w:t>
      </w:r>
      <w:r>
        <w:rPr>
          <w:spacing w:val="25"/>
          <w:w w:val="105"/>
        </w:rPr>
        <w:t> </w:t>
      </w:r>
      <w:r>
        <w:rPr>
          <w:w w:val="105"/>
        </w:rPr>
        <w:t>stockholder</w:t>
      </w:r>
      <w:r>
        <w:rPr>
          <w:spacing w:val="25"/>
          <w:w w:val="105"/>
        </w:rPr>
        <w:t> </w:t>
      </w:r>
      <w:r>
        <w:rPr>
          <w:w w:val="105"/>
        </w:rPr>
        <w:t>must</w:t>
      </w:r>
      <w:r>
        <w:rPr>
          <w:spacing w:val="25"/>
          <w:w w:val="105"/>
        </w:rPr>
        <w:t> </w:t>
      </w:r>
      <w:r>
        <w:rPr>
          <w:w w:val="105"/>
        </w:rPr>
        <w:t>notify</w:t>
      </w:r>
      <w:r>
        <w:rPr>
          <w:spacing w:val="25"/>
          <w:w w:val="105"/>
        </w:rPr>
        <w:t> </w:t>
      </w:r>
      <w:r>
        <w:rPr>
          <w:w w:val="105"/>
        </w:rPr>
        <w:t>our</w:t>
      </w:r>
      <w:r>
        <w:rPr>
          <w:spacing w:val="25"/>
          <w:w w:val="105"/>
        </w:rPr>
        <w:t> </w:t>
      </w:r>
      <w:r>
        <w:rPr>
          <w:w w:val="105"/>
        </w:rPr>
        <w:t>Secretary</w:t>
      </w:r>
      <w:r>
        <w:rPr>
          <w:spacing w:val="25"/>
          <w:w w:val="105"/>
        </w:rPr>
        <w:t> </w:t>
      </w:r>
      <w:r>
        <w:rPr>
          <w:w w:val="105"/>
        </w:rPr>
        <w:t>in</w:t>
      </w:r>
      <w:r>
        <w:rPr>
          <w:w w:val="105"/>
        </w:rPr>
        <w:t> writing</w:t>
      </w:r>
      <w:r>
        <w:rPr>
          <w:spacing w:val="20"/>
          <w:w w:val="105"/>
        </w:rPr>
        <w:t> </w:t>
      </w:r>
      <w:r>
        <w:rPr>
          <w:w w:val="105"/>
        </w:rPr>
        <w:t>(at</w:t>
      </w:r>
      <w:r>
        <w:rPr>
          <w:spacing w:val="20"/>
          <w:w w:val="105"/>
        </w:rPr>
        <w:t> </w:t>
      </w:r>
      <w:r>
        <w:rPr>
          <w:w w:val="105"/>
        </w:rPr>
        <w:t>our</w:t>
      </w:r>
      <w:r>
        <w:rPr>
          <w:spacing w:val="20"/>
          <w:w w:val="105"/>
        </w:rPr>
        <w:t> </w:t>
      </w:r>
      <w:r>
        <w:rPr>
          <w:w w:val="105"/>
        </w:rPr>
        <w:t>Salt</w:t>
      </w:r>
      <w:r>
        <w:rPr>
          <w:spacing w:val="20"/>
          <w:w w:val="105"/>
        </w:rPr>
        <w:t> </w:t>
      </w:r>
      <w:r>
        <w:rPr>
          <w:w w:val="105"/>
        </w:rPr>
        <w:t>Lake</w:t>
      </w:r>
      <w:r>
        <w:rPr>
          <w:spacing w:val="20"/>
          <w:w w:val="105"/>
        </w:rPr>
        <w:t> </w:t>
      </w:r>
      <w:r>
        <w:rPr>
          <w:w w:val="105"/>
        </w:rPr>
        <w:t>City,</w:t>
      </w:r>
      <w:r>
        <w:rPr>
          <w:spacing w:val="20"/>
          <w:w w:val="105"/>
        </w:rPr>
        <w:t> </w:t>
      </w:r>
      <w:r>
        <w:rPr>
          <w:w w:val="105"/>
        </w:rPr>
        <w:t>Utah</w:t>
      </w:r>
      <w:r>
        <w:rPr>
          <w:spacing w:val="20"/>
          <w:w w:val="105"/>
        </w:rPr>
        <w:t> </w:t>
      </w:r>
      <w:r>
        <w:rPr>
          <w:w w:val="105"/>
        </w:rPr>
        <w:t>headquarters)</w:t>
      </w:r>
      <w:r>
        <w:rPr>
          <w:spacing w:val="20"/>
          <w:w w:val="105"/>
        </w:rPr>
        <w:t> </w:t>
      </w:r>
      <w:r>
        <w:rPr>
          <w:w w:val="105"/>
        </w:rPr>
        <w:t>of</w:t>
      </w:r>
      <w:r>
        <w:rPr>
          <w:spacing w:val="20"/>
          <w:w w:val="105"/>
        </w:rPr>
        <w:t> </w:t>
      </w:r>
      <w:r>
        <w:rPr>
          <w:w w:val="105"/>
        </w:rPr>
        <w:t>the</w:t>
      </w:r>
      <w:r>
        <w:rPr>
          <w:spacing w:val="20"/>
          <w:w w:val="105"/>
        </w:rPr>
        <w:t> </w:t>
      </w:r>
      <w:r>
        <w:rPr>
          <w:w w:val="105"/>
        </w:rPr>
        <w:t>proposal</w:t>
      </w:r>
      <w:r>
        <w:rPr>
          <w:spacing w:val="20"/>
          <w:w w:val="105"/>
        </w:rPr>
        <w:t> </w:t>
      </w:r>
      <w:r>
        <w:rPr>
          <w:w w:val="105"/>
        </w:rPr>
        <w:t>not</w:t>
      </w:r>
      <w:r>
        <w:rPr>
          <w:spacing w:val="20"/>
          <w:w w:val="105"/>
        </w:rPr>
        <w:t> </w:t>
      </w:r>
      <w:r>
        <w:rPr>
          <w:w w:val="105"/>
        </w:rPr>
        <w:t>less</w:t>
      </w:r>
      <w:r>
        <w:rPr>
          <w:spacing w:val="20"/>
          <w:w w:val="105"/>
        </w:rPr>
        <w:t> </w:t>
      </w:r>
      <w:r>
        <w:rPr>
          <w:w w:val="105"/>
        </w:rPr>
        <w:t>than</w:t>
      </w:r>
      <w:r>
        <w:rPr>
          <w:spacing w:val="20"/>
          <w:w w:val="105"/>
        </w:rPr>
        <w:t> </w:t>
      </w:r>
      <w:r>
        <w:rPr>
          <w:w w:val="105"/>
        </w:rPr>
        <w:t>90</w:t>
      </w:r>
      <w:r>
        <w:rPr>
          <w:spacing w:val="20"/>
          <w:w w:val="105"/>
        </w:rPr>
        <w:t> </w:t>
      </w:r>
      <w:r>
        <w:rPr>
          <w:w w:val="105"/>
        </w:rPr>
        <w:t>days</w:t>
      </w:r>
      <w:r>
        <w:rPr>
          <w:spacing w:val="20"/>
          <w:w w:val="105"/>
        </w:rPr>
        <w:t> </w:t>
      </w:r>
      <w:r>
        <w:rPr>
          <w:w w:val="105"/>
        </w:rPr>
        <w:t>nor</w:t>
      </w:r>
      <w:r>
        <w:rPr>
          <w:spacing w:val="20"/>
          <w:w w:val="105"/>
        </w:rPr>
        <w:t> </w:t>
      </w:r>
      <w:r>
        <w:rPr>
          <w:w w:val="105"/>
        </w:rPr>
        <w:t>more</w:t>
      </w:r>
      <w:r>
        <w:rPr>
          <w:spacing w:val="20"/>
          <w:w w:val="105"/>
        </w:rPr>
        <w:t> </w:t>
      </w:r>
      <w:r>
        <w:rPr>
          <w:w w:val="105"/>
        </w:rPr>
        <w:t>than 120</w:t>
      </w:r>
      <w:r>
        <w:rPr>
          <w:spacing w:val="16"/>
          <w:w w:val="105"/>
        </w:rPr>
        <w:t> </w:t>
      </w:r>
      <w:r>
        <w:rPr>
          <w:w w:val="105"/>
        </w:rPr>
        <w:t>days</w:t>
      </w:r>
      <w:r>
        <w:rPr>
          <w:spacing w:val="16"/>
          <w:w w:val="105"/>
        </w:rPr>
        <w:t> </w:t>
      </w:r>
      <w:r>
        <w:rPr>
          <w:w w:val="105"/>
        </w:rPr>
        <w:t>before</w:t>
      </w:r>
      <w:r>
        <w:rPr>
          <w:spacing w:val="16"/>
          <w:w w:val="105"/>
        </w:rPr>
        <w:t> </w:t>
      </w:r>
      <w:r>
        <w:rPr>
          <w:w w:val="105"/>
        </w:rPr>
        <w:t>the</w:t>
      </w:r>
      <w:r>
        <w:rPr>
          <w:spacing w:val="16"/>
          <w:w w:val="105"/>
        </w:rPr>
        <w:t> </w:t>
      </w:r>
      <w:r>
        <w:rPr>
          <w:w w:val="105"/>
        </w:rPr>
        <w:t>anniversary</w:t>
      </w:r>
      <w:r>
        <w:rPr>
          <w:spacing w:val="16"/>
          <w:w w:val="105"/>
        </w:rPr>
        <w:t> </w:t>
      </w:r>
      <w:r>
        <w:rPr>
          <w:w w:val="105"/>
        </w:rPr>
        <w:t>of</w:t>
      </w:r>
      <w:r>
        <w:rPr>
          <w:spacing w:val="16"/>
          <w:w w:val="105"/>
        </w:rPr>
        <w:t> </w:t>
      </w:r>
      <w:r>
        <w:rPr>
          <w:w w:val="105"/>
        </w:rPr>
        <w:t>the</w:t>
      </w:r>
      <w:r>
        <w:rPr>
          <w:spacing w:val="16"/>
          <w:w w:val="105"/>
        </w:rPr>
        <w:t> </w:t>
      </w:r>
      <w:r>
        <w:rPr>
          <w:w w:val="105"/>
        </w:rPr>
        <w:t>prior</w:t>
      </w:r>
      <w:r>
        <w:rPr>
          <w:spacing w:val="16"/>
          <w:w w:val="105"/>
        </w:rPr>
        <w:t> </w:t>
      </w:r>
      <w:r>
        <w:rPr>
          <w:w w:val="105"/>
        </w:rPr>
        <w:t>year’s</w:t>
      </w:r>
      <w:r>
        <w:rPr>
          <w:spacing w:val="16"/>
          <w:w w:val="105"/>
        </w:rPr>
        <w:t> </w:t>
      </w:r>
      <w:r>
        <w:rPr>
          <w:w w:val="105"/>
        </w:rPr>
        <w:t>annual</w:t>
      </w:r>
      <w:r>
        <w:rPr>
          <w:spacing w:val="16"/>
          <w:w w:val="105"/>
        </w:rPr>
        <w:t> </w:t>
      </w:r>
      <w:r>
        <w:rPr>
          <w:w w:val="105"/>
        </w:rPr>
        <w:t>meeting,</w:t>
      </w:r>
      <w:r>
        <w:rPr>
          <w:spacing w:val="16"/>
          <w:w w:val="105"/>
        </w:rPr>
        <w:t> </w:t>
      </w:r>
      <w:r>
        <w:rPr>
          <w:w w:val="105"/>
        </w:rPr>
        <w:t>which</w:t>
      </w:r>
      <w:r>
        <w:rPr>
          <w:spacing w:val="16"/>
          <w:w w:val="105"/>
        </w:rPr>
        <w:t> </w:t>
      </w:r>
      <w:r>
        <w:rPr>
          <w:w w:val="105"/>
        </w:rPr>
        <w:t>for</w:t>
      </w:r>
      <w:r>
        <w:rPr>
          <w:spacing w:val="16"/>
          <w:w w:val="105"/>
        </w:rPr>
        <w:t> </w:t>
      </w:r>
      <w:r>
        <w:rPr>
          <w:w w:val="105"/>
        </w:rPr>
        <w:t>the</w:t>
      </w:r>
      <w:r>
        <w:rPr>
          <w:spacing w:val="16"/>
          <w:w w:val="105"/>
        </w:rPr>
        <w:t> </w:t>
      </w:r>
      <w:r>
        <w:rPr>
          <w:w w:val="105"/>
        </w:rPr>
        <w:t>2024 Annual</w:t>
      </w:r>
      <w:r>
        <w:rPr>
          <w:spacing w:val="16"/>
          <w:w w:val="105"/>
        </w:rPr>
        <w:t> </w:t>
      </w:r>
      <w:r>
        <w:rPr>
          <w:w w:val="105"/>
        </w:rPr>
        <w:t>Meeting of</w:t>
      </w:r>
      <w:r>
        <w:rPr>
          <w:spacing w:val="21"/>
          <w:w w:val="105"/>
        </w:rPr>
        <w:t> </w:t>
      </w:r>
      <w:r>
        <w:rPr>
          <w:w w:val="105"/>
        </w:rPr>
        <w:t>Stockholders</w:t>
      </w:r>
      <w:r>
        <w:rPr>
          <w:spacing w:val="21"/>
          <w:w w:val="105"/>
        </w:rPr>
        <w:t> </w:t>
      </w:r>
      <w:r>
        <w:rPr>
          <w:w w:val="105"/>
        </w:rPr>
        <w:t>will</w:t>
      </w:r>
      <w:r>
        <w:rPr>
          <w:spacing w:val="21"/>
          <w:w w:val="105"/>
        </w:rPr>
        <w:t> </w:t>
      </w:r>
      <w:r>
        <w:rPr>
          <w:w w:val="105"/>
        </w:rPr>
        <w:t>be</w:t>
      </w:r>
      <w:r>
        <w:rPr>
          <w:spacing w:val="21"/>
          <w:w w:val="105"/>
        </w:rPr>
        <w:t> </w:t>
      </w:r>
      <w:r>
        <w:rPr>
          <w:w w:val="105"/>
        </w:rPr>
        <w:t>no</w:t>
      </w:r>
      <w:r>
        <w:rPr>
          <w:spacing w:val="21"/>
          <w:w w:val="105"/>
        </w:rPr>
        <w:t> </w:t>
      </w:r>
      <w:r>
        <w:rPr>
          <w:w w:val="105"/>
        </w:rPr>
        <w:t>earlier</w:t>
      </w:r>
      <w:r>
        <w:rPr>
          <w:spacing w:val="21"/>
          <w:w w:val="105"/>
        </w:rPr>
        <w:t> </w:t>
      </w:r>
      <w:r>
        <w:rPr>
          <w:w w:val="105"/>
        </w:rPr>
        <w:t>than</w:t>
      </w:r>
      <w:r>
        <w:rPr>
          <w:spacing w:val="21"/>
          <w:w w:val="105"/>
        </w:rPr>
        <w:t> </w:t>
      </w:r>
      <w:r>
        <w:rPr>
          <w:w w:val="105"/>
        </w:rPr>
        <w:t>October</w:t>
      </w:r>
      <w:r>
        <w:rPr>
          <w:spacing w:val="21"/>
          <w:w w:val="105"/>
        </w:rPr>
        <w:t> </w:t>
      </w:r>
      <w:r>
        <w:rPr>
          <w:w w:val="105"/>
        </w:rPr>
        <w:t>12,</w:t>
      </w:r>
      <w:r>
        <w:rPr>
          <w:spacing w:val="21"/>
          <w:w w:val="105"/>
        </w:rPr>
        <w:t> </w:t>
      </w:r>
      <w:r>
        <w:rPr>
          <w:w w:val="105"/>
        </w:rPr>
        <w:t>2023</w:t>
      </w:r>
      <w:r>
        <w:rPr>
          <w:spacing w:val="21"/>
          <w:w w:val="105"/>
        </w:rPr>
        <w:t> </w:t>
      </w:r>
      <w:r>
        <w:rPr>
          <w:w w:val="105"/>
        </w:rPr>
        <w:t>and</w:t>
      </w:r>
      <w:r>
        <w:rPr>
          <w:spacing w:val="21"/>
          <w:w w:val="105"/>
        </w:rPr>
        <w:t> </w:t>
      </w:r>
      <w:r>
        <w:rPr>
          <w:w w:val="105"/>
        </w:rPr>
        <w:t>no</w:t>
      </w:r>
      <w:r>
        <w:rPr>
          <w:spacing w:val="21"/>
          <w:w w:val="105"/>
        </w:rPr>
        <w:t> </w:t>
      </w:r>
      <w:r>
        <w:rPr>
          <w:w w:val="105"/>
        </w:rPr>
        <w:t>later</w:t>
      </w:r>
      <w:r>
        <w:rPr>
          <w:spacing w:val="21"/>
          <w:w w:val="105"/>
        </w:rPr>
        <w:t> </w:t>
      </w:r>
      <w:r>
        <w:rPr>
          <w:w w:val="105"/>
        </w:rPr>
        <w:t>than</w:t>
      </w:r>
      <w:r>
        <w:rPr>
          <w:spacing w:val="21"/>
          <w:w w:val="105"/>
        </w:rPr>
        <w:t> </w:t>
      </w:r>
      <w:r>
        <w:rPr>
          <w:w w:val="105"/>
        </w:rPr>
        <w:t>November</w:t>
      </w:r>
      <w:r>
        <w:rPr>
          <w:spacing w:val="21"/>
          <w:w w:val="105"/>
        </w:rPr>
        <w:t> </w:t>
      </w:r>
      <w:r>
        <w:rPr>
          <w:w w:val="105"/>
        </w:rPr>
        <w:t>11,</w:t>
      </w:r>
      <w:r>
        <w:rPr>
          <w:spacing w:val="21"/>
          <w:w w:val="105"/>
        </w:rPr>
        <w:t> </w:t>
      </w:r>
      <w:r>
        <w:rPr>
          <w:w w:val="105"/>
        </w:rPr>
        <w:t>2023. The notice</w:t>
      </w:r>
      <w:r>
        <w:rPr>
          <w:spacing w:val="23"/>
          <w:w w:val="105"/>
        </w:rPr>
        <w:t> </w:t>
      </w:r>
      <w:r>
        <w:rPr>
          <w:w w:val="105"/>
        </w:rPr>
        <w:t>must</w:t>
      </w:r>
      <w:r>
        <w:rPr>
          <w:spacing w:val="23"/>
          <w:w w:val="105"/>
        </w:rPr>
        <w:t> </w:t>
      </w:r>
      <w:r>
        <w:rPr>
          <w:w w:val="105"/>
        </w:rPr>
        <w:t>give</w:t>
      </w:r>
      <w:r>
        <w:rPr>
          <w:spacing w:val="23"/>
          <w:w w:val="105"/>
        </w:rPr>
        <w:t> </w:t>
      </w:r>
      <w:r>
        <w:rPr>
          <w:w w:val="105"/>
        </w:rPr>
        <w:t>a</w:t>
      </w:r>
      <w:r>
        <w:rPr>
          <w:spacing w:val="23"/>
          <w:w w:val="105"/>
        </w:rPr>
        <w:t> </w:t>
      </w:r>
      <w:r>
        <w:rPr>
          <w:w w:val="105"/>
        </w:rPr>
        <w:t>brief</w:t>
      </w:r>
      <w:r>
        <w:rPr>
          <w:spacing w:val="23"/>
          <w:w w:val="105"/>
        </w:rPr>
        <w:t> </w:t>
      </w:r>
      <w:r>
        <w:rPr>
          <w:w w:val="105"/>
        </w:rPr>
        <w:t>description</w:t>
      </w:r>
      <w:r>
        <w:rPr>
          <w:spacing w:val="23"/>
          <w:w w:val="105"/>
        </w:rPr>
        <w:t> </w:t>
      </w:r>
      <w:r>
        <w:rPr>
          <w:w w:val="105"/>
        </w:rPr>
        <w:t>of</w:t>
      </w:r>
      <w:r>
        <w:rPr>
          <w:spacing w:val="23"/>
          <w:w w:val="105"/>
        </w:rPr>
        <w:t> </w:t>
      </w:r>
      <w:r>
        <w:rPr>
          <w:w w:val="105"/>
        </w:rPr>
        <w:t>the</w:t>
      </w:r>
      <w:r>
        <w:rPr>
          <w:spacing w:val="23"/>
          <w:w w:val="105"/>
        </w:rPr>
        <w:t> </w:t>
      </w:r>
      <w:r>
        <w:rPr>
          <w:w w:val="105"/>
        </w:rPr>
        <w:t>business</w:t>
      </w:r>
      <w:r>
        <w:rPr>
          <w:spacing w:val="23"/>
          <w:w w:val="105"/>
        </w:rPr>
        <w:t> </w:t>
      </w:r>
      <w:r>
        <w:rPr>
          <w:w w:val="105"/>
        </w:rPr>
        <w:t>to</w:t>
      </w:r>
      <w:r>
        <w:rPr>
          <w:spacing w:val="23"/>
          <w:w w:val="105"/>
        </w:rPr>
        <w:t> </w:t>
      </w:r>
      <w:r>
        <w:rPr>
          <w:w w:val="105"/>
        </w:rPr>
        <w:t>be</w:t>
      </w:r>
      <w:r>
        <w:rPr>
          <w:spacing w:val="23"/>
          <w:w w:val="105"/>
        </w:rPr>
        <w:t> </w:t>
      </w:r>
      <w:r>
        <w:rPr>
          <w:w w:val="105"/>
        </w:rPr>
        <w:t>brought</w:t>
      </w:r>
      <w:r>
        <w:rPr>
          <w:spacing w:val="23"/>
          <w:w w:val="105"/>
        </w:rPr>
        <w:t> </w:t>
      </w:r>
      <w:r>
        <w:rPr>
          <w:w w:val="105"/>
        </w:rPr>
        <w:t>before</w:t>
      </w:r>
      <w:r>
        <w:rPr>
          <w:spacing w:val="23"/>
          <w:w w:val="105"/>
        </w:rPr>
        <w:t> </w:t>
      </w:r>
      <w:r>
        <w:rPr>
          <w:w w:val="105"/>
        </w:rPr>
        <w:t>the</w:t>
      </w:r>
      <w:r>
        <w:rPr>
          <w:spacing w:val="23"/>
          <w:w w:val="105"/>
        </w:rPr>
        <w:t> </w:t>
      </w:r>
      <w:r>
        <w:rPr>
          <w:w w:val="105"/>
        </w:rPr>
        <w:t>annual</w:t>
      </w:r>
      <w:r>
        <w:rPr>
          <w:spacing w:val="23"/>
          <w:w w:val="105"/>
        </w:rPr>
        <w:t> </w:t>
      </w:r>
      <w:r>
        <w:rPr>
          <w:w w:val="105"/>
        </w:rPr>
        <w:t>meeting,</w:t>
      </w:r>
      <w:r>
        <w:rPr>
          <w:spacing w:val="23"/>
          <w:w w:val="105"/>
        </w:rPr>
        <w:t> </w:t>
      </w:r>
      <w:r>
        <w:rPr>
          <w:w w:val="105"/>
        </w:rPr>
        <w:t>the reasons for conducting the business and the text of the proposal, as well as the name and address of the</w:t>
      </w:r>
      <w:r>
        <w:rPr>
          <w:spacing w:val="40"/>
          <w:w w:val="105"/>
        </w:rPr>
        <w:t> </w:t>
      </w:r>
      <w:r>
        <w:rPr>
          <w:w w:val="105"/>
        </w:rPr>
        <w:t>stockholder</w:t>
      </w:r>
      <w:r>
        <w:rPr>
          <w:spacing w:val="24"/>
          <w:w w:val="105"/>
        </w:rPr>
        <w:t> </w:t>
      </w:r>
      <w:r>
        <w:rPr>
          <w:w w:val="105"/>
        </w:rPr>
        <w:t>giving</w:t>
      </w:r>
      <w:r>
        <w:rPr>
          <w:spacing w:val="24"/>
          <w:w w:val="105"/>
        </w:rPr>
        <w:t> </w:t>
      </w:r>
      <w:r>
        <w:rPr>
          <w:w w:val="105"/>
        </w:rPr>
        <w:t>the</w:t>
      </w:r>
      <w:r>
        <w:rPr>
          <w:spacing w:val="24"/>
          <w:w w:val="105"/>
        </w:rPr>
        <w:t> </w:t>
      </w:r>
      <w:r>
        <w:rPr>
          <w:w w:val="105"/>
        </w:rPr>
        <w:t>notice</w:t>
      </w:r>
      <w:r>
        <w:rPr>
          <w:spacing w:val="24"/>
          <w:w w:val="105"/>
        </w:rPr>
        <w:t> </w:t>
      </w:r>
      <w:r>
        <w:rPr>
          <w:w w:val="105"/>
        </w:rPr>
        <w:t>and</w:t>
      </w:r>
      <w:r>
        <w:rPr>
          <w:spacing w:val="24"/>
          <w:w w:val="105"/>
        </w:rPr>
        <w:t> </w:t>
      </w:r>
      <w:r>
        <w:rPr>
          <w:w w:val="105"/>
        </w:rPr>
        <w:t>the</w:t>
      </w:r>
      <w:r>
        <w:rPr>
          <w:spacing w:val="24"/>
          <w:w w:val="105"/>
        </w:rPr>
        <w:t> </w:t>
      </w:r>
      <w:r>
        <w:rPr>
          <w:w w:val="105"/>
        </w:rPr>
        <w:t>beneficial</w:t>
      </w:r>
      <w:r>
        <w:rPr>
          <w:spacing w:val="24"/>
          <w:w w:val="105"/>
        </w:rPr>
        <w:t> </w:t>
      </w:r>
      <w:r>
        <w:rPr>
          <w:w w:val="105"/>
        </w:rPr>
        <w:t>owner</w:t>
      </w:r>
      <w:r>
        <w:rPr>
          <w:spacing w:val="24"/>
          <w:w w:val="105"/>
        </w:rPr>
        <w:t> </w:t>
      </w:r>
      <w:r>
        <w:rPr>
          <w:w w:val="105"/>
        </w:rPr>
        <w:t>on</w:t>
      </w:r>
      <w:r>
        <w:rPr>
          <w:spacing w:val="24"/>
          <w:w w:val="105"/>
        </w:rPr>
        <w:t> </w:t>
      </w:r>
      <w:r>
        <w:rPr>
          <w:w w:val="105"/>
        </w:rPr>
        <w:t>whose</w:t>
      </w:r>
      <w:r>
        <w:rPr>
          <w:spacing w:val="24"/>
          <w:w w:val="105"/>
        </w:rPr>
        <w:t> </w:t>
      </w:r>
      <w:r>
        <w:rPr>
          <w:w w:val="105"/>
        </w:rPr>
        <w:t>behalf</w:t>
      </w:r>
      <w:r>
        <w:rPr>
          <w:spacing w:val="24"/>
          <w:w w:val="105"/>
        </w:rPr>
        <w:t> </w:t>
      </w:r>
      <w:r>
        <w:rPr>
          <w:w w:val="105"/>
        </w:rPr>
        <w:t>the</w:t>
      </w:r>
      <w:r>
        <w:rPr>
          <w:spacing w:val="24"/>
          <w:w w:val="105"/>
        </w:rPr>
        <w:t> </w:t>
      </w:r>
      <w:r>
        <w:rPr>
          <w:w w:val="105"/>
        </w:rPr>
        <w:t>proposal</w:t>
      </w:r>
      <w:r>
        <w:rPr>
          <w:spacing w:val="24"/>
          <w:w w:val="105"/>
        </w:rPr>
        <w:t> </w:t>
      </w:r>
      <w:r>
        <w:rPr>
          <w:w w:val="105"/>
        </w:rPr>
        <w:t>is</w:t>
      </w:r>
      <w:r>
        <w:rPr>
          <w:spacing w:val="24"/>
          <w:w w:val="105"/>
        </w:rPr>
        <w:t> </w:t>
      </w:r>
      <w:r>
        <w:rPr>
          <w:w w:val="105"/>
        </w:rPr>
        <w:t>made,</w:t>
      </w:r>
      <w:r>
        <w:rPr>
          <w:spacing w:val="24"/>
          <w:w w:val="105"/>
        </w:rPr>
        <w:t> </w:t>
      </w:r>
      <w:r>
        <w:rPr>
          <w:w w:val="105"/>
        </w:rPr>
        <w:t>the number of shares owned and information about that beneficial ownership, all as detailed in our Bylaws.</w:t>
      </w:r>
      <w:r>
        <w:rPr>
          <w:spacing w:val="40"/>
          <w:w w:val="105"/>
        </w:rPr>
        <w:t> </w:t>
      </w:r>
      <w:r>
        <w:rPr>
          <w:w w:val="105"/>
        </w:rPr>
        <w:t>The</w:t>
      </w:r>
      <w:r>
        <w:rPr>
          <w:spacing w:val="24"/>
          <w:w w:val="105"/>
        </w:rPr>
        <w:t> </w:t>
      </w:r>
      <w:r>
        <w:rPr>
          <w:w w:val="105"/>
        </w:rPr>
        <w:t>notice</w:t>
      </w:r>
      <w:r>
        <w:rPr>
          <w:spacing w:val="24"/>
          <w:w w:val="105"/>
        </w:rPr>
        <w:t> </w:t>
      </w:r>
      <w:r>
        <w:rPr>
          <w:w w:val="105"/>
        </w:rPr>
        <w:t>must</w:t>
      </w:r>
      <w:r>
        <w:rPr>
          <w:spacing w:val="24"/>
          <w:w w:val="105"/>
        </w:rPr>
        <w:t> </w:t>
      </w:r>
      <w:r>
        <w:rPr>
          <w:w w:val="105"/>
        </w:rPr>
        <w:t>also</w:t>
      </w:r>
      <w:r>
        <w:rPr>
          <w:spacing w:val="24"/>
          <w:w w:val="105"/>
        </w:rPr>
        <w:t> </w:t>
      </w:r>
      <w:r>
        <w:rPr>
          <w:w w:val="105"/>
        </w:rPr>
        <w:t>describe</w:t>
      </w:r>
      <w:r>
        <w:rPr>
          <w:spacing w:val="24"/>
          <w:w w:val="105"/>
        </w:rPr>
        <w:t> </w:t>
      </w:r>
      <w:r>
        <w:rPr>
          <w:w w:val="105"/>
        </w:rPr>
        <w:t>any</w:t>
      </w:r>
      <w:r>
        <w:rPr>
          <w:spacing w:val="24"/>
          <w:w w:val="105"/>
        </w:rPr>
        <w:t> </w:t>
      </w:r>
      <w:r>
        <w:rPr>
          <w:w w:val="105"/>
        </w:rPr>
        <w:t>material</w:t>
      </w:r>
      <w:r>
        <w:rPr>
          <w:spacing w:val="24"/>
          <w:w w:val="105"/>
        </w:rPr>
        <w:t> </w:t>
      </w:r>
      <w:r>
        <w:rPr>
          <w:w w:val="105"/>
        </w:rPr>
        <w:t>interest</w:t>
      </w:r>
      <w:r>
        <w:rPr>
          <w:spacing w:val="24"/>
          <w:w w:val="105"/>
        </w:rPr>
        <w:t> </w:t>
      </w:r>
      <w:r>
        <w:rPr>
          <w:w w:val="105"/>
        </w:rPr>
        <w:t>the</w:t>
      </w:r>
      <w:r>
        <w:rPr>
          <w:spacing w:val="24"/>
          <w:w w:val="105"/>
        </w:rPr>
        <w:t> </w:t>
      </w:r>
      <w:r>
        <w:rPr>
          <w:w w:val="105"/>
        </w:rPr>
        <w:t>stockholder</w:t>
      </w:r>
      <w:r>
        <w:rPr>
          <w:spacing w:val="24"/>
          <w:w w:val="105"/>
        </w:rPr>
        <w:t> </w:t>
      </w:r>
      <w:r>
        <w:rPr>
          <w:w w:val="105"/>
        </w:rPr>
        <w:t>or</w:t>
      </w:r>
      <w:r>
        <w:rPr>
          <w:spacing w:val="24"/>
          <w:w w:val="105"/>
        </w:rPr>
        <w:t> </w:t>
      </w:r>
      <w:r>
        <w:rPr>
          <w:w w:val="105"/>
        </w:rPr>
        <w:t>beneficial</w:t>
      </w:r>
      <w:r>
        <w:rPr>
          <w:spacing w:val="24"/>
          <w:w w:val="105"/>
        </w:rPr>
        <w:t> </w:t>
      </w:r>
      <w:r>
        <w:rPr>
          <w:w w:val="105"/>
        </w:rPr>
        <w:t>owner</w:t>
      </w:r>
      <w:r>
        <w:rPr>
          <w:spacing w:val="24"/>
          <w:w w:val="105"/>
        </w:rPr>
        <w:t> </w:t>
      </w:r>
      <w:r>
        <w:rPr>
          <w:w w:val="105"/>
        </w:rPr>
        <w:t>has</w:t>
      </w:r>
      <w:r>
        <w:rPr>
          <w:spacing w:val="24"/>
          <w:w w:val="105"/>
        </w:rPr>
        <w:t> </w:t>
      </w:r>
      <w:r>
        <w:rPr>
          <w:w w:val="105"/>
        </w:rPr>
        <w:t>in</w:t>
      </w:r>
      <w:r>
        <w:rPr>
          <w:spacing w:val="24"/>
          <w:w w:val="105"/>
        </w:rPr>
        <w:t> </w:t>
      </w:r>
      <w:r>
        <w:rPr>
          <w:w w:val="105"/>
        </w:rPr>
        <w:t>the business and arrangements between such stockholder or beneficial owner and any other person in connection</w:t>
      </w:r>
      <w:r>
        <w:rPr>
          <w:spacing w:val="26"/>
          <w:w w:val="105"/>
        </w:rPr>
        <w:t> </w:t>
      </w:r>
      <w:r>
        <w:rPr>
          <w:w w:val="105"/>
        </w:rPr>
        <w:t>with</w:t>
      </w:r>
      <w:r>
        <w:rPr>
          <w:spacing w:val="26"/>
          <w:w w:val="105"/>
        </w:rPr>
        <w:t> </w:t>
      </w:r>
      <w:r>
        <w:rPr>
          <w:w w:val="105"/>
        </w:rPr>
        <w:t>the</w:t>
      </w:r>
      <w:r>
        <w:rPr>
          <w:spacing w:val="26"/>
          <w:w w:val="105"/>
        </w:rPr>
        <w:t> </w:t>
      </w:r>
      <w:r>
        <w:rPr>
          <w:w w:val="105"/>
        </w:rPr>
        <w:t>proposal</w:t>
      </w:r>
      <w:r>
        <w:rPr>
          <w:spacing w:val="26"/>
          <w:w w:val="105"/>
        </w:rPr>
        <w:t> </w:t>
      </w:r>
      <w:r>
        <w:rPr>
          <w:w w:val="105"/>
        </w:rPr>
        <w:t>and</w:t>
      </w:r>
      <w:r>
        <w:rPr>
          <w:spacing w:val="26"/>
          <w:w w:val="105"/>
        </w:rPr>
        <w:t> </w:t>
      </w:r>
      <w:r>
        <w:rPr>
          <w:w w:val="105"/>
        </w:rPr>
        <w:t>must</w:t>
      </w:r>
      <w:r>
        <w:rPr>
          <w:spacing w:val="26"/>
          <w:w w:val="105"/>
        </w:rPr>
        <w:t> </w:t>
      </w:r>
      <w:r>
        <w:rPr>
          <w:w w:val="105"/>
        </w:rPr>
        <w:t>include</w:t>
      </w:r>
      <w:r>
        <w:rPr>
          <w:spacing w:val="26"/>
          <w:w w:val="105"/>
        </w:rPr>
        <w:t> </w:t>
      </w:r>
      <w:r>
        <w:rPr>
          <w:w w:val="105"/>
        </w:rPr>
        <w:t>certain</w:t>
      </w:r>
      <w:r>
        <w:rPr>
          <w:spacing w:val="26"/>
          <w:w w:val="105"/>
        </w:rPr>
        <w:t> </w:t>
      </w:r>
      <w:r>
        <w:rPr>
          <w:w w:val="105"/>
        </w:rPr>
        <w:t>representations,</w:t>
      </w:r>
      <w:r>
        <w:rPr>
          <w:spacing w:val="26"/>
          <w:w w:val="105"/>
        </w:rPr>
        <w:t> </w:t>
      </w:r>
      <w:r>
        <w:rPr>
          <w:w w:val="105"/>
        </w:rPr>
        <w:t>all</w:t>
      </w:r>
      <w:r>
        <w:rPr>
          <w:spacing w:val="26"/>
          <w:w w:val="105"/>
        </w:rPr>
        <w:t> </w:t>
      </w:r>
      <w:r>
        <w:rPr>
          <w:w w:val="105"/>
        </w:rPr>
        <w:t>as</w:t>
      </w:r>
      <w:r>
        <w:rPr>
          <w:spacing w:val="26"/>
          <w:w w:val="105"/>
        </w:rPr>
        <w:t> </w:t>
      </w:r>
      <w:r>
        <w:rPr>
          <w:w w:val="105"/>
        </w:rPr>
        <w:t>detailed</w:t>
      </w:r>
      <w:r>
        <w:rPr>
          <w:spacing w:val="26"/>
          <w:w w:val="105"/>
        </w:rPr>
        <w:t> </w:t>
      </w:r>
      <w:r>
        <w:rPr>
          <w:w w:val="105"/>
        </w:rPr>
        <w:t>in</w:t>
      </w:r>
      <w:r>
        <w:rPr>
          <w:spacing w:val="26"/>
          <w:w w:val="105"/>
        </w:rPr>
        <w:t> </w:t>
      </w:r>
      <w:r>
        <w:rPr>
          <w:w w:val="105"/>
        </w:rPr>
        <w:t>our</w:t>
      </w:r>
      <w:r>
        <w:rPr>
          <w:spacing w:val="26"/>
          <w:w w:val="105"/>
        </w:rPr>
        <w:t> </w:t>
      </w:r>
      <w:r>
        <w:rPr>
          <w:w w:val="105"/>
        </w:rPr>
        <w:t>Bylaws.</w:t>
      </w:r>
    </w:p>
    <w:p>
      <w:pPr>
        <w:pStyle w:val="BodyText"/>
        <w:spacing w:line="259" w:lineRule="auto" w:before="156"/>
        <w:ind w:left="1772" w:right="1680"/>
      </w:pPr>
      <w:r>
        <w:rPr>
          <w:w w:val="105"/>
        </w:rPr>
        <w:t>We do not currently expect any matters other than those listed in this Proxy Statement to come before</w:t>
      </w:r>
      <w:r>
        <w:rPr>
          <w:spacing w:val="40"/>
          <w:w w:val="105"/>
        </w:rPr>
        <w:t> </w:t>
      </w:r>
      <w:r>
        <w:rPr>
          <w:w w:val="105"/>
        </w:rPr>
        <w:t>the Annual Meeting. If any other matter is presented, your proxy gives the individuals named as proxyholders the authority to vote your shares to the extent authorized by Rule 14a-4(c) under the</w:t>
      </w:r>
      <w:r>
        <w:rPr>
          <w:spacing w:val="40"/>
          <w:w w:val="105"/>
        </w:rPr>
        <w:t> </w:t>
      </w:r>
      <w:r>
        <w:rPr>
          <w:w w:val="105"/>
        </w:rPr>
        <w:t>Securities Exchange Act of 1934 (the “</w:t>
      </w:r>
      <w:r>
        <w:rPr>
          <w:b/>
          <w:w w:val="105"/>
        </w:rPr>
        <w:t>Exchange</w:t>
      </w:r>
      <w:r>
        <w:rPr>
          <w:b/>
          <w:spacing w:val="-8"/>
          <w:w w:val="105"/>
        </w:rPr>
        <w:t> </w:t>
      </w:r>
      <w:r>
        <w:rPr>
          <w:b/>
          <w:w w:val="105"/>
        </w:rPr>
        <w:t>Act</w:t>
      </w:r>
      <w:r>
        <w:rPr>
          <w:w w:val="105"/>
        </w:rPr>
        <w:t>”).</w:t>
      </w:r>
    </w:p>
    <w:p>
      <w:pPr>
        <w:pStyle w:val="Heading2"/>
        <w:spacing w:before="154"/>
      </w:pPr>
      <w:r>
        <w:rPr/>
        <w:t>Q:</w:t>
      </w:r>
      <w:r>
        <w:rPr>
          <w:spacing w:val="32"/>
        </w:rPr>
        <w:t>  </w:t>
      </w:r>
      <w:r>
        <w:rPr/>
        <w:t>When</w:t>
      </w:r>
      <w:r>
        <w:rPr>
          <w:spacing w:val="-10"/>
        </w:rPr>
        <w:t> </w:t>
      </w:r>
      <w:r>
        <w:rPr/>
        <w:t>must</w:t>
      </w:r>
      <w:r>
        <w:rPr>
          <w:spacing w:val="-9"/>
        </w:rPr>
        <w:t> </w:t>
      </w:r>
      <w:r>
        <w:rPr/>
        <w:t>I</w:t>
      </w:r>
      <w:r>
        <w:rPr>
          <w:spacing w:val="-9"/>
        </w:rPr>
        <w:t> </w:t>
      </w:r>
      <w:r>
        <w:rPr/>
        <w:t>submit</w:t>
      </w:r>
      <w:r>
        <w:rPr>
          <w:spacing w:val="-9"/>
        </w:rPr>
        <w:t> </w:t>
      </w:r>
      <w:r>
        <w:rPr/>
        <w:t>a</w:t>
      </w:r>
      <w:r>
        <w:rPr>
          <w:spacing w:val="-9"/>
        </w:rPr>
        <w:t> </w:t>
      </w:r>
      <w:r>
        <w:rPr/>
        <w:t>proposal</w:t>
      </w:r>
      <w:r>
        <w:rPr>
          <w:spacing w:val="-9"/>
        </w:rPr>
        <w:t> </w:t>
      </w:r>
      <w:r>
        <w:rPr/>
        <w:t>to</w:t>
      </w:r>
      <w:r>
        <w:rPr>
          <w:spacing w:val="-9"/>
        </w:rPr>
        <w:t> </w:t>
      </w:r>
      <w:r>
        <w:rPr/>
        <w:t>have</w:t>
      </w:r>
      <w:r>
        <w:rPr>
          <w:spacing w:val="-9"/>
        </w:rPr>
        <w:t> </w:t>
      </w:r>
      <w:r>
        <w:rPr/>
        <w:t>it</w:t>
      </w:r>
      <w:r>
        <w:rPr>
          <w:spacing w:val="-9"/>
        </w:rPr>
        <w:t> </w:t>
      </w:r>
      <w:r>
        <w:rPr/>
        <w:t>considered</w:t>
      </w:r>
      <w:r>
        <w:rPr>
          <w:spacing w:val="-10"/>
        </w:rPr>
        <w:t> </w:t>
      </w:r>
      <w:r>
        <w:rPr/>
        <w:t>for</w:t>
      </w:r>
      <w:r>
        <w:rPr>
          <w:spacing w:val="-11"/>
        </w:rPr>
        <w:t> </w:t>
      </w:r>
      <w:r>
        <w:rPr/>
        <w:t>presentation</w:t>
      </w:r>
      <w:r>
        <w:rPr>
          <w:spacing w:val="-9"/>
        </w:rPr>
        <w:t> </w:t>
      </w:r>
      <w:r>
        <w:rPr/>
        <w:t>in</w:t>
      </w:r>
      <w:r>
        <w:rPr>
          <w:spacing w:val="-9"/>
        </w:rPr>
        <w:t> </w:t>
      </w:r>
      <w:r>
        <w:rPr/>
        <w:t>next</w:t>
      </w:r>
      <w:r>
        <w:rPr>
          <w:spacing w:val="-9"/>
        </w:rPr>
        <w:t> </w:t>
      </w:r>
      <w:r>
        <w:rPr/>
        <w:t>year’s</w:t>
      </w:r>
      <w:r>
        <w:rPr>
          <w:spacing w:val="-9"/>
        </w:rPr>
        <w:t> </w:t>
      </w:r>
      <w:r>
        <w:rPr/>
        <w:t>proxy</w:t>
      </w:r>
      <w:r>
        <w:rPr>
          <w:spacing w:val="-9"/>
        </w:rPr>
        <w:t> </w:t>
      </w:r>
      <w:r>
        <w:rPr>
          <w:spacing w:val="-2"/>
        </w:rPr>
        <w:t>materials?</w:t>
      </w:r>
    </w:p>
    <w:p>
      <w:pPr>
        <w:pStyle w:val="BodyText"/>
        <w:spacing w:line="259" w:lineRule="auto" w:before="157"/>
        <w:ind w:left="1772" w:right="1551" w:hanging="373"/>
      </w:pPr>
      <w:r>
        <w:rPr>
          <w:w w:val="105"/>
        </w:rPr>
        <w:t>A:</w:t>
      </w:r>
      <w:r>
        <w:rPr>
          <w:spacing w:val="68"/>
          <w:w w:val="105"/>
        </w:rPr>
        <w:t>  </w:t>
      </w:r>
      <w:r>
        <w:rPr>
          <w:w w:val="105"/>
        </w:rPr>
        <w:t>To</w:t>
      </w:r>
      <w:r>
        <w:rPr>
          <w:spacing w:val="21"/>
          <w:w w:val="105"/>
        </w:rPr>
        <w:t> </w:t>
      </w:r>
      <w:r>
        <w:rPr>
          <w:w w:val="105"/>
        </w:rPr>
        <w:t>have</w:t>
      </w:r>
      <w:r>
        <w:rPr>
          <w:spacing w:val="21"/>
          <w:w w:val="105"/>
        </w:rPr>
        <w:t> </w:t>
      </w:r>
      <w:r>
        <w:rPr>
          <w:w w:val="105"/>
        </w:rPr>
        <w:t>your</w:t>
      </w:r>
      <w:r>
        <w:rPr>
          <w:spacing w:val="21"/>
          <w:w w:val="105"/>
        </w:rPr>
        <w:t> </w:t>
      </w:r>
      <w:r>
        <w:rPr>
          <w:w w:val="105"/>
        </w:rPr>
        <w:t>stockholder</w:t>
      </w:r>
      <w:r>
        <w:rPr>
          <w:spacing w:val="21"/>
          <w:w w:val="105"/>
        </w:rPr>
        <w:t> </w:t>
      </w:r>
      <w:r>
        <w:rPr>
          <w:w w:val="105"/>
        </w:rPr>
        <w:t>proposal</w:t>
      </w:r>
      <w:r>
        <w:rPr>
          <w:spacing w:val="21"/>
          <w:w w:val="105"/>
        </w:rPr>
        <w:t> </w:t>
      </w:r>
      <w:r>
        <w:rPr>
          <w:w w:val="105"/>
        </w:rPr>
        <w:t>be</w:t>
      </w:r>
      <w:r>
        <w:rPr>
          <w:spacing w:val="21"/>
          <w:w w:val="105"/>
        </w:rPr>
        <w:t> </w:t>
      </w:r>
      <w:r>
        <w:rPr>
          <w:w w:val="105"/>
        </w:rPr>
        <w:t>considered</w:t>
      </w:r>
      <w:r>
        <w:rPr>
          <w:spacing w:val="21"/>
          <w:w w:val="105"/>
        </w:rPr>
        <w:t> </w:t>
      </w:r>
      <w:r>
        <w:rPr>
          <w:w w:val="105"/>
        </w:rPr>
        <w:t>for</w:t>
      </w:r>
      <w:r>
        <w:rPr>
          <w:spacing w:val="21"/>
          <w:w w:val="105"/>
        </w:rPr>
        <w:t> </w:t>
      </w:r>
      <w:r>
        <w:rPr>
          <w:w w:val="105"/>
        </w:rPr>
        <w:t>presentation</w:t>
      </w:r>
      <w:r>
        <w:rPr>
          <w:spacing w:val="21"/>
          <w:w w:val="105"/>
        </w:rPr>
        <w:t> </w:t>
      </w:r>
      <w:r>
        <w:rPr>
          <w:w w:val="105"/>
        </w:rPr>
        <w:t>in</w:t>
      </w:r>
      <w:r>
        <w:rPr>
          <w:spacing w:val="21"/>
          <w:w w:val="105"/>
        </w:rPr>
        <w:t> </w:t>
      </w:r>
      <w:r>
        <w:rPr>
          <w:w w:val="105"/>
        </w:rPr>
        <w:t>the</w:t>
      </w:r>
      <w:r>
        <w:rPr>
          <w:spacing w:val="21"/>
          <w:w w:val="105"/>
        </w:rPr>
        <w:t> </w:t>
      </w:r>
      <w:r>
        <w:rPr>
          <w:w w:val="105"/>
        </w:rPr>
        <w:t>proxy</w:t>
      </w:r>
      <w:r>
        <w:rPr>
          <w:spacing w:val="21"/>
          <w:w w:val="105"/>
        </w:rPr>
        <w:t> </w:t>
      </w:r>
      <w:r>
        <w:rPr>
          <w:w w:val="105"/>
        </w:rPr>
        <w:t>statement</w:t>
      </w:r>
      <w:r>
        <w:rPr>
          <w:spacing w:val="21"/>
          <w:w w:val="105"/>
        </w:rPr>
        <w:t> </w:t>
      </w:r>
      <w:r>
        <w:rPr>
          <w:w w:val="105"/>
        </w:rPr>
        <w:t>and</w:t>
      </w:r>
      <w:r>
        <w:rPr>
          <w:spacing w:val="21"/>
          <w:w w:val="105"/>
        </w:rPr>
        <w:t> </w:t>
      </w:r>
      <w:r>
        <w:rPr>
          <w:w w:val="105"/>
        </w:rPr>
        <w:t>proxy</w:t>
      </w:r>
      <w:r>
        <w:rPr>
          <w:w w:val="105"/>
        </w:rPr>
        <w:t> card for our 2024 Annual Meeting of Stockholders, rather than just voted upon at the meeting without inclusion in the proxy statement and proxy card, a stockholder must submit to our Secretary (at our Salt</w:t>
      </w:r>
      <w:r>
        <w:rPr>
          <w:spacing w:val="40"/>
          <w:w w:val="105"/>
        </w:rPr>
        <w:t> </w:t>
      </w:r>
      <w:r>
        <w:rPr>
          <w:w w:val="105"/>
        </w:rPr>
        <w:t>Lake City, Utah headquarters) a written proposal no later than August 30, 2023. The submission must contain the information required under Rule 14a-8 under the Exchange Act.</w:t>
      </w:r>
    </w:p>
    <w:p>
      <w:pPr>
        <w:pStyle w:val="Heading2"/>
        <w:spacing w:before="154"/>
      </w:pPr>
      <w:r>
        <w:rPr/>
        <w:t>Q:</w:t>
      </w:r>
      <w:r>
        <w:rPr>
          <w:spacing w:val="31"/>
        </w:rPr>
        <w:t>  </w:t>
      </w:r>
      <w:r>
        <w:rPr/>
        <w:t>How</w:t>
      </w:r>
      <w:r>
        <w:rPr>
          <w:spacing w:val="-8"/>
        </w:rPr>
        <w:t> </w:t>
      </w:r>
      <w:r>
        <w:rPr/>
        <w:t>do</w:t>
      </w:r>
      <w:r>
        <w:rPr>
          <w:spacing w:val="-9"/>
        </w:rPr>
        <w:t> </w:t>
      </w:r>
      <w:r>
        <w:rPr/>
        <w:t>I</w:t>
      </w:r>
      <w:r>
        <w:rPr>
          <w:spacing w:val="-9"/>
        </w:rPr>
        <w:t> </w:t>
      </w:r>
      <w:r>
        <w:rPr/>
        <w:t>suggest</w:t>
      </w:r>
      <w:r>
        <w:rPr>
          <w:spacing w:val="-9"/>
        </w:rPr>
        <w:t> </w:t>
      </w:r>
      <w:r>
        <w:rPr/>
        <w:t>potential</w:t>
      </w:r>
      <w:r>
        <w:rPr>
          <w:spacing w:val="-9"/>
        </w:rPr>
        <w:t> </w:t>
      </w:r>
      <w:r>
        <w:rPr/>
        <w:t>candidates</w:t>
      </w:r>
      <w:r>
        <w:rPr>
          <w:spacing w:val="-9"/>
        </w:rPr>
        <w:t> </w:t>
      </w:r>
      <w:r>
        <w:rPr/>
        <w:t>for</w:t>
      </w:r>
      <w:r>
        <w:rPr>
          <w:spacing w:val="-11"/>
        </w:rPr>
        <w:t> </w:t>
      </w:r>
      <w:r>
        <w:rPr/>
        <w:t>director</w:t>
      </w:r>
      <w:r>
        <w:rPr>
          <w:spacing w:val="-12"/>
        </w:rPr>
        <w:t> </w:t>
      </w:r>
      <w:r>
        <w:rPr>
          <w:spacing w:val="-2"/>
        </w:rPr>
        <w:t>positions?</w:t>
      </w:r>
    </w:p>
    <w:p>
      <w:pPr>
        <w:pStyle w:val="BodyText"/>
        <w:spacing w:line="259" w:lineRule="auto" w:before="171"/>
        <w:ind w:left="1772" w:right="1551" w:hanging="373"/>
      </w:pPr>
      <w:r>
        <w:rPr>
          <w:w w:val="105"/>
        </w:rPr>
        <w:t>A:</w:t>
      </w:r>
      <w:r>
        <w:rPr>
          <w:spacing w:val="69"/>
          <w:w w:val="105"/>
        </w:rPr>
        <w:t>  </w:t>
      </w:r>
      <w:r>
        <w:rPr>
          <w:w w:val="105"/>
        </w:rPr>
        <w:t>A stockholder</w:t>
      </w:r>
      <w:r>
        <w:rPr>
          <w:spacing w:val="21"/>
          <w:w w:val="105"/>
        </w:rPr>
        <w:t> </w:t>
      </w:r>
      <w:r>
        <w:rPr>
          <w:w w:val="105"/>
        </w:rPr>
        <w:t>may</w:t>
      </w:r>
      <w:r>
        <w:rPr>
          <w:spacing w:val="21"/>
          <w:w w:val="105"/>
        </w:rPr>
        <w:t> </w:t>
      </w:r>
      <w:r>
        <w:rPr>
          <w:w w:val="105"/>
        </w:rPr>
        <w:t>suggest</w:t>
      </w:r>
      <w:r>
        <w:rPr>
          <w:spacing w:val="21"/>
          <w:w w:val="105"/>
        </w:rPr>
        <w:t> </w:t>
      </w:r>
      <w:r>
        <w:rPr>
          <w:w w:val="105"/>
        </w:rPr>
        <w:t>one</w:t>
      </w:r>
      <w:r>
        <w:rPr>
          <w:spacing w:val="21"/>
          <w:w w:val="105"/>
        </w:rPr>
        <w:t> </w:t>
      </w:r>
      <w:r>
        <w:rPr>
          <w:w w:val="105"/>
        </w:rPr>
        <w:t>or</w:t>
      </w:r>
      <w:r>
        <w:rPr>
          <w:spacing w:val="21"/>
          <w:w w:val="105"/>
        </w:rPr>
        <w:t> </w:t>
      </w:r>
      <w:r>
        <w:rPr>
          <w:w w:val="105"/>
        </w:rPr>
        <w:t>more</w:t>
      </w:r>
      <w:r>
        <w:rPr>
          <w:spacing w:val="21"/>
          <w:w w:val="105"/>
        </w:rPr>
        <w:t> </w:t>
      </w:r>
      <w:r>
        <w:rPr>
          <w:w w:val="105"/>
        </w:rPr>
        <w:t>potential</w:t>
      </w:r>
      <w:r>
        <w:rPr>
          <w:spacing w:val="21"/>
          <w:w w:val="105"/>
        </w:rPr>
        <w:t> </w:t>
      </w:r>
      <w:r>
        <w:rPr>
          <w:w w:val="105"/>
        </w:rPr>
        <w:t>candidates</w:t>
      </w:r>
      <w:r>
        <w:rPr>
          <w:spacing w:val="21"/>
          <w:w w:val="105"/>
        </w:rPr>
        <w:t> </w:t>
      </w:r>
      <w:r>
        <w:rPr>
          <w:w w:val="105"/>
        </w:rPr>
        <w:t>for</w:t>
      </w:r>
      <w:r>
        <w:rPr>
          <w:spacing w:val="21"/>
          <w:w w:val="105"/>
        </w:rPr>
        <w:t> </w:t>
      </w:r>
      <w:r>
        <w:rPr>
          <w:w w:val="105"/>
        </w:rPr>
        <w:t>consideration</w:t>
      </w:r>
      <w:r>
        <w:rPr>
          <w:spacing w:val="21"/>
          <w:w w:val="105"/>
        </w:rPr>
        <w:t> </w:t>
      </w:r>
      <w:r>
        <w:rPr>
          <w:w w:val="105"/>
        </w:rPr>
        <w:t>by</w:t>
      </w:r>
      <w:r>
        <w:rPr>
          <w:spacing w:val="21"/>
          <w:w w:val="105"/>
        </w:rPr>
        <w:t> </w:t>
      </w:r>
      <w:r>
        <w:rPr>
          <w:w w:val="105"/>
        </w:rPr>
        <w:t>the</w:t>
      </w:r>
      <w:r>
        <w:rPr>
          <w:spacing w:val="21"/>
          <w:w w:val="105"/>
        </w:rPr>
        <w:t> </w:t>
      </w:r>
      <w:r>
        <w:rPr>
          <w:w w:val="105"/>
        </w:rPr>
        <w:t>Board</w:t>
      </w:r>
      <w:r>
        <w:rPr>
          <w:spacing w:val="21"/>
          <w:w w:val="105"/>
        </w:rPr>
        <w:t> </w:t>
      </w:r>
      <w:r>
        <w:rPr>
          <w:w w:val="105"/>
        </w:rPr>
        <w:t>as</w:t>
      </w:r>
      <w:r>
        <w:rPr>
          <w:w w:val="105"/>
        </w:rPr>
        <w:t> nominees for election as one of our directors at an annual meeting of stockholders. This can be done by</w:t>
      </w:r>
      <w:r>
        <w:rPr>
          <w:spacing w:val="40"/>
          <w:w w:val="105"/>
        </w:rPr>
        <w:t> </w:t>
      </w:r>
      <w:r>
        <w:rPr>
          <w:w w:val="105"/>
        </w:rPr>
        <w:t>notifying</w:t>
      </w:r>
      <w:r>
        <w:rPr>
          <w:spacing w:val="24"/>
          <w:w w:val="105"/>
        </w:rPr>
        <w:t> </w:t>
      </w:r>
      <w:r>
        <w:rPr>
          <w:w w:val="105"/>
        </w:rPr>
        <w:t>our</w:t>
      </w:r>
      <w:r>
        <w:rPr>
          <w:spacing w:val="24"/>
          <w:w w:val="105"/>
        </w:rPr>
        <w:t> </w:t>
      </w:r>
      <w:r>
        <w:rPr>
          <w:w w:val="105"/>
        </w:rPr>
        <w:t>Corporate</w:t>
      </w:r>
      <w:r>
        <w:rPr>
          <w:spacing w:val="24"/>
          <w:w w:val="105"/>
        </w:rPr>
        <w:t> </w:t>
      </w:r>
      <w:r>
        <w:rPr>
          <w:w w:val="105"/>
        </w:rPr>
        <w:t>Secretary</w:t>
      </w:r>
      <w:r>
        <w:rPr>
          <w:spacing w:val="24"/>
          <w:w w:val="105"/>
        </w:rPr>
        <w:t> </w:t>
      </w:r>
      <w:r>
        <w:rPr>
          <w:w w:val="105"/>
        </w:rPr>
        <w:t>in</w:t>
      </w:r>
      <w:r>
        <w:rPr>
          <w:spacing w:val="24"/>
          <w:w w:val="105"/>
        </w:rPr>
        <w:t> </w:t>
      </w:r>
      <w:r>
        <w:rPr>
          <w:w w:val="105"/>
        </w:rPr>
        <w:t>writing</w:t>
      </w:r>
      <w:r>
        <w:rPr>
          <w:spacing w:val="24"/>
          <w:w w:val="105"/>
        </w:rPr>
        <w:t> </w:t>
      </w:r>
      <w:r>
        <w:rPr>
          <w:w w:val="105"/>
        </w:rPr>
        <w:t>(at</w:t>
      </w:r>
      <w:r>
        <w:rPr>
          <w:spacing w:val="24"/>
          <w:w w:val="105"/>
        </w:rPr>
        <w:t> </w:t>
      </w:r>
      <w:r>
        <w:rPr>
          <w:w w:val="105"/>
        </w:rPr>
        <w:t>our</w:t>
      </w:r>
      <w:r>
        <w:rPr>
          <w:spacing w:val="24"/>
          <w:w w:val="105"/>
        </w:rPr>
        <w:t> </w:t>
      </w:r>
      <w:r>
        <w:rPr>
          <w:w w:val="105"/>
        </w:rPr>
        <w:t>Salt</w:t>
      </w:r>
      <w:r>
        <w:rPr>
          <w:spacing w:val="24"/>
          <w:w w:val="105"/>
        </w:rPr>
        <w:t> </w:t>
      </w:r>
      <w:r>
        <w:rPr>
          <w:w w:val="105"/>
        </w:rPr>
        <w:t>Lake</w:t>
      </w:r>
      <w:r>
        <w:rPr>
          <w:spacing w:val="24"/>
          <w:w w:val="105"/>
        </w:rPr>
        <w:t> </w:t>
      </w:r>
      <w:r>
        <w:rPr>
          <w:w w:val="105"/>
        </w:rPr>
        <w:t>City,</w:t>
      </w:r>
      <w:r>
        <w:rPr>
          <w:spacing w:val="24"/>
          <w:w w:val="105"/>
        </w:rPr>
        <w:t> </w:t>
      </w:r>
      <w:r>
        <w:rPr>
          <w:w w:val="105"/>
        </w:rPr>
        <w:t>Utah</w:t>
      </w:r>
      <w:r>
        <w:rPr>
          <w:spacing w:val="24"/>
          <w:w w:val="105"/>
        </w:rPr>
        <w:t> </w:t>
      </w:r>
      <w:r>
        <w:rPr>
          <w:w w:val="105"/>
        </w:rPr>
        <w:t>headquarters)</w:t>
      </w:r>
      <w:r>
        <w:rPr>
          <w:spacing w:val="24"/>
          <w:w w:val="105"/>
        </w:rPr>
        <w:t> </w:t>
      </w:r>
      <w:r>
        <w:rPr>
          <w:w w:val="105"/>
        </w:rPr>
        <w:t>not</w:t>
      </w:r>
      <w:r>
        <w:rPr>
          <w:spacing w:val="24"/>
          <w:w w:val="105"/>
        </w:rPr>
        <w:t> </w:t>
      </w:r>
      <w:r>
        <w:rPr>
          <w:w w:val="105"/>
        </w:rPr>
        <w:t>less</w:t>
      </w:r>
      <w:r>
        <w:rPr>
          <w:spacing w:val="24"/>
          <w:w w:val="105"/>
        </w:rPr>
        <w:t> </w:t>
      </w:r>
      <w:r>
        <w:rPr>
          <w:w w:val="105"/>
        </w:rPr>
        <w:t>than</w:t>
      </w:r>
    </w:p>
    <w:p>
      <w:pPr>
        <w:pStyle w:val="BodyText"/>
        <w:spacing w:line="259" w:lineRule="auto"/>
        <w:ind w:left="1772" w:right="1464"/>
      </w:pPr>
      <w:r>
        <w:rPr>
          <w:w w:val="105"/>
        </w:rPr>
        <w:t>90</w:t>
      </w:r>
      <w:r>
        <w:rPr>
          <w:spacing w:val="21"/>
          <w:w w:val="105"/>
        </w:rPr>
        <w:t> </w:t>
      </w:r>
      <w:r>
        <w:rPr>
          <w:w w:val="105"/>
        </w:rPr>
        <w:t>days</w:t>
      </w:r>
      <w:r>
        <w:rPr>
          <w:spacing w:val="21"/>
          <w:w w:val="105"/>
        </w:rPr>
        <w:t> </w:t>
      </w:r>
      <w:r>
        <w:rPr>
          <w:w w:val="105"/>
        </w:rPr>
        <w:t>nor</w:t>
      </w:r>
      <w:r>
        <w:rPr>
          <w:spacing w:val="21"/>
          <w:w w:val="105"/>
        </w:rPr>
        <w:t> </w:t>
      </w:r>
      <w:r>
        <w:rPr>
          <w:w w:val="105"/>
        </w:rPr>
        <w:t>more</w:t>
      </w:r>
      <w:r>
        <w:rPr>
          <w:spacing w:val="21"/>
          <w:w w:val="105"/>
        </w:rPr>
        <w:t> </w:t>
      </w:r>
      <w:r>
        <w:rPr>
          <w:w w:val="105"/>
        </w:rPr>
        <w:t>than</w:t>
      </w:r>
      <w:r>
        <w:rPr>
          <w:spacing w:val="21"/>
          <w:w w:val="105"/>
        </w:rPr>
        <w:t> </w:t>
      </w:r>
      <w:r>
        <w:rPr>
          <w:w w:val="105"/>
        </w:rPr>
        <w:t>120</w:t>
      </w:r>
      <w:r>
        <w:rPr>
          <w:spacing w:val="21"/>
          <w:w w:val="105"/>
        </w:rPr>
        <w:t> </w:t>
      </w:r>
      <w:r>
        <w:rPr>
          <w:w w:val="105"/>
        </w:rPr>
        <w:t>days</w:t>
      </w:r>
      <w:r>
        <w:rPr>
          <w:spacing w:val="21"/>
          <w:w w:val="105"/>
        </w:rPr>
        <w:t> </w:t>
      </w:r>
      <w:r>
        <w:rPr>
          <w:w w:val="105"/>
        </w:rPr>
        <w:t>before</w:t>
      </w:r>
      <w:r>
        <w:rPr>
          <w:spacing w:val="21"/>
          <w:w w:val="105"/>
        </w:rPr>
        <w:t> </w:t>
      </w:r>
      <w:r>
        <w:rPr>
          <w:w w:val="105"/>
        </w:rPr>
        <w:t>the</w:t>
      </w:r>
      <w:r>
        <w:rPr>
          <w:spacing w:val="21"/>
          <w:w w:val="105"/>
        </w:rPr>
        <w:t> </w:t>
      </w:r>
      <w:r>
        <w:rPr>
          <w:w w:val="105"/>
        </w:rPr>
        <w:t>anniversary</w:t>
      </w:r>
      <w:r>
        <w:rPr>
          <w:spacing w:val="21"/>
          <w:w w:val="105"/>
        </w:rPr>
        <w:t> </w:t>
      </w:r>
      <w:r>
        <w:rPr>
          <w:w w:val="105"/>
        </w:rPr>
        <w:t>of</w:t>
      </w:r>
      <w:r>
        <w:rPr>
          <w:spacing w:val="21"/>
          <w:w w:val="105"/>
        </w:rPr>
        <w:t> </w:t>
      </w:r>
      <w:r>
        <w:rPr>
          <w:w w:val="105"/>
        </w:rPr>
        <w:t>the</w:t>
      </w:r>
      <w:r>
        <w:rPr>
          <w:spacing w:val="21"/>
          <w:w w:val="105"/>
        </w:rPr>
        <w:t> </w:t>
      </w:r>
      <w:r>
        <w:rPr>
          <w:w w:val="105"/>
        </w:rPr>
        <w:t>prior</w:t>
      </w:r>
      <w:r>
        <w:rPr>
          <w:spacing w:val="21"/>
          <w:w w:val="105"/>
        </w:rPr>
        <w:t> </w:t>
      </w:r>
      <w:r>
        <w:rPr>
          <w:w w:val="105"/>
        </w:rPr>
        <w:t>year’s</w:t>
      </w:r>
      <w:r>
        <w:rPr>
          <w:spacing w:val="21"/>
          <w:w w:val="105"/>
        </w:rPr>
        <w:t> </w:t>
      </w:r>
      <w:r>
        <w:rPr>
          <w:w w:val="105"/>
        </w:rPr>
        <w:t>annual</w:t>
      </w:r>
      <w:r>
        <w:rPr>
          <w:spacing w:val="21"/>
          <w:w w:val="105"/>
        </w:rPr>
        <w:t> </w:t>
      </w:r>
      <w:r>
        <w:rPr>
          <w:w w:val="105"/>
        </w:rPr>
        <w:t>meeting,</w:t>
      </w:r>
      <w:r>
        <w:rPr>
          <w:spacing w:val="21"/>
          <w:w w:val="105"/>
        </w:rPr>
        <w:t> </w:t>
      </w:r>
      <w:r>
        <w:rPr>
          <w:w w:val="105"/>
        </w:rPr>
        <w:t>which</w:t>
      </w:r>
      <w:r>
        <w:rPr>
          <w:spacing w:val="21"/>
          <w:w w:val="105"/>
        </w:rPr>
        <w:t> </w:t>
      </w:r>
      <w:r>
        <w:rPr>
          <w:w w:val="105"/>
        </w:rPr>
        <w:t>for the 2024 Annual Meeting of Stockholders will be no earlier than October 12, 2023 and no later than November 11, 2023. The notice must include all information about the potential candidate that must be disclosed in proxy solicitations pursuant to Regulation 14A under the Exchange Act (including the potential candidate’s written consent to being named as a nominee and serving as a director) and a description</w:t>
      </w:r>
      <w:r>
        <w:rPr>
          <w:spacing w:val="26"/>
          <w:w w:val="105"/>
        </w:rPr>
        <w:t> </w:t>
      </w:r>
      <w:r>
        <w:rPr>
          <w:w w:val="105"/>
        </w:rPr>
        <w:t>of</w:t>
      </w:r>
      <w:r>
        <w:rPr>
          <w:spacing w:val="26"/>
          <w:w w:val="105"/>
        </w:rPr>
        <w:t> </w:t>
      </w:r>
      <w:r>
        <w:rPr>
          <w:w w:val="105"/>
        </w:rPr>
        <w:t>all</w:t>
      </w:r>
      <w:r>
        <w:rPr>
          <w:spacing w:val="26"/>
          <w:w w:val="105"/>
        </w:rPr>
        <w:t> </w:t>
      </w:r>
      <w:r>
        <w:rPr>
          <w:w w:val="105"/>
        </w:rPr>
        <w:t>material</w:t>
      </w:r>
      <w:r>
        <w:rPr>
          <w:spacing w:val="26"/>
          <w:w w:val="105"/>
        </w:rPr>
        <w:t> </w:t>
      </w:r>
      <w:r>
        <w:rPr>
          <w:w w:val="105"/>
        </w:rPr>
        <w:t>monetary</w:t>
      </w:r>
      <w:r>
        <w:rPr>
          <w:spacing w:val="26"/>
          <w:w w:val="105"/>
        </w:rPr>
        <w:t> </w:t>
      </w:r>
      <w:r>
        <w:rPr>
          <w:w w:val="105"/>
        </w:rPr>
        <w:t>agreements</w:t>
      </w:r>
      <w:r>
        <w:rPr>
          <w:spacing w:val="26"/>
          <w:w w:val="105"/>
        </w:rPr>
        <w:t> </w:t>
      </w:r>
      <w:r>
        <w:rPr>
          <w:w w:val="105"/>
        </w:rPr>
        <w:t>during</w:t>
      </w:r>
      <w:r>
        <w:rPr>
          <w:spacing w:val="26"/>
          <w:w w:val="105"/>
        </w:rPr>
        <w:t> </w:t>
      </w:r>
      <w:r>
        <w:rPr>
          <w:w w:val="105"/>
        </w:rPr>
        <w:t>the</w:t>
      </w:r>
      <w:r>
        <w:rPr>
          <w:spacing w:val="26"/>
          <w:w w:val="105"/>
        </w:rPr>
        <w:t> </w:t>
      </w:r>
      <w:r>
        <w:rPr>
          <w:w w:val="105"/>
        </w:rPr>
        <w:t>past</w:t>
      </w:r>
      <w:r>
        <w:rPr>
          <w:spacing w:val="26"/>
          <w:w w:val="105"/>
        </w:rPr>
        <w:t> </w:t>
      </w:r>
      <w:r>
        <w:rPr>
          <w:w w:val="105"/>
        </w:rPr>
        <w:t>three</w:t>
      </w:r>
      <w:r>
        <w:rPr>
          <w:spacing w:val="26"/>
          <w:w w:val="105"/>
        </w:rPr>
        <w:t> </w:t>
      </w:r>
      <w:r>
        <w:rPr>
          <w:w w:val="105"/>
        </w:rPr>
        <w:t>years</w:t>
      </w:r>
      <w:r>
        <w:rPr>
          <w:spacing w:val="26"/>
          <w:w w:val="105"/>
        </w:rPr>
        <w:t> </w:t>
      </w:r>
      <w:r>
        <w:rPr>
          <w:w w:val="105"/>
        </w:rPr>
        <w:t>and</w:t>
      </w:r>
      <w:r>
        <w:rPr>
          <w:spacing w:val="26"/>
          <w:w w:val="105"/>
        </w:rPr>
        <w:t> </w:t>
      </w:r>
      <w:r>
        <w:rPr>
          <w:w w:val="105"/>
        </w:rPr>
        <w:t>any</w:t>
      </w:r>
      <w:r>
        <w:rPr>
          <w:spacing w:val="26"/>
          <w:w w:val="105"/>
        </w:rPr>
        <w:t> </w:t>
      </w:r>
      <w:r>
        <w:rPr>
          <w:w w:val="105"/>
        </w:rPr>
        <w:t>other</w:t>
      </w:r>
      <w:r>
        <w:rPr>
          <w:spacing w:val="26"/>
          <w:w w:val="105"/>
        </w:rPr>
        <w:t> </w:t>
      </w:r>
      <w:r>
        <w:rPr>
          <w:w w:val="105"/>
        </w:rPr>
        <w:t>material</w:t>
      </w:r>
    </w:p>
    <w:p>
      <w:pPr>
        <w:spacing w:after="0" w:line="259" w:lineRule="auto"/>
        <w:sectPr>
          <w:headerReference w:type="default" r:id="rId30"/>
          <w:footerReference w:type="default" r:id="rId31"/>
          <w:pgSz w:w="12240" w:h="15840"/>
          <w:pgMar w:header="529" w:footer="1246" w:top="720" w:bottom="1440" w:left="480" w:right="460"/>
        </w:sectPr>
      </w:pPr>
    </w:p>
    <w:p>
      <w:pPr>
        <w:pStyle w:val="BodyText"/>
        <w:rPr>
          <w:sz w:val="20"/>
        </w:rPr>
      </w:pPr>
      <w:r>
        <w:rPr/>
        <w:pict>
          <v:group style="position:absolute;margin-left:28.999998pt;margin-top:760.844604pt;width:555pt;height:1.4pt;mso-position-horizontal-relative:page;mso-position-vertical-relative:page;z-index:15739392" id="docshapegroup77" coordorigin="580,15217" coordsize="11100,28">
            <v:rect style="position:absolute;left:580;top:15216;width:11100;height:14" id="docshape78" filled="true" fillcolor="#999999" stroked="false">
              <v:fill type="solid"/>
            </v:rect>
            <v:shape style="position:absolute;left:579;top:15216;width:11100;height:28" id="docshape79" coordorigin="580,15217" coordsize="11100,28" path="m11680,15217l11666,15231,580,15231,580,15245,11666,15245,11680,15245,11680,15231,11680,15217xe" filled="true" fillcolor="#ededed" stroked="false">
              <v:path arrowok="t"/>
              <v:fill type="solid"/>
            </v:shape>
            <v:shape style="position:absolute;left:580;top:15216;width:14;height:28" id="docshape80" coordorigin="580,15217" coordsize="14,28" path="m580,15245l580,15217,594,15217,594,15231,580,15245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49" w:lineRule="auto" w:before="98"/>
        <w:ind w:left="1772" w:right="1551"/>
      </w:pPr>
      <w:r>
        <w:rPr>
          <w:w w:val="105"/>
        </w:rPr>
        <w:t>relationships,</w:t>
      </w:r>
      <w:r>
        <w:rPr>
          <w:spacing w:val="29"/>
          <w:w w:val="105"/>
        </w:rPr>
        <w:t> </w:t>
      </w:r>
      <w:r>
        <w:rPr>
          <w:w w:val="105"/>
        </w:rPr>
        <w:t>between</w:t>
      </w:r>
      <w:r>
        <w:rPr>
          <w:spacing w:val="29"/>
          <w:w w:val="105"/>
        </w:rPr>
        <w:t> </w:t>
      </w:r>
      <w:r>
        <w:rPr>
          <w:w w:val="105"/>
        </w:rPr>
        <w:t>such</w:t>
      </w:r>
      <w:r>
        <w:rPr>
          <w:spacing w:val="29"/>
          <w:w w:val="105"/>
        </w:rPr>
        <w:t> </w:t>
      </w:r>
      <w:r>
        <w:rPr>
          <w:w w:val="105"/>
        </w:rPr>
        <w:t>stockholder</w:t>
      </w:r>
      <w:r>
        <w:rPr>
          <w:spacing w:val="29"/>
          <w:w w:val="105"/>
        </w:rPr>
        <w:t> </w:t>
      </w:r>
      <w:r>
        <w:rPr>
          <w:w w:val="105"/>
        </w:rPr>
        <w:t>and</w:t>
      </w:r>
      <w:r>
        <w:rPr>
          <w:spacing w:val="29"/>
          <w:w w:val="105"/>
        </w:rPr>
        <w:t> </w:t>
      </w:r>
      <w:r>
        <w:rPr>
          <w:w w:val="105"/>
        </w:rPr>
        <w:t>a</w:t>
      </w:r>
      <w:r>
        <w:rPr>
          <w:spacing w:val="29"/>
          <w:w w:val="105"/>
        </w:rPr>
        <w:t> </w:t>
      </w:r>
      <w:r>
        <w:rPr>
          <w:w w:val="105"/>
        </w:rPr>
        <w:t>beneficial</w:t>
      </w:r>
      <w:r>
        <w:rPr>
          <w:spacing w:val="29"/>
          <w:w w:val="105"/>
        </w:rPr>
        <w:t> </w:t>
      </w:r>
      <w:r>
        <w:rPr>
          <w:w w:val="105"/>
        </w:rPr>
        <w:t>owner</w:t>
      </w:r>
      <w:r>
        <w:rPr>
          <w:spacing w:val="29"/>
          <w:w w:val="105"/>
        </w:rPr>
        <w:t> </w:t>
      </w:r>
      <w:r>
        <w:rPr>
          <w:w w:val="105"/>
        </w:rPr>
        <w:t>on</w:t>
      </w:r>
      <w:r>
        <w:rPr>
          <w:spacing w:val="29"/>
          <w:w w:val="105"/>
        </w:rPr>
        <w:t> </w:t>
      </w:r>
      <w:r>
        <w:rPr>
          <w:w w:val="105"/>
        </w:rPr>
        <w:t>whose</w:t>
      </w:r>
      <w:r>
        <w:rPr>
          <w:spacing w:val="29"/>
          <w:w w:val="105"/>
        </w:rPr>
        <w:t> </w:t>
      </w:r>
      <w:r>
        <w:rPr>
          <w:w w:val="105"/>
        </w:rPr>
        <w:t>behalf</w:t>
      </w:r>
      <w:r>
        <w:rPr>
          <w:spacing w:val="29"/>
          <w:w w:val="105"/>
        </w:rPr>
        <w:t> </w:t>
      </w:r>
      <w:r>
        <w:rPr>
          <w:w w:val="105"/>
        </w:rPr>
        <w:t>the</w:t>
      </w:r>
      <w:r>
        <w:rPr>
          <w:spacing w:val="29"/>
          <w:w w:val="105"/>
        </w:rPr>
        <w:t> </w:t>
      </w:r>
      <w:r>
        <w:rPr>
          <w:w w:val="105"/>
        </w:rPr>
        <w:t>potential candidacy is made and their affiliates and associates, or others acting in concert, on the one hand, and</w:t>
      </w:r>
      <w:r>
        <w:rPr>
          <w:spacing w:val="40"/>
          <w:w w:val="105"/>
        </w:rPr>
        <w:t> </w:t>
      </w:r>
      <w:r>
        <w:rPr>
          <w:w w:val="105"/>
        </w:rPr>
        <w:t>each potential candidate, and his/her affiliates and associates, or others acting in concert, on the other</w:t>
      </w:r>
      <w:r>
        <w:rPr>
          <w:spacing w:val="40"/>
          <w:w w:val="105"/>
        </w:rPr>
        <w:t> </w:t>
      </w:r>
      <w:r>
        <w:rPr>
          <w:w w:val="105"/>
        </w:rPr>
        <w:t>hand, including all information that would be required to be disclosed pursuant to Item 404 under Regulation S-K if the stockholder were a “registrant,” all as described in our Bylaws. The notice must</w:t>
      </w:r>
      <w:r>
        <w:rPr>
          <w:spacing w:val="40"/>
          <w:w w:val="105"/>
        </w:rPr>
        <w:t> </w:t>
      </w:r>
      <w:r>
        <w:rPr>
          <w:w w:val="105"/>
        </w:rPr>
        <w:t>also include certain additional information about and representations by, the stockholder and/or the beneficial owner, all as detailed in our Bylaws.</w:t>
      </w:r>
    </w:p>
    <w:p>
      <w:pPr>
        <w:pStyle w:val="BodyText"/>
        <w:spacing w:line="252" w:lineRule="auto" w:before="143"/>
        <w:ind w:left="1772" w:right="1680"/>
      </w:pPr>
      <w:r>
        <w:rPr>
          <w:w w:val="105"/>
        </w:rPr>
        <w:t>In addition to satisfying the foregoing requirements under our Bylaws, stockholders who intend to</w:t>
      </w:r>
      <w:r>
        <w:rPr>
          <w:spacing w:val="40"/>
          <w:w w:val="105"/>
        </w:rPr>
        <w:t> </w:t>
      </w:r>
      <w:r>
        <w:rPr>
          <w:w w:val="105"/>
        </w:rPr>
        <w:t>solicit proxies in support of director nominees other than the Company’s nominees must comply with</w:t>
      </w:r>
      <w:r>
        <w:rPr>
          <w:spacing w:val="40"/>
          <w:w w:val="105"/>
        </w:rPr>
        <w:t> </w:t>
      </w:r>
      <w:r>
        <w:rPr>
          <w:w w:val="105"/>
        </w:rPr>
        <w:t>the additional requirements of Rule 14a-19(b).</w:t>
      </w:r>
    </w:p>
    <w:p>
      <w:pPr>
        <w:pStyle w:val="Heading2"/>
        <w:spacing w:before="145"/>
      </w:pPr>
      <w:r>
        <w:rPr/>
        <w:t>Q:</w:t>
      </w:r>
      <w:r>
        <w:rPr>
          <w:spacing w:val="35"/>
        </w:rPr>
        <w:t>  </w:t>
      </w:r>
      <w:r>
        <w:rPr/>
        <w:t>How</w:t>
      </w:r>
      <w:r>
        <w:rPr>
          <w:spacing w:val="-7"/>
        </w:rPr>
        <w:t> </w:t>
      </w:r>
      <w:r>
        <w:rPr/>
        <w:t>does</w:t>
      </w:r>
      <w:r>
        <w:rPr>
          <w:spacing w:val="-8"/>
        </w:rPr>
        <w:t> </w:t>
      </w:r>
      <w:r>
        <w:rPr/>
        <w:t>the</w:t>
      </w:r>
      <w:r>
        <w:rPr>
          <w:spacing w:val="-8"/>
        </w:rPr>
        <w:t> </w:t>
      </w:r>
      <w:r>
        <w:rPr/>
        <w:t>Board</w:t>
      </w:r>
      <w:r>
        <w:rPr>
          <w:spacing w:val="-7"/>
        </w:rPr>
        <w:t> </w:t>
      </w:r>
      <w:r>
        <w:rPr/>
        <w:t>select</w:t>
      </w:r>
      <w:r>
        <w:rPr>
          <w:spacing w:val="-8"/>
        </w:rPr>
        <w:t> </w:t>
      </w:r>
      <w:r>
        <w:rPr/>
        <w:t>nominees</w:t>
      </w:r>
      <w:r>
        <w:rPr>
          <w:spacing w:val="-8"/>
        </w:rPr>
        <w:t> </w:t>
      </w:r>
      <w:r>
        <w:rPr/>
        <w:t>for</w:t>
      </w:r>
      <w:r>
        <w:rPr>
          <w:spacing w:val="-11"/>
        </w:rPr>
        <w:t> </w:t>
      </w:r>
      <w:r>
        <w:rPr/>
        <w:t>election</w:t>
      </w:r>
      <w:r>
        <w:rPr>
          <w:spacing w:val="-8"/>
        </w:rPr>
        <w:t> </w:t>
      </w:r>
      <w:r>
        <w:rPr/>
        <w:t>to</w:t>
      </w:r>
      <w:r>
        <w:rPr>
          <w:spacing w:val="-8"/>
        </w:rPr>
        <w:t> </w:t>
      </w:r>
      <w:r>
        <w:rPr/>
        <w:t>the</w:t>
      </w:r>
      <w:r>
        <w:rPr>
          <w:spacing w:val="-7"/>
        </w:rPr>
        <w:t> </w:t>
      </w:r>
      <w:r>
        <w:rPr>
          <w:spacing w:val="-2"/>
        </w:rPr>
        <w:t>Board?</w:t>
      </w:r>
    </w:p>
    <w:p>
      <w:pPr>
        <w:pStyle w:val="BodyText"/>
        <w:spacing w:line="259" w:lineRule="auto" w:before="157"/>
        <w:ind w:left="1772" w:right="1504" w:hanging="373"/>
      </w:pPr>
      <w:r>
        <w:rPr>
          <w:w w:val="105"/>
        </w:rPr>
        <w:t>A:</w:t>
      </w:r>
      <w:r>
        <w:rPr>
          <w:spacing w:val="63"/>
          <w:w w:val="105"/>
        </w:rPr>
        <w:t>  </w:t>
      </w:r>
      <w:r>
        <w:rPr>
          <w:w w:val="105"/>
        </w:rPr>
        <w:t>The</w:t>
      </w:r>
      <w:r>
        <w:rPr>
          <w:spacing w:val="18"/>
          <w:w w:val="105"/>
        </w:rPr>
        <w:t> </w:t>
      </w:r>
      <w:r>
        <w:rPr>
          <w:w w:val="105"/>
        </w:rPr>
        <w:t>Nominating</w:t>
      </w:r>
      <w:r>
        <w:rPr>
          <w:spacing w:val="18"/>
          <w:w w:val="105"/>
        </w:rPr>
        <w:t> </w:t>
      </w:r>
      <w:r>
        <w:rPr>
          <w:w w:val="105"/>
        </w:rPr>
        <w:t>Committee</w:t>
      </w:r>
      <w:r>
        <w:rPr>
          <w:spacing w:val="18"/>
          <w:w w:val="105"/>
        </w:rPr>
        <w:t> </w:t>
      </w:r>
      <w:r>
        <w:rPr>
          <w:w w:val="105"/>
        </w:rPr>
        <w:t>will</w:t>
      </w:r>
      <w:r>
        <w:rPr>
          <w:spacing w:val="18"/>
          <w:w w:val="105"/>
        </w:rPr>
        <w:t> </w:t>
      </w:r>
      <w:r>
        <w:rPr>
          <w:w w:val="105"/>
        </w:rPr>
        <w:t>consider</w:t>
      </w:r>
      <w:r>
        <w:rPr>
          <w:spacing w:val="18"/>
          <w:w w:val="105"/>
        </w:rPr>
        <w:t> </w:t>
      </w:r>
      <w:r>
        <w:rPr>
          <w:w w:val="105"/>
        </w:rPr>
        <w:t>potential</w:t>
      </w:r>
      <w:r>
        <w:rPr>
          <w:spacing w:val="18"/>
          <w:w w:val="105"/>
        </w:rPr>
        <w:t> </w:t>
      </w:r>
      <w:r>
        <w:rPr>
          <w:w w:val="105"/>
        </w:rPr>
        <w:t>candidates</w:t>
      </w:r>
      <w:r>
        <w:rPr>
          <w:spacing w:val="18"/>
          <w:w w:val="105"/>
        </w:rPr>
        <w:t> </w:t>
      </w:r>
      <w:r>
        <w:rPr>
          <w:w w:val="105"/>
        </w:rPr>
        <w:t>for</w:t>
      </w:r>
      <w:r>
        <w:rPr>
          <w:spacing w:val="18"/>
          <w:w w:val="105"/>
        </w:rPr>
        <w:t> </w:t>
      </w:r>
      <w:r>
        <w:rPr>
          <w:w w:val="105"/>
        </w:rPr>
        <w:t>directors</w:t>
      </w:r>
      <w:r>
        <w:rPr>
          <w:spacing w:val="18"/>
          <w:w w:val="105"/>
        </w:rPr>
        <w:t> </w:t>
      </w:r>
      <w:r>
        <w:rPr>
          <w:w w:val="105"/>
        </w:rPr>
        <w:t>submitted</w:t>
      </w:r>
      <w:r>
        <w:rPr>
          <w:spacing w:val="18"/>
          <w:w w:val="105"/>
        </w:rPr>
        <w:t> </w:t>
      </w:r>
      <w:r>
        <w:rPr>
          <w:w w:val="105"/>
        </w:rPr>
        <w:t>by</w:t>
      </w:r>
      <w:r>
        <w:rPr>
          <w:spacing w:val="18"/>
          <w:w w:val="105"/>
        </w:rPr>
        <w:t> </w:t>
      </w:r>
      <w:r>
        <w:rPr>
          <w:w w:val="105"/>
        </w:rPr>
        <w:t>stockholders, in addition to those suggested by other Board members and members of our management, and does not evaluate potential candidates differently based upon the source of the potential candidate. The</w:t>
      </w:r>
      <w:r>
        <w:rPr>
          <w:spacing w:val="40"/>
          <w:w w:val="105"/>
        </w:rPr>
        <w:t> </w:t>
      </w:r>
      <w:r>
        <w:rPr>
          <w:w w:val="105"/>
        </w:rPr>
        <w:t>Nominating</w:t>
      </w:r>
      <w:r>
        <w:rPr>
          <w:spacing w:val="34"/>
          <w:w w:val="105"/>
        </w:rPr>
        <w:t> </w:t>
      </w:r>
      <w:r>
        <w:rPr>
          <w:w w:val="105"/>
        </w:rPr>
        <w:t>Committee</w:t>
      </w:r>
      <w:r>
        <w:rPr>
          <w:spacing w:val="34"/>
          <w:w w:val="105"/>
        </w:rPr>
        <w:t> </w:t>
      </w:r>
      <w:r>
        <w:rPr>
          <w:w w:val="105"/>
        </w:rPr>
        <w:t>considers</w:t>
      </w:r>
      <w:r>
        <w:rPr>
          <w:spacing w:val="34"/>
          <w:w w:val="105"/>
        </w:rPr>
        <w:t> </w:t>
      </w:r>
      <w:r>
        <w:rPr>
          <w:w w:val="105"/>
        </w:rPr>
        <w:t>and</w:t>
      </w:r>
      <w:r>
        <w:rPr>
          <w:spacing w:val="34"/>
          <w:w w:val="105"/>
        </w:rPr>
        <w:t> </w:t>
      </w:r>
      <w:r>
        <w:rPr>
          <w:w w:val="105"/>
        </w:rPr>
        <w:t>evaluates</w:t>
      </w:r>
      <w:r>
        <w:rPr>
          <w:spacing w:val="34"/>
          <w:w w:val="105"/>
        </w:rPr>
        <w:t> </w:t>
      </w:r>
      <w:r>
        <w:rPr>
          <w:w w:val="105"/>
        </w:rPr>
        <w:t>each</w:t>
      </w:r>
      <w:r>
        <w:rPr>
          <w:spacing w:val="34"/>
          <w:w w:val="105"/>
        </w:rPr>
        <w:t> </w:t>
      </w:r>
      <w:r>
        <w:rPr>
          <w:w w:val="105"/>
        </w:rPr>
        <w:t>properly</w:t>
      </w:r>
      <w:r>
        <w:rPr>
          <w:spacing w:val="34"/>
          <w:w w:val="105"/>
        </w:rPr>
        <w:t> </w:t>
      </w:r>
      <w:r>
        <w:rPr>
          <w:w w:val="105"/>
        </w:rPr>
        <w:t>submitted</w:t>
      </w:r>
      <w:r>
        <w:rPr>
          <w:spacing w:val="34"/>
          <w:w w:val="105"/>
        </w:rPr>
        <w:t> </w:t>
      </w:r>
      <w:r>
        <w:rPr>
          <w:w w:val="105"/>
        </w:rPr>
        <w:t>potential</w:t>
      </w:r>
      <w:r>
        <w:rPr>
          <w:spacing w:val="34"/>
          <w:w w:val="105"/>
        </w:rPr>
        <w:t> </w:t>
      </w:r>
      <w:r>
        <w:rPr>
          <w:w w:val="105"/>
        </w:rPr>
        <w:t>candidate</w:t>
      </w:r>
      <w:r>
        <w:rPr>
          <w:spacing w:val="34"/>
          <w:w w:val="105"/>
        </w:rPr>
        <w:t> </w:t>
      </w:r>
      <w:r>
        <w:rPr>
          <w:w w:val="105"/>
        </w:rPr>
        <w:t>for director in an effort to achieve a balance of skills and characteristics on the Board, as well as to ensure</w:t>
      </w:r>
      <w:r>
        <w:rPr>
          <w:spacing w:val="40"/>
          <w:w w:val="105"/>
        </w:rPr>
        <w:t> </w:t>
      </w:r>
      <w:r>
        <w:rPr>
          <w:w w:val="105"/>
        </w:rPr>
        <w:t>that the composition of the Board at all times adheres to the independence requirements applicable to</w:t>
      </w:r>
      <w:r>
        <w:rPr>
          <w:spacing w:val="40"/>
          <w:w w:val="105"/>
        </w:rPr>
        <w:t> </w:t>
      </w:r>
      <w:r>
        <w:rPr>
          <w:w w:val="105"/>
        </w:rPr>
        <w:t>companies listed on the Nasdaq Global Select Stock Market (“</w:t>
      </w:r>
      <w:r>
        <w:rPr>
          <w:b/>
          <w:w w:val="105"/>
        </w:rPr>
        <w:t>Nasdaq</w:t>
      </w:r>
      <w:r>
        <w:rPr>
          <w:w w:val="105"/>
        </w:rPr>
        <w:t>”) and other regulatory requirements</w:t>
      </w:r>
      <w:r>
        <w:rPr>
          <w:spacing w:val="25"/>
          <w:w w:val="105"/>
        </w:rPr>
        <w:t> </w:t>
      </w:r>
      <w:r>
        <w:rPr>
          <w:w w:val="105"/>
        </w:rPr>
        <w:t>applicable</w:t>
      </w:r>
      <w:r>
        <w:rPr>
          <w:spacing w:val="25"/>
          <w:w w:val="105"/>
        </w:rPr>
        <w:t> </w:t>
      </w:r>
      <w:r>
        <w:rPr>
          <w:w w:val="105"/>
        </w:rPr>
        <w:t>to</w:t>
      </w:r>
      <w:r>
        <w:rPr>
          <w:spacing w:val="25"/>
          <w:w w:val="105"/>
        </w:rPr>
        <w:t> </w:t>
      </w:r>
      <w:r>
        <w:rPr>
          <w:w w:val="105"/>
        </w:rPr>
        <w:t>us.</w:t>
      </w:r>
      <w:r>
        <w:rPr>
          <w:spacing w:val="25"/>
          <w:w w:val="105"/>
        </w:rPr>
        <w:t> </w:t>
      </w:r>
      <w:r>
        <w:rPr>
          <w:w w:val="105"/>
        </w:rPr>
        <w:t>Please</w:t>
      </w:r>
      <w:r>
        <w:rPr>
          <w:spacing w:val="25"/>
          <w:w w:val="105"/>
        </w:rPr>
        <w:t> </w:t>
      </w:r>
      <w:r>
        <w:rPr>
          <w:w w:val="105"/>
        </w:rPr>
        <w:t>refer</w:t>
      </w:r>
      <w:r>
        <w:rPr>
          <w:spacing w:val="25"/>
          <w:w w:val="105"/>
        </w:rPr>
        <w:t> </w:t>
      </w:r>
      <w:r>
        <w:rPr>
          <w:w w:val="105"/>
        </w:rPr>
        <w:t>to</w:t>
      </w:r>
      <w:r>
        <w:rPr>
          <w:spacing w:val="25"/>
          <w:w w:val="105"/>
        </w:rPr>
        <w:t> </w:t>
      </w:r>
      <w:r>
        <w:rPr>
          <w:w w:val="105"/>
        </w:rPr>
        <w:t>“Proposal</w:t>
      </w:r>
      <w:r>
        <w:rPr>
          <w:spacing w:val="25"/>
          <w:w w:val="105"/>
        </w:rPr>
        <w:t> </w:t>
      </w:r>
      <w:r>
        <w:rPr>
          <w:w w:val="105"/>
        </w:rPr>
        <w:t>One — Election</w:t>
      </w:r>
      <w:r>
        <w:rPr>
          <w:spacing w:val="25"/>
          <w:w w:val="105"/>
        </w:rPr>
        <w:t> </w:t>
      </w:r>
      <w:r>
        <w:rPr>
          <w:w w:val="105"/>
        </w:rPr>
        <w:t>of</w:t>
      </w:r>
      <w:r>
        <w:rPr>
          <w:spacing w:val="25"/>
          <w:w w:val="105"/>
        </w:rPr>
        <w:t> </w:t>
      </w:r>
      <w:r>
        <w:rPr>
          <w:w w:val="105"/>
        </w:rPr>
        <w:t>Directors”</w:t>
      </w:r>
      <w:r>
        <w:rPr>
          <w:spacing w:val="25"/>
          <w:w w:val="105"/>
        </w:rPr>
        <w:t> </w:t>
      </w:r>
      <w:r>
        <w:rPr>
          <w:w w:val="105"/>
        </w:rPr>
        <w:t>and</w:t>
      </w:r>
      <w:r>
        <w:rPr>
          <w:spacing w:val="25"/>
          <w:w w:val="105"/>
        </w:rPr>
        <w:t> </w:t>
      </w:r>
      <w:r>
        <w:rPr>
          <w:w w:val="105"/>
        </w:rPr>
        <w:t>our Corporate</w:t>
      </w:r>
      <w:r>
        <w:rPr>
          <w:spacing w:val="30"/>
          <w:w w:val="105"/>
        </w:rPr>
        <w:t> </w:t>
      </w:r>
      <w:r>
        <w:rPr>
          <w:w w:val="105"/>
        </w:rPr>
        <w:t>Governance</w:t>
      </w:r>
      <w:r>
        <w:rPr>
          <w:spacing w:val="30"/>
          <w:w w:val="105"/>
        </w:rPr>
        <w:t> </w:t>
      </w:r>
      <w:r>
        <w:rPr>
          <w:w w:val="105"/>
        </w:rPr>
        <w:t>Guidelines</w:t>
      </w:r>
      <w:r>
        <w:rPr>
          <w:spacing w:val="30"/>
          <w:w w:val="105"/>
        </w:rPr>
        <w:t> </w:t>
      </w:r>
      <w:r>
        <w:rPr>
          <w:w w:val="105"/>
        </w:rPr>
        <w:t>for</w:t>
      </w:r>
      <w:r>
        <w:rPr>
          <w:spacing w:val="30"/>
          <w:w w:val="105"/>
        </w:rPr>
        <w:t> </w:t>
      </w:r>
      <w:r>
        <w:rPr>
          <w:w w:val="105"/>
        </w:rPr>
        <w:t>additional</w:t>
      </w:r>
      <w:r>
        <w:rPr>
          <w:spacing w:val="30"/>
          <w:w w:val="105"/>
        </w:rPr>
        <w:t> </w:t>
      </w:r>
      <w:r>
        <w:rPr>
          <w:w w:val="105"/>
        </w:rPr>
        <w:t>details</w:t>
      </w:r>
      <w:r>
        <w:rPr>
          <w:spacing w:val="30"/>
          <w:w w:val="105"/>
        </w:rPr>
        <w:t> </w:t>
      </w:r>
      <w:r>
        <w:rPr>
          <w:w w:val="105"/>
        </w:rPr>
        <w:t>on</w:t>
      </w:r>
      <w:r>
        <w:rPr>
          <w:spacing w:val="30"/>
          <w:w w:val="105"/>
        </w:rPr>
        <w:t> </w:t>
      </w:r>
      <w:r>
        <w:rPr>
          <w:w w:val="105"/>
        </w:rPr>
        <w:t>our</w:t>
      </w:r>
      <w:r>
        <w:rPr>
          <w:spacing w:val="30"/>
          <w:w w:val="105"/>
        </w:rPr>
        <w:t> </w:t>
      </w:r>
      <w:r>
        <w:rPr>
          <w:w w:val="105"/>
        </w:rPr>
        <w:t>policy,</w:t>
      </w:r>
      <w:r>
        <w:rPr>
          <w:spacing w:val="30"/>
          <w:w w:val="105"/>
        </w:rPr>
        <w:t> </w:t>
      </w:r>
      <w:r>
        <w:rPr>
          <w:w w:val="105"/>
        </w:rPr>
        <w:t>process,</w:t>
      </w:r>
      <w:r>
        <w:rPr>
          <w:spacing w:val="30"/>
          <w:w w:val="105"/>
        </w:rPr>
        <w:t> </w:t>
      </w:r>
      <w:r>
        <w:rPr>
          <w:w w:val="105"/>
        </w:rPr>
        <w:t>and</w:t>
      </w:r>
      <w:r>
        <w:rPr>
          <w:spacing w:val="30"/>
          <w:w w:val="105"/>
        </w:rPr>
        <w:t> </w:t>
      </w:r>
      <w:r>
        <w:rPr>
          <w:w w:val="105"/>
        </w:rPr>
        <w:t>membership criteria. A stockholder may recommend potential candidates for director by notifying our Corporate Secretary in writing (at our Salt Lake City, Utah headquarters) as detailed in the question and answer </w:t>
      </w:r>
      <w:r>
        <w:rPr>
          <w:spacing w:val="-2"/>
          <w:w w:val="105"/>
        </w:rPr>
        <w:t>above.</w:t>
      </w:r>
    </w:p>
    <w:p>
      <w:pPr>
        <w:pStyle w:val="Heading2"/>
        <w:spacing w:before="155"/>
      </w:pPr>
      <w:r>
        <w:rPr>
          <w:spacing w:val="-4"/>
          <w:w w:val="105"/>
        </w:rPr>
        <w:t>Q:</w:t>
      </w:r>
      <w:r>
        <w:rPr>
          <w:spacing w:val="78"/>
          <w:w w:val="150"/>
        </w:rPr>
        <w:t> </w:t>
      </w:r>
      <w:r>
        <w:rPr>
          <w:spacing w:val="-4"/>
          <w:w w:val="105"/>
        </w:rPr>
        <w:t>How</w:t>
      </w:r>
      <w:r>
        <w:rPr>
          <w:spacing w:val="-9"/>
          <w:w w:val="105"/>
        </w:rPr>
        <w:t> </w:t>
      </w:r>
      <w:r>
        <w:rPr>
          <w:spacing w:val="-4"/>
          <w:w w:val="105"/>
        </w:rPr>
        <w:t>may</w:t>
      </w:r>
      <w:r>
        <w:rPr>
          <w:spacing w:val="-8"/>
          <w:w w:val="105"/>
        </w:rPr>
        <w:t> </w:t>
      </w:r>
      <w:r>
        <w:rPr>
          <w:spacing w:val="-4"/>
          <w:w w:val="105"/>
        </w:rPr>
        <w:t>I</w:t>
      </w:r>
      <w:r>
        <w:rPr>
          <w:spacing w:val="-8"/>
          <w:w w:val="105"/>
        </w:rPr>
        <w:t> </w:t>
      </w:r>
      <w:r>
        <w:rPr>
          <w:spacing w:val="-4"/>
          <w:w w:val="105"/>
        </w:rPr>
        <w:t>communicate</w:t>
      </w:r>
      <w:r>
        <w:rPr>
          <w:spacing w:val="-8"/>
          <w:w w:val="105"/>
        </w:rPr>
        <w:t> </w:t>
      </w:r>
      <w:r>
        <w:rPr>
          <w:spacing w:val="-4"/>
          <w:w w:val="105"/>
        </w:rPr>
        <w:t>with</w:t>
      </w:r>
      <w:r>
        <w:rPr>
          <w:spacing w:val="-9"/>
          <w:w w:val="105"/>
        </w:rPr>
        <w:t> </w:t>
      </w:r>
      <w:r>
        <w:rPr>
          <w:spacing w:val="-4"/>
          <w:w w:val="105"/>
        </w:rPr>
        <w:t>the</w:t>
      </w:r>
      <w:r>
        <w:rPr>
          <w:spacing w:val="-8"/>
          <w:w w:val="105"/>
        </w:rPr>
        <w:t> </w:t>
      </w:r>
      <w:r>
        <w:rPr>
          <w:spacing w:val="-4"/>
          <w:w w:val="105"/>
        </w:rPr>
        <w:t>Board?</w:t>
      </w:r>
    </w:p>
    <w:p>
      <w:pPr>
        <w:pStyle w:val="BodyText"/>
        <w:spacing w:line="259" w:lineRule="auto" w:before="156"/>
        <w:ind w:left="1772" w:right="1551" w:hanging="373"/>
      </w:pPr>
      <w:r>
        <w:rPr>
          <w:w w:val="105"/>
        </w:rPr>
        <w:t>A:</w:t>
      </w:r>
      <w:r>
        <w:rPr>
          <w:spacing w:val="40"/>
          <w:w w:val="105"/>
        </w:rPr>
        <w:t>  </w:t>
      </w:r>
      <w:r>
        <w:rPr>
          <w:w w:val="105"/>
        </w:rPr>
        <w:t>Stockholders</w:t>
      </w:r>
      <w:r>
        <w:rPr>
          <w:spacing w:val="14"/>
          <w:w w:val="105"/>
        </w:rPr>
        <w:t> </w:t>
      </w:r>
      <w:r>
        <w:rPr>
          <w:w w:val="105"/>
        </w:rPr>
        <w:t>and</w:t>
      </w:r>
      <w:r>
        <w:rPr>
          <w:spacing w:val="14"/>
          <w:w w:val="105"/>
        </w:rPr>
        <w:t> </w:t>
      </w:r>
      <w:r>
        <w:rPr>
          <w:w w:val="105"/>
        </w:rPr>
        <w:t>other</w:t>
      </w:r>
      <w:r>
        <w:rPr>
          <w:spacing w:val="14"/>
          <w:w w:val="105"/>
        </w:rPr>
        <w:t> </w:t>
      </w:r>
      <w:r>
        <w:rPr>
          <w:w w:val="105"/>
        </w:rPr>
        <w:t>interested</w:t>
      </w:r>
      <w:r>
        <w:rPr>
          <w:spacing w:val="14"/>
          <w:w w:val="105"/>
        </w:rPr>
        <w:t> </w:t>
      </w:r>
      <w:r>
        <w:rPr>
          <w:w w:val="105"/>
        </w:rPr>
        <w:t>parties</w:t>
      </w:r>
      <w:r>
        <w:rPr>
          <w:spacing w:val="14"/>
          <w:w w:val="105"/>
        </w:rPr>
        <w:t> </w:t>
      </w:r>
      <w:r>
        <w:rPr>
          <w:w w:val="105"/>
        </w:rPr>
        <w:t>may</w:t>
      </w:r>
      <w:r>
        <w:rPr>
          <w:spacing w:val="14"/>
          <w:w w:val="105"/>
        </w:rPr>
        <w:t> </w:t>
      </w:r>
      <w:r>
        <w:rPr>
          <w:w w:val="105"/>
        </w:rPr>
        <w:t>communicate</w:t>
      </w:r>
      <w:r>
        <w:rPr>
          <w:spacing w:val="14"/>
          <w:w w:val="105"/>
        </w:rPr>
        <w:t> </w:t>
      </w:r>
      <w:r>
        <w:rPr>
          <w:w w:val="105"/>
        </w:rPr>
        <w:t>directly</w:t>
      </w:r>
      <w:r>
        <w:rPr>
          <w:spacing w:val="14"/>
          <w:w w:val="105"/>
        </w:rPr>
        <w:t> </w:t>
      </w:r>
      <w:r>
        <w:rPr>
          <w:w w:val="105"/>
        </w:rPr>
        <w:t>with</w:t>
      </w:r>
      <w:r>
        <w:rPr>
          <w:spacing w:val="14"/>
          <w:w w:val="105"/>
        </w:rPr>
        <w:t> </w:t>
      </w:r>
      <w:r>
        <w:rPr>
          <w:w w:val="105"/>
        </w:rPr>
        <w:t>the</w:t>
      </w:r>
      <w:r>
        <w:rPr>
          <w:spacing w:val="14"/>
          <w:w w:val="105"/>
        </w:rPr>
        <w:t> </w:t>
      </w:r>
      <w:r>
        <w:rPr>
          <w:w w:val="105"/>
        </w:rPr>
        <w:t>Board,</w:t>
      </w:r>
      <w:r>
        <w:rPr>
          <w:spacing w:val="14"/>
          <w:w w:val="105"/>
        </w:rPr>
        <w:t> </w:t>
      </w:r>
      <w:r>
        <w:rPr>
          <w:w w:val="105"/>
        </w:rPr>
        <w:t>the</w:t>
      </w:r>
      <w:r>
        <w:rPr>
          <w:spacing w:val="14"/>
          <w:w w:val="105"/>
        </w:rPr>
        <w:t> </w:t>
      </w:r>
      <w:r>
        <w:rPr>
          <w:w w:val="105"/>
        </w:rPr>
        <w:t>Board’s</w:t>
      </w:r>
      <w:r>
        <w:rPr>
          <w:spacing w:val="14"/>
          <w:w w:val="105"/>
        </w:rPr>
        <w:t> </w:t>
      </w:r>
      <w:r>
        <w:rPr>
          <w:w w:val="105"/>
        </w:rPr>
        <w:t>Chair or</w:t>
      </w:r>
      <w:r>
        <w:rPr>
          <w:spacing w:val="21"/>
          <w:w w:val="105"/>
        </w:rPr>
        <w:t> </w:t>
      </w:r>
      <w:r>
        <w:rPr>
          <w:w w:val="105"/>
        </w:rPr>
        <w:t>any</w:t>
      </w:r>
      <w:r>
        <w:rPr>
          <w:spacing w:val="21"/>
          <w:w w:val="105"/>
        </w:rPr>
        <w:t> </w:t>
      </w:r>
      <w:r>
        <w:rPr>
          <w:w w:val="105"/>
        </w:rPr>
        <w:t>other</w:t>
      </w:r>
      <w:r>
        <w:rPr>
          <w:spacing w:val="21"/>
          <w:w w:val="105"/>
        </w:rPr>
        <w:t> </w:t>
      </w:r>
      <w:r>
        <w:rPr>
          <w:w w:val="105"/>
        </w:rPr>
        <w:t>director</w:t>
      </w:r>
      <w:r>
        <w:rPr>
          <w:spacing w:val="21"/>
          <w:w w:val="105"/>
        </w:rPr>
        <w:t> </w:t>
      </w:r>
      <w:r>
        <w:rPr>
          <w:w w:val="105"/>
        </w:rPr>
        <w:t>or</w:t>
      </w:r>
      <w:r>
        <w:rPr>
          <w:spacing w:val="21"/>
          <w:w w:val="105"/>
        </w:rPr>
        <w:t> </w:t>
      </w:r>
      <w:r>
        <w:rPr>
          <w:w w:val="105"/>
        </w:rPr>
        <w:t>with</w:t>
      </w:r>
      <w:r>
        <w:rPr>
          <w:spacing w:val="21"/>
          <w:w w:val="105"/>
        </w:rPr>
        <w:t> </w:t>
      </w:r>
      <w:r>
        <w:rPr>
          <w:w w:val="105"/>
        </w:rPr>
        <w:t>the</w:t>
      </w:r>
      <w:r>
        <w:rPr>
          <w:spacing w:val="21"/>
          <w:w w:val="105"/>
        </w:rPr>
        <w:t> </w:t>
      </w:r>
      <w:r>
        <w:rPr>
          <w:w w:val="105"/>
        </w:rPr>
        <w:t>independent</w:t>
      </w:r>
      <w:r>
        <w:rPr>
          <w:spacing w:val="21"/>
          <w:w w:val="105"/>
        </w:rPr>
        <w:t> </w:t>
      </w:r>
      <w:r>
        <w:rPr>
          <w:w w:val="105"/>
        </w:rPr>
        <w:t>directors</w:t>
      </w:r>
      <w:r>
        <w:rPr>
          <w:spacing w:val="21"/>
          <w:w w:val="105"/>
        </w:rPr>
        <w:t> </w:t>
      </w:r>
      <w:r>
        <w:rPr>
          <w:w w:val="105"/>
        </w:rPr>
        <w:t>as</w:t>
      </w:r>
      <w:r>
        <w:rPr>
          <w:spacing w:val="21"/>
          <w:w w:val="105"/>
        </w:rPr>
        <w:t> </w:t>
      </w:r>
      <w:r>
        <w:rPr>
          <w:w w:val="105"/>
        </w:rPr>
        <w:t>a</w:t>
      </w:r>
      <w:r>
        <w:rPr>
          <w:spacing w:val="21"/>
          <w:w w:val="105"/>
        </w:rPr>
        <w:t> </w:t>
      </w:r>
      <w:r>
        <w:rPr>
          <w:w w:val="105"/>
        </w:rPr>
        <w:t>group</w:t>
      </w:r>
      <w:r>
        <w:rPr>
          <w:spacing w:val="21"/>
          <w:w w:val="105"/>
        </w:rPr>
        <w:t> </w:t>
      </w:r>
      <w:r>
        <w:rPr>
          <w:w w:val="105"/>
        </w:rPr>
        <w:t>or</w:t>
      </w:r>
      <w:r>
        <w:rPr>
          <w:spacing w:val="21"/>
          <w:w w:val="105"/>
        </w:rPr>
        <w:t> </w:t>
      </w:r>
      <w:r>
        <w:rPr>
          <w:w w:val="105"/>
        </w:rPr>
        <w:t>any</w:t>
      </w:r>
      <w:r>
        <w:rPr>
          <w:spacing w:val="21"/>
          <w:w w:val="105"/>
        </w:rPr>
        <w:t> </w:t>
      </w:r>
      <w:r>
        <w:rPr>
          <w:w w:val="105"/>
        </w:rPr>
        <w:t>other</w:t>
      </w:r>
      <w:r>
        <w:rPr>
          <w:spacing w:val="21"/>
          <w:w w:val="105"/>
        </w:rPr>
        <w:t> </w:t>
      </w:r>
      <w:r>
        <w:rPr>
          <w:w w:val="105"/>
        </w:rPr>
        <w:t>group</w:t>
      </w:r>
      <w:r>
        <w:rPr>
          <w:spacing w:val="21"/>
          <w:w w:val="105"/>
        </w:rPr>
        <w:t> </w:t>
      </w:r>
      <w:r>
        <w:rPr>
          <w:w w:val="105"/>
        </w:rPr>
        <w:t>of</w:t>
      </w:r>
      <w:r>
        <w:rPr>
          <w:spacing w:val="21"/>
          <w:w w:val="105"/>
        </w:rPr>
        <w:t> </w:t>
      </w:r>
      <w:r>
        <w:rPr>
          <w:w w:val="105"/>
        </w:rPr>
        <w:t>directors through the Board’s Chair by sending an email to </w:t>
      </w:r>
      <w:hyperlink r:id="rId34">
        <w:r>
          <w:rPr>
            <w:i/>
            <w:w w:val="105"/>
          </w:rPr>
          <w:t>boardofdirectors@vareximaging.com</w:t>
        </w:r>
        <w:r>
          <w:rPr>
            <w:w w:val="105"/>
          </w:rPr>
          <w:t>.</w:t>
        </w:r>
      </w:hyperlink>
      <w:r>
        <w:rPr>
          <w:w w:val="105"/>
        </w:rPr>
        <w:t> Messages received will be forwarded to the appropriate director or directors.</w:t>
      </w:r>
    </w:p>
    <w:p>
      <w:pPr>
        <w:pStyle w:val="Heading2"/>
        <w:spacing w:before="155"/>
      </w:pPr>
      <w:r>
        <w:rPr/>
        <w:t>Q:</w:t>
      </w:r>
      <w:r>
        <w:rPr>
          <w:spacing w:val="36"/>
        </w:rPr>
        <w:t>  </w:t>
      </w:r>
      <w:r>
        <w:rPr/>
        <w:t>When</w:t>
      </w:r>
      <w:r>
        <w:rPr>
          <w:spacing w:val="-7"/>
        </w:rPr>
        <w:t> </w:t>
      </w:r>
      <w:r>
        <w:rPr/>
        <w:t>and</w:t>
      </w:r>
      <w:r>
        <w:rPr>
          <w:spacing w:val="-7"/>
        </w:rPr>
        <w:t> </w:t>
      </w:r>
      <w:r>
        <w:rPr/>
        <w:t>where</w:t>
      </w:r>
      <w:r>
        <w:rPr>
          <w:spacing w:val="-7"/>
        </w:rPr>
        <w:t> </w:t>
      </w:r>
      <w:r>
        <w:rPr/>
        <w:t>is</w:t>
      </w:r>
      <w:r>
        <w:rPr>
          <w:spacing w:val="-7"/>
        </w:rPr>
        <w:t> </w:t>
      </w:r>
      <w:r>
        <w:rPr/>
        <w:t>the</w:t>
      </w:r>
      <w:r>
        <w:rPr>
          <w:spacing w:val="-17"/>
        </w:rPr>
        <w:t> </w:t>
      </w:r>
      <w:r>
        <w:rPr/>
        <w:t>Annual</w:t>
      </w:r>
      <w:r>
        <w:rPr>
          <w:spacing w:val="-7"/>
        </w:rPr>
        <w:t> </w:t>
      </w:r>
      <w:r>
        <w:rPr/>
        <w:t>Meeting</w:t>
      </w:r>
      <w:r>
        <w:rPr>
          <w:spacing w:val="-7"/>
        </w:rPr>
        <w:t> </w:t>
      </w:r>
      <w:r>
        <w:rPr/>
        <w:t>being</w:t>
      </w:r>
      <w:r>
        <w:rPr>
          <w:spacing w:val="-7"/>
        </w:rPr>
        <w:t> </w:t>
      </w:r>
      <w:r>
        <w:rPr>
          <w:spacing w:val="-2"/>
        </w:rPr>
        <w:t>held?</w:t>
      </w:r>
    </w:p>
    <w:p>
      <w:pPr>
        <w:pStyle w:val="BodyText"/>
        <w:spacing w:line="259" w:lineRule="auto" w:before="156"/>
        <w:ind w:left="1772" w:right="1551" w:hanging="373"/>
        <w:rPr>
          <w:b/>
        </w:rPr>
      </w:pPr>
      <w:r>
        <w:rPr>
          <w:w w:val="105"/>
        </w:rPr>
        <w:t>A:</w:t>
      </w:r>
      <w:r>
        <w:rPr>
          <w:spacing w:val="40"/>
          <w:w w:val="105"/>
        </w:rPr>
        <w:t>  </w:t>
      </w:r>
      <w:r>
        <w:rPr>
          <w:w w:val="105"/>
        </w:rPr>
        <w:t>Our Annual</w:t>
      </w:r>
      <w:r>
        <w:rPr>
          <w:spacing w:val="20"/>
          <w:w w:val="105"/>
        </w:rPr>
        <w:t> </w:t>
      </w:r>
      <w:r>
        <w:rPr>
          <w:w w:val="105"/>
        </w:rPr>
        <w:t>Meeting</w:t>
      </w:r>
      <w:r>
        <w:rPr>
          <w:spacing w:val="20"/>
          <w:w w:val="105"/>
        </w:rPr>
        <w:t> </w:t>
      </w:r>
      <w:r>
        <w:rPr>
          <w:w w:val="105"/>
        </w:rPr>
        <w:t>will</w:t>
      </w:r>
      <w:r>
        <w:rPr>
          <w:spacing w:val="19"/>
          <w:w w:val="105"/>
        </w:rPr>
        <w:t> </w:t>
      </w:r>
      <w:r>
        <w:rPr>
          <w:w w:val="105"/>
        </w:rPr>
        <w:t>be</w:t>
      </w:r>
      <w:r>
        <w:rPr>
          <w:spacing w:val="20"/>
          <w:w w:val="105"/>
        </w:rPr>
        <w:t> </w:t>
      </w:r>
      <w:r>
        <w:rPr>
          <w:w w:val="105"/>
        </w:rPr>
        <w:t>a</w:t>
      </w:r>
      <w:r>
        <w:rPr>
          <w:spacing w:val="20"/>
          <w:w w:val="105"/>
        </w:rPr>
        <w:t> </w:t>
      </w:r>
      <w:r>
        <w:rPr>
          <w:w w:val="105"/>
        </w:rPr>
        <w:t>virtual</w:t>
      </w:r>
      <w:r>
        <w:rPr>
          <w:spacing w:val="19"/>
          <w:w w:val="105"/>
        </w:rPr>
        <w:t> </w:t>
      </w:r>
      <w:r>
        <w:rPr>
          <w:w w:val="105"/>
        </w:rPr>
        <w:t>meeting</w:t>
      </w:r>
      <w:r>
        <w:rPr>
          <w:spacing w:val="20"/>
          <w:w w:val="105"/>
        </w:rPr>
        <w:t> </w:t>
      </w:r>
      <w:r>
        <w:rPr>
          <w:w w:val="105"/>
        </w:rPr>
        <w:t>only</w:t>
      </w:r>
      <w:r>
        <w:rPr>
          <w:spacing w:val="20"/>
          <w:w w:val="105"/>
        </w:rPr>
        <w:t> </w:t>
      </w:r>
      <w:r>
        <w:rPr>
          <w:w w:val="105"/>
        </w:rPr>
        <w:t>and</w:t>
      </w:r>
      <w:r>
        <w:rPr>
          <w:spacing w:val="19"/>
          <w:w w:val="105"/>
        </w:rPr>
        <w:t> </w:t>
      </w:r>
      <w:r>
        <w:rPr>
          <w:w w:val="105"/>
        </w:rPr>
        <w:t>will</w:t>
      </w:r>
      <w:r>
        <w:rPr>
          <w:spacing w:val="20"/>
          <w:w w:val="105"/>
        </w:rPr>
        <w:t> </w:t>
      </w:r>
      <w:r>
        <w:rPr>
          <w:w w:val="105"/>
        </w:rPr>
        <w:t>be</w:t>
      </w:r>
      <w:r>
        <w:rPr>
          <w:spacing w:val="20"/>
          <w:w w:val="105"/>
        </w:rPr>
        <w:t> </w:t>
      </w:r>
      <w:r>
        <w:rPr>
          <w:w w:val="105"/>
        </w:rPr>
        <w:t>conducted</w:t>
      </w:r>
      <w:r>
        <w:rPr>
          <w:spacing w:val="19"/>
          <w:w w:val="105"/>
        </w:rPr>
        <w:t> </w:t>
      </w:r>
      <w:r>
        <w:rPr>
          <w:w w:val="105"/>
        </w:rPr>
        <w:t>via</w:t>
      </w:r>
      <w:r>
        <w:rPr>
          <w:spacing w:val="20"/>
          <w:w w:val="105"/>
        </w:rPr>
        <w:t> </w:t>
      </w:r>
      <w:r>
        <w:rPr>
          <w:w w:val="105"/>
        </w:rPr>
        <w:t>live</w:t>
      </w:r>
      <w:r>
        <w:rPr>
          <w:spacing w:val="20"/>
          <w:w w:val="105"/>
        </w:rPr>
        <w:t> </w:t>
      </w:r>
      <w:r>
        <w:rPr>
          <w:w w:val="105"/>
        </w:rPr>
        <w:t>audio</w:t>
      </w:r>
      <w:r>
        <w:rPr>
          <w:spacing w:val="19"/>
          <w:w w:val="105"/>
        </w:rPr>
        <w:t> </w:t>
      </w:r>
      <w:r>
        <w:rPr>
          <w:w w:val="105"/>
        </w:rPr>
        <w:t>webcast, available at </w:t>
      </w:r>
      <w:hyperlink r:id="rId9">
        <w:r>
          <w:rPr>
            <w:i/>
            <w:w w:val="105"/>
          </w:rPr>
          <w:t>www.virtualshareholdermeeting.com/VREX2023,</w:t>
        </w:r>
      </w:hyperlink>
      <w:r>
        <w:rPr>
          <w:i/>
          <w:w w:val="105"/>
        </w:rPr>
        <w:t> </w:t>
      </w:r>
      <w:r>
        <w:rPr>
          <w:w w:val="105"/>
        </w:rPr>
        <w:t>beginning at 5:30 p.m. Mountain Time on Thursday, February 9, 2023. There will be no physical meeting location. Although our Annual Meeting will be held online as a virtual meeting only, stockholders who held shares as of the record date for the</w:t>
      </w:r>
      <w:r>
        <w:rPr>
          <w:spacing w:val="40"/>
          <w:w w:val="105"/>
        </w:rPr>
        <w:t> </w:t>
      </w:r>
      <w:r>
        <w:rPr>
          <w:w w:val="105"/>
        </w:rPr>
        <w:t>meeting can still participate in the virtual meeting (see below for additional details). If you have any</w:t>
      </w:r>
      <w:r>
        <w:rPr>
          <w:spacing w:val="40"/>
          <w:w w:val="105"/>
        </w:rPr>
        <w:t> </w:t>
      </w:r>
      <w:r>
        <w:rPr>
          <w:w w:val="105"/>
        </w:rPr>
        <w:t>questions about attending the Annual Meeting, please contact our Investor Relations department at </w:t>
      </w:r>
      <w:hyperlink r:id="rId27">
        <w:r>
          <w:rPr>
            <w:i/>
            <w:spacing w:val="-2"/>
            <w:w w:val="105"/>
          </w:rPr>
          <w:t>investor.relations@vareximaging.com</w:t>
        </w:r>
        <w:r>
          <w:rPr>
            <w:b/>
            <w:spacing w:val="-2"/>
            <w:w w:val="105"/>
          </w:rPr>
          <w:t>.</w:t>
        </w:r>
      </w:hyperlink>
    </w:p>
    <w:p>
      <w:pPr>
        <w:pStyle w:val="Heading2"/>
        <w:spacing w:before="155"/>
      </w:pPr>
      <w:r>
        <w:rPr>
          <w:spacing w:val="-2"/>
          <w:w w:val="105"/>
        </w:rPr>
        <w:t>Q:</w:t>
      </w:r>
      <w:r>
        <w:rPr>
          <w:spacing w:val="65"/>
          <w:w w:val="105"/>
        </w:rPr>
        <w:t> </w:t>
      </w:r>
      <w:r>
        <w:rPr>
          <w:spacing w:val="-2"/>
          <w:w w:val="105"/>
        </w:rPr>
        <w:t>How</w:t>
      </w:r>
      <w:r>
        <w:rPr>
          <w:spacing w:val="-10"/>
          <w:w w:val="105"/>
        </w:rPr>
        <w:t> </w:t>
      </w:r>
      <w:r>
        <w:rPr>
          <w:spacing w:val="-2"/>
          <w:w w:val="105"/>
        </w:rPr>
        <w:t>can</w:t>
      </w:r>
      <w:r>
        <w:rPr>
          <w:spacing w:val="-10"/>
          <w:w w:val="105"/>
        </w:rPr>
        <w:t> </w:t>
      </w:r>
      <w:r>
        <w:rPr>
          <w:spacing w:val="-2"/>
          <w:w w:val="105"/>
        </w:rPr>
        <w:t>I</w:t>
      </w:r>
      <w:r>
        <w:rPr>
          <w:spacing w:val="-9"/>
          <w:w w:val="105"/>
        </w:rPr>
        <w:t> </w:t>
      </w:r>
      <w:r>
        <w:rPr>
          <w:spacing w:val="-2"/>
          <w:w w:val="105"/>
        </w:rPr>
        <w:t>attend</w:t>
      </w:r>
      <w:r>
        <w:rPr>
          <w:spacing w:val="-10"/>
          <w:w w:val="105"/>
        </w:rPr>
        <w:t> </w:t>
      </w:r>
      <w:r>
        <w:rPr>
          <w:spacing w:val="-2"/>
          <w:w w:val="105"/>
        </w:rPr>
        <w:t>the</w:t>
      </w:r>
      <w:r>
        <w:rPr>
          <w:spacing w:val="-19"/>
          <w:w w:val="105"/>
        </w:rPr>
        <w:t> </w:t>
      </w:r>
      <w:r>
        <w:rPr>
          <w:spacing w:val="-2"/>
          <w:w w:val="105"/>
        </w:rPr>
        <w:t>Annual</w:t>
      </w:r>
      <w:r>
        <w:rPr>
          <w:spacing w:val="-10"/>
          <w:w w:val="105"/>
        </w:rPr>
        <w:t> </w:t>
      </w:r>
      <w:r>
        <w:rPr>
          <w:spacing w:val="-2"/>
          <w:w w:val="105"/>
        </w:rPr>
        <w:t>Meeting?</w:t>
      </w:r>
    </w:p>
    <w:p>
      <w:pPr>
        <w:pStyle w:val="BodyText"/>
        <w:spacing w:line="259" w:lineRule="auto" w:before="170"/>
        <w:ind w:left="1772" w:right="1551" w:hanging="373"/>
      </w:pPr>
      <w:r>
        <w:rPr>
          <w:w w:val="105"/>
        </w:rPr>
        <w:t>A:</w:t>
      </w:r>
      <w:r>
        <w:rPr>
          <w:spacing w:val="40"/>
          <w:w w:val="105"/>
        </w:rPr>
        <w:t>  </w:t>
      </w:r>
      <w:r>
        <w:rPr>
          <w:w w:val="105"/>
        </w:rPr>
        <w:t>Stockholders who owned shares as of the close of business on December 12, 2022 are entitled to attend</w:t>
      </w:r>
      <w:r>
        <w:rPr>
          <w:spacing w:val="40"/>
          <w:w w:val="105"/>
        </w:rPr>
        <w:t> </w:t>
      </w:r>
      <w:r>
        <w:rPr>
          <w:w w:val="105"/>
        </w:rPr>
        <w:t>and</w:t>
      </w:r>
      <w:r>
        <w:rPr>
          <w:spacing w:val="22"/>
          <w:w w:val="105"/>
        </w:rPr>
        <w:t> </w:t>
      </w:r>
      <w:r>
        <w:rPr>
          <w:w w:val="105"/>
        </w:rPr>
        <w:t>vote</w:t>
      </w:r>
      <w:r>
        <w:rPr>
          <w:spacing w:val="22"/>
          <w:w w:val="105"/>
        </w:rPr>
        <w:t> </w:t>
      </w:r>
      <w:r>
        <w:rPr>
          <w:w w:val="105"/>
        </w:rPr>
        <w:t>at</w:t>
      </w:r>
      <w:r>
        <w:rPr>
          <w:spacing w:val="22"/>
          <w:w w:val="105"/>
        </w:rPr>
        <w:t> </w:t>
      </w:r>
      <w:r>
        <w:rPr>
          <w:w w:val="105"/>
        </w:rPr>
        <w:t>the Annual</w:t>
      </w:r>
      <w:r>
        <w:rPr>
          <w:spacing w:val="22"/>
          <w:w w:val="105"/>
        </w:rPr>
        <w:t> </w:t>
      </w:r>
      <w:r>
        <w:rPr>
          <w:w w:val="105"/>
        </w:rPr>
        <w:t>Meeting.</w:t>
      </w:r>
      <w:r>
        <w:rPr>
          <w:spacing w:val="17"/>
          <w:w w:val="105"/>
        </w:rPr>
        <w:t> </w:t>
      </w:r>
      <w:r>
        <w:rPr>
          <w:w w:val="105"/>
        </w:rPr>
        <w:t>To</w:t>
      </w:r>
      <w:r>
        <w:rPr>
          <w:spacing w:val="22"/>
          <w:w w:val="105"/>
        </w:rPr>
        <w:t> </w:t>
      </w:r>
      <w:r>
        <w:rPr>
          <w:w w:val="105"/>
        </w:rPr>
        <w:t>participate</w:t>
      </w:r>
      <w:r>
        <w:rPr>
          <w:spacing w:val="22"/>
          <w:w w:val="105"/>
        </w:rPr>
        <w:t> </w:t>
      </w:r>
      <w:r>
        <w:rPr>
          <w:w w:val="105"/>
        </w:rPr>
        <w:t>in</w:t>
      </w:r>
      <w:r>
        <w:rPr>
          <w:spacing w:val="22"/>
          <w:w w:val="105"/>
        </w:rPr>
        <w:t> </w:t>
      </w:r>
      <w:r>
        <w:rPr>
          <w:w w:val="105"/>
        </w:rPr>
        <w:t>the</w:t>
      </w:r>
      <w:r>
        <w:rPr>
          <w:spacing w:val="22"/>
          <w:w w:val="105"/>
        </w:rPr>
        <w:t> </w:t>
      </w:r>
      <w:r>
        <w:rPr>
          <w:w w:val="105"/>
        </w:rPr>
        <w:t>meeting,</w:t>
      </w:r>
      <w:r>
        <w:rPr>
          <w:spacing w:val="22"/>
          <w:w w:val="105"/>
        </w:rPr>
        <w:t> </w:t>
      </w:r>
      <w:r>
        <w:rPr>
          <w:w w:val="105"/>
        </w:rPr>
        <w:t>including</w:t>
      </w:r>
      <w:r>
        <w:rPr>
          <w:spacing w:val="22"/>
          <w:w w:val="105"/>
        </w:rPr>
        <w:t> </w:t>
      </w:r>
      <w:r>
        <w:rPr>
          <w:w w:val="105"/>
        </w:rPr>
        <w:t>to</w:t>
      </w:r>
      <w:r>
        <w:rPr>
          <w:spacing w:val="22"/>
          <w:w w:val="105"/>
        </w:rPr>
        <w:t> </w:t>
      </w:r>
      <w:r>
        <w:rPr>
          <w:w w:val="105"/>
        </w:rPr>
        <w:t>vote,</w:t>
      </w:r>
      <w:r>
        <w:rPr>
          <w:spacing w:val="22"/>
          <w:w w:val="105"/>
        </w:rPr>
        <w:t> </w:t>
      </w:r>
      <w:r>
        <w:rPr>
          <w:w w:val="105"/>
        </w:rPr>
        <w:t>ask</w:t>
      </w:r>
      <w:r>
        <w:rPr>
          <w:spacing w:val="22"/>
          <w:w w:val="105"/>
        </w:rPr>
        <w:t> </w:t>
      </w:r>
      <w:r>
        <w:rPr>
          <w:w w:val="105"/>
        </w:rPr>
        <w:t>questions,</w:t>
      </w:r>
      <w:r>
        <w:rPr>
          <w:spacing w:val="22"/>
          <w:w w:val="105"/>
        </w:rPr>
        <w:t> </w:t>
      </w:r>
      <w:r>
        <w:rPr>
          <w:w w:val="105"/>
        </w:rPr>
        <w:t>and view the list of registered stockholders as of the record date during the meeting, stockholders of record</w:t>
      </w:r>
      <w:r>
        <w:rPr>
          <w:spacing w:val="40"/>
          <w:w w:val="105"/>
        </w:rPr>
        <w:t> </w:t>
      </w:r>
      <w:r>
        <w:rPr>
          <w:spacing w:val="-2"/>
          <w:w w:val="105"/>
        </w:rPr>
        <w:t>should:</w:t>
      </w:r>
    </w:p>
    <w:p>
      <w:pPr>
        <w:pStyle w:val="ListParagraph"/>
        <w:numPr>
          <w:ilvl w:val="0"/>
          <w:numId w:val="6"/>
        </w:numPr>
        <w:tabs>
          <w:tab w:pos="2332" w:val="left" w:leader="none"/>
        </w:tabs>
        <w:spacing w:line="240" w:lineRule="auto" w:before="113" w:after="0"/>
        <w:ind w:left="2331" w:right="0" w:hanging="187"/>
        <w:jc w:val="left"/>
        <w:rPr>
          <w:sz w:val="18"/>
        </w:rPr>
      </w:pPr>
      <w:r>
        <w:rPr>
          <w:sz w:val="18"/>
        </w:rPr>
        <w:t>Navigate</w:t>
      </w:r>
      <w:r>
        <w:rPr>
          <w:spacing w:val="73"/>
          <w:w w:val="150"/>
          <w:sz w:val="18"/>
        </w:rPr>
        <w:t> </w:t>
      </w:r>
      <w:r>
        <w:rPr>
          <w:sz w:val="18"/>
        </w:rPr>
        <w:t>to</w:t>
      </w:r>
      <w:r>
        <w:rPr>
          <w:spacing w:val="73"/>
          <w:w w:val="150"/>
          <w:sz w:val="18"/>
        </w:rPr>
        <w:t> </w:t>
      </w:r>
      <w:hyperlink r:id="rId35">
        <w:r>
          <w:rPr>
            <w:i/>
            <w:sz w:val="18"/>
          </w:rPr>
          <w:t>www.virtualshareholdermeeting.com/VREX2023</w:t>
        </w:r>
        <w:r>
          <w:rPr>
            <w:sz w:val="18"/>
          </w:rPr>
          <w:t>;</w:t>
        </w:r>
      </w:hyperlink>
      <w:r>
        <w:rPr>
          <w:spacing w:val="73"/>
          <w:w w:val="150"/>
          <w:sz w:val="18"/>
        </w:rPr>
        <w:t> </w:t>
      </w:r>
      <w:r>
        <w:rPr>
          <w:spacing w:val="-5"/>
          <w:sz w:val="18"/>
        </w:rPr>
        <w:t>and</w:t>
      </w:r>
    </w:p>
    <w:p>
      <w:pPr>
        <w:pStyle w:val="ListParagraph"/>
        <w:numPr>
          <w:ilvl w:val="0"/>
          <w:numId w:val="6"/>
        </w:numPr>
        <w:tabs>
          <w:tab w:pos="2332" w:val="left" w:leader="none"/>
        </w:tabs>
        <w:spacing w:line="259" w:lineRule="auto" w:before="128" w:after="0"/>
        <w:ind w:left="2331" w:right="2078" w:hanging="187"/>
        <w:jc w:val="left"/>
        <w:rPr>
          <w:sz w:val="18"/>
        </w:rPr>
      </w:pPr>
      <w:r>
        <w:rPr>
          <w:w w:val="105"/>
          <w:sz w:val="18"/>
        </w:rPr>
        <w:t>enter the 16-digit control number found on your proxy card or the Notice and follow the instructions on the website.</w:t>
      </w:r>
    </w:p>
    <w:p>
      <w:pPr>
        <w:pStyle w:val="BodyText"/>
        <w:spacing w:line="259" w:lineRule="auto" w:before="140"/>
        <w:ind w:left="1772" w:right="1551"/>
      </w:pPr>
      <w:r>
        <w:rPr>
          <w:w w:val="105"/>
        </w:rPr>
        <w:t>If your shares are held in street name and your voting instruction form or the Notice indicates that you</w:t>
      </w:r>
      <w:r>
        <w:rPr>
          <w:spacing w:val="40"/>
          <w:w w:val="105"/>
        </w:rPr>
        <w:t> </w:t>
      </w:r>
      <w:r>
        <w:rPr>
          <w:w w:val="105"/>
        </w:rPr>
        <w:t>may vote those shares through </w:t>
      </w:r>
      <w:hyperlink r:id="rId28">
        <w:r>
          <w:rPr>
            <w:i/>
            <w:w w:val="105"/>
          </w:rPr>
          <w:t>www.proxyvote.com</w:t>
        </w:r>
        <w:r>
          <w:rPr>
            <w:w w:val="105"/>
          </w:rPr>
          <w:t>,</w:t>
        </w:r>
      </w:hyperlink>
      <w:r>
        <w:rPr>
          <w:w w:val="105"/>
        </w:rPr>
        <w:t> then you may access, participate in, and vote at the meeting</w:t>
      </w:r>
      <w:r>
        <w:rPr>
          <w:spacing w:val="25"/>
          <w:w w:val="105"/>
        </w:rPr>
        <w:t> </w:t>
      </w:r>
      <w:r>
        <w:rPr>
          <w:w w:val="105"/>
        </w:rPr>
        <w:t>with</w:t>
      </w:r>
      <w:r>
        <w:rPr>
          <w:spacing w:val="25"/>
          <w:w w:val="105"/>
        </w:rPr>
        <w:t> </w:t>
      </w:r>
      <w:r>
        <w:rPr>
          <w:w w:val="105"/>
        </w:rPr>
        <w:t>the</w:t>
      </w:r>
      <w:r>
        <w:rPr>
          <w:spacing w:val="25"/>
          <w:w w:val="105"/>
        </w:rPr>
        <w:t> </w:t>
      </w:r>
      <w:r>
        <w:rPr>
          <w:w w:val="105"/>
        </w:rPr>
        <w:t>16-digit</w:t>
      </w:r>
      <w:r>
        <w:rPr>
          <w:spacing w:val="25"/>
          <w:w w:val="105"/>
        </w:rPr>
        <w:t> </w:t>
      </w:r>
      <w:r>
        <w:rPr>
          <w:w w:val="105"/>
        </w:rPr>
        <w:t>access</w:t>
      </w:r>
      <w:r>
        <w:rPr>
          <w:spacing w:val="25"/>
          <w:w w:val="105"/>
        </w:rPr>
        <w:t> </w:t>
      </w:r>
      <w:r>
        <w:rPr>
          <w:w w:val="105"/>
        </w:rPr>
        <w:t>code</w:t>
      </w:r>
      <w:r>
        <w:rPr>
          <w:spacing w:val="25"/>
          <w:w w:val="105"/>
        </w:rPr>
        <w:t> </w:t>
      </w:r>
      <w:r>
        <w:rPr>
          <w:w w:val="105"/>
        </w:rPr>
        <w:t>indicated</w:t>
      </w:r>
      <w:r>
        <w:rPr>
          <w:spacing w:val="25"/>
          <w:w w:val="105"/>
        </w:rPr>
        <w:t> </w:t>
      </w:r>
      <w:r>
        <w:rPr>
          <w:w w:val="105"/>
        </w:rPr>
        <w:t>on</w:t>
      </w:r>
      <w:r>
        <w:rPr>
          <w:spacing w:val="25"/>
          <w:w w:val="105"/>
        </w:rPr>
        <w:t> </w:t>
      </w:r>
      <w:r>
        <w:rPr>
          <w:w w:val="105"/>
        </w:rPr>
        <w:t>that</w:t>
      </w:r>
      <w:r>
        <w:rPr>
          <w:spacing w:val="25"/>
          <w:w w:val="105"/>
        </w:rPr>
        <w:t> </w:t>
      </w:r>
      <w:r>
        <w:rPr>
          <w:w w:val="105"/>
        </w:rPr>
        <w:t>voting</w:t>
      </w:r>
      <w:r>
        <w:rPr>
          <w:spacing w:val="25"/>
          <w:w w:val="105"/>
        </w:rPr>
        <w:t> </w:t>
      </w:r>
      <w:r>
        <w:rPr>
          <w:w w:val="105"/>
        </w:rPr>
        <w:t>instruction</w:t>
      </w:r>
      <w:r>
        <w:rPr>
          <w:spacing w:val="25"/>
          <w:w w:val="105"/>
        </w:rPr>
        <w:t> </w:t>
      </w:r>
      <w:r>
        <w:rPr>
          <w:w w:val="105"/>
        </w:rPr>
        <w:t>form</w:t>
      </w:r>
      <w:r>
        <w:rPr>
          <w:spacing w:val="25"/>
          <w:w w:val="105"/>
        </w:rPr>
        <w:t> </w:t>
      </w:r>
      <w:r>
        <w:rPr>
          <w:w w:val="105"/>
        </w:rPr>
        <w:t>or</w:t>
      </w:r>
      <w:r>
        <w:rPr>
          <w:spacing w:val="25"/>
          <w:w w:val="105"/>
        </w:rPr>
        <w:t> </w:t>
      </w:r>
      <w:r>
        <w:rPr>
          <w:w w:val="105"/>
        </w:rPr>
        <w:t>the</w:t>
      </w:r>
      <w:r>
        <w:rPr>
          <w:spacing w:val="25"/>
          <w:w w:val="105"/>
        </w:rPr>
        <w:t> </w:t>
      </w:r>
      <w:r>
        <w:rPr>
          <w:w w:val="105"/>
        </w:rPr>
        <w:t>Notice.</w:t>
      </w:r>
    </w:p>
    <w:p>
      <w:pPr>
        <w:pStyle w:val="BodyText"/>
        <w:spacing w:line="259" w:lineRule="auto" w:before="1"/>
        <w:ind w:left="1772" w:right="1423"/>
      </w:pPr>
      <w:r>
        <w:rPr>
          <w:w w:val="105"/>
        </w:rPr>
        <w:t>Otherwise, stockholders who hold their shares in street name should contact their bank, broker, or other</w:t>
      </w:r>
      <w:r>
        <w:rPr>
          <w:spacing w:val="40"/>
          <w:w w:val="105"/>
        </w:rPr>
        <w:t> </w:t>
      </w:r>
      <w:r>
        <w:rPr>
          <w:w w:val="105"/>
        </w:rPr>
        <w:t>nominee</w:t>
      </w:r>
      <w:r>
        <w:rPr>
          <w:spacing w:val="22"/>
          <w:w w:val="105"/>
        </w:rPr>
        <w:t> </w:t>
      </w:r>
      <w:r>
        <w:rPr>
          <w:w w:val="105"/>
        </w:rPr>
        <w:t>(preferably</w:t>
      </w:r>
      <w:r>
        <w:rPr>
          <w:spacing w:val="22"/>
          <w:w w:val="105"/>
        </w:rPr>
        <w:t> </w:t>
      </w:r>
      <w:r>
        <w:rPr>
          <w:w w:val="105"/>
        </w:rPr>
        <w:t>at</w:t>
      </w:r>
      <w:r>
        <w:rPr>
          <w:spacing w:val="22"/>
          <w:w w:val="105"/>
        </w:rPr>
        <w:t> </w:t>
      </w:r>
      <w:r>
        <w:rPr>
          <w:w w:val="105"/>
        </w:rPr>
        <w:t>least</w:t>
      </w:r>
      <w:r>
        <w:rPr>
          <w:spacing w:val="22"/>
          <w:w w:val="105"/>
        </w:rPr>
        <w:t> </w:t>
      </w:r>
      <w:r>
        <w:rPr>
          <w:w w:val="105"/>
        </w:rPr>
        <w:t>5</w:t>
      </w:r>
      <w:r>
        <w:rPr>
          <w:spacing w:val="22"/>
          <w:w w:val="105"/>
        </w:rPr>
        <w:t> </w:t>
      </w:r>
      <w:r>
        <w:rPr>
          <w:w w:val="105"/>
        </w:rPr>
        <w:t>days</w:t>
      </w:r>
      <w:r>
        <w:rPr>
          <w:spacing w:val="22"/>
          <w:w w:val="105"/>
        </w:rPr>
        <w:t> </w:t>
      </w:r>
      <w:r>
        <w:rPr>
          <w:w w:val="105"/>
        </w:rPr>
        <w:t>before</w:t>
      </w:r>
      <w:r>
        <w:rPr>
          <w:spacing w:val="22"/>
          <w:w w:val="105"/>
        </w:rPr>
        <w:t> </w:t>
      </w:r>
      <w:r>
        <w:rPr>
          <w:w w:val="105"/>
        </w:rPr>
        <w:t>the</w:t>
      </w:r>
      <w:r>
        <w:rPr>
          <w:spacing w:val="22"/>
          <w:w w:val="105"/>
        </w:rPr>
        <w:t> </w:t>
      </w:r>
      <w:r>
        <w:rPr>
          <w:w w:val="105"/>
        </w:rPr>
        <w:t>annual</w:t>
      </w:r>
      <w:r>
        <w:rPr>
          <w:spacing w:val="22"/>
          <w:w w:val="105"/>
        </w:rPr>
        <w:t> </w:t>
      </w:r>
      <w:r>
        <w:rPr>
          <w:w w:val="105"/>
        </w:rPr>
        <w:t>meeting)</w:t>
      </w:r>
      <w:r>
        <w:rPr>
          <w:spacing w:val="22"/>
          <w:w w:val="105"/>
        </w:rPr>
        <w:t> </w:t>
      </w:r>
      <w:r>
        <w:rPr>
          <w:w w:val="105"/>
        </w:rPr>
        <w:t>and</w:t>
      </w:r>
      <w:r>
        <w:rPr>
          <w:spacing w:val="22"/>
          <w:w w:val="105"/>
        </w:rPr>
        <w:t> </w:t>
      </w:r>
      <w:r>
        <w:rPr>
          <w:w w:val="105"/>
        </w:rPr>
        <w:t>obtain</w:t>
      </w:r>
      <w:r>
        <w:rPr>
          <w:spacing w:val="22"/>
          <w:w w:val="105"/>
        </w:rPr>
        <w:t> </w:t>
      </w:r>
      <w:r>
        <w:rPr>
          <w:w w:val="105"/>
        </w:rPr>
        <w:t>a</w:t>
      </w:r>
      <w:r>
        <w:rPr>
          <w:spacing w:val="22"/>
          <w:w w:val="105"/>
        </w:rPr>
        <w:t> </w:t>
      </w:r>
      <w:r>
        <w:rPr>
          <w:w w:val="105"/>
        </w:rPr>
        <w:t>“legal</w:t>
      </w:r>
      <w:r>
        <w:rPr>
          <w:spacing w:val="22"/>
          <w:w w:val="105"/>
        </w:rPr>
        <w:t> </w:t>
      </w:r>
      <w:r>
        <w:rPr>
          <w:w w:val="105"/>
        </w:rPr>
        <w:t>proxy”</w:t>
      </w:r>
      <w:r>
        <w:rPr>
          <w:spacing w:val="22"/>
          <w:w w:val="105"/>
        </w:rPr>
        <w:t> </w:t>
      </w:r>
      <w:r>
        <w:rPr>
          <w:w w:val="105"/>
        </w:rPr>
        <w:t>in</w:t>
      </w:r>
      <w:r>
        <w:rPr>
          <w:spacing w:val="22"/>
          <w:w w:val="105"/>
        </w:rPr>
        <w:t> </w:t>
      </w:r>
      <w:r>
        <w:rPr>
          <w:w w:val="105"/>
        </w:rPr>
        <w:t>order</w:t>
      </w:r>
      <w:r>
        <w:rPr>
          <w:spacing w:val="22"/>
          <w:w w:val="105"/>
        </w:rPr>
        <w:t> </w:t>
      </w:r>
      <w:r>
        <w:rPr>
          <w:w w:val="105"/>
        </w:rPr>
        <w:t>to</w:t>
      </w:r>
    </w:p>
    <w:p>
      <w:pPr>
        <w:spacing w:after="0" w:line="259" w:lineRule="auto"/>
        <w:sectPr>
          <w:headerReference w:type="default" r:id="rId32"/>
          <w:footerReference w:type="default" r:id="rId33"/>
          <w:pgSz w:w="12240" w:h="15840"/>
          <w:pgMar w:header="529" w:footer="1050" w:top="720" w:bottom="1240" w:left="480" w:right="460"/>
        </w:sectPr>
      </w:pPr>
    </w:p>
    <w:p>
      <w:pPr>
        <w:pStyle w:val="BodyText"/>
        <w:rPr>
          <w:sz w:val="20"/>
        </w:rPr>
      </w:pPr>
    </w:p>
    <w:p>
      <w:pPr>
        <w:pStyle w:val="BodyText"/>
        <w:rPr>
          <w:sz w:val="20"/>
        </w:rPr>
      </w:pPr>
    </w:p>
    <w:p>
      <w:pPr>
        <w:pStyle w:val="BodyText"/>
        <w:spacing w:before="2"/>
        <w:rPr>
          <w:sz w:val="27"/>
        </w:rPr>
      </w:pPr>
    </w:p>
    <w:p>
      <w:pPr>
        <w:pStyle w:val="BodyText"/>
        <w:spacing w:line="259" w:lineRule="auto" w:before="98"/>
        <w:ind w:left="1772" w:right="1551"/>
      </w:pPr>
      <w:r>
        <w:rPr>
          <w:w w:val="105"/>
        </w:rPr>
        <w:t>be able to attend, participate in or vote at the meeting. You will be allowed to log in as early as 30 minutes before the start time on Thursday, February 9, 2023.</w:t>
      </w:r>
    </w:p>
    <w:p>
      <w:pPr>
        <w:pStyle w:val="BodyText"/>
        <w:spacing w:line="259" w:lineRule="auto" w:before="154"/>
        <w:ind w:left="1772" w:right="1423"/>
      </w:pPr>
      <w:r>
        <w:rPr>
          <w:w w:val="105"/>
        </w:rPr>
        <w:t>The virtual meeting platform is supported across internet browsers and devices (</w:t>
      </w:r>
      <w:r>
        <w:rPr>
          <w:i/>
          <w:w w:val="105"/>
        </w:rPr>
        <w:t>e.g.</w:t>
      </w:r>
      <w:r>
        <w:rPr>
          <w:w w:val="105"/>
        </w:rPr>
        <w:t>, desktops, laptops,</w:t>
      </w:r>
      <w:r>
        <w:rPr>
          <w:spacing w:val="40"/>
          <w:w w:val="105"/>
        </w:rPr>
        <w:t> </w:t>
      </w:r>
      <w:r>
        <w:rPr>
          <w:w w:val="105"/>
        </w:rPr>
        <w:t>tablets,</w:t>
      </w:r>
      <w:r>
        <w:rPr>
          <w:spacing w:val="21"/>
          <w:w w:val="105"/>
        </w:rPr>
        <w:t> </w:t>
      </w:r>
      <w:r>
        <w:rPr>
          <w:w w:val="105"/>
        </w:rPr>
        <w:t>and</w:t>
      </w:r>
      <w:r>
        <w:rPr>
          <w:spacing w:val="21"/>
          <w:w w:val="105"/>
        </w:rPr>
        <w:t> </w:t>
      </w:r>
      <w:r>
        <w:rPr>
          <w:w w:val="105"/>
        </w:rPr>
        <w:t>cell</w:t>
      </w:r>
      <w:r>
        <w:rPr>
          <w:spacing w:val="21"/>
          <w:w w:val="105"/>
        </w:rPr>
        <w:t> </w:t>
      </w:r>
      <w:r>
        <w:rPr>
          <w:w w:val="105"/>
        </w:rPr>
        <w:t>phones).</w:t>
      </w:r>
      <w:r>
        <w:rPr>
          <w:spacing w:val="21"/>
          <w:w w:val="105"/>
        </w:rPr>
        <w:t> </w:t>
      </w:r>
      <w:r>
        <w:rPr>
          <w:w w:val="105"/>
        </w:rPr>
        <w:t>If</w:t>
      </w:r>
      <w:r>
        <w:rPr>
          <w:spacing w:val="21"/>
          <w:w w:val="105"/>
        </w:rPr>
        <w:t> </w:t>
      </w:r>
      <w:r>
        <w:rPr>
          <w:w w:val="105"/>
        </w:rPr>
        <w:t>you</w:t>
      </w:r>
      <w:r>
        <w:rPr>
          <w:spacing w:val="21"/>
          <w:w w:val="105"/>
        </w:rPr>
        <w:t> </w:t>
      </w:r>
      <w:r>
        <w:rPr>
          <w:w w:val="105"/>
        </w:rPr>
        <w:t>intend</w:t>
      </w:r>
      <w:r>
        <w:rPr>
          <w:spacing w:val="21"/>
          <w:w w:val="105"/>
        </w:rPr>
        <w:t> </w:t>
      </w:r>
      <w:r>
        <w:rPr>
          <w:w w:val="105"/>
        </w:rPr>
        <w:t>to</w:t>
      </w:r>
      <w:r>
        <w:rPr>
          <w:spacing w:val="21"/>
          <w:w w:val="105"/>
        </w:rPr>
        <w:t> </w:t>
      </w:r>
      <w:r>
        <w:rPr>
          <w:w w:val="105"/>
        </w:rPr>
        <w:t>join</w:t>
      </w:r>
      <w:r>
        <w:rPr>
          <w:spacing w:val="21"/>
          <w:w w:val="105"/>
        </w:rPr>
        <w:t> </w:t>
      </w:r>
      <w:r>
        <w:rPr>
          <w:w w:val="105"/>
        </w:rPr>
        <w:t>the</w:t>
      </w:r>
      <w:r>
        <w:rPr>
          <w:spacing w:val="21"/>
          <w:w w:val="105"/>
        </w:rPr>
        <w:t> </w:t>
      </w:r>
      <w:r>
        <w:rPr>
          <w:w w:val="105"/>
        </w:rPr>
        <w:t>live</w:t>
      </w:r>
      <w:r>
        <w:rPr>
          <w:spacing w:val="21"/>
          <w:w w:val="105"/>
        </w:rPr>
        <w:t> </w:t>
      </w:r>
      <w:r>
        <w:rPr>
          <w:w w:val="105"/>
        </w:rPr>
        <w:t>webcast,</w:t>
      </w:r>
      <w:r>
        <w:rPr>
          <w:spacing w:val="21"/>
          <w:w w:val="105"/>
        </w:rPr>
        <w:t> </w:t>
      </w:r>
      <w:r>
        <w:rPr>
          <w:w w:val="105"/>
        </w:rPr>
        <w:t>you</w:t>
      </w:r>
      <w:r>
        <w:rPr>
          <w:spacing w:val="21"/>
          <w:w w:val="105"/>
        </w:rPr>
        <w:t> </w:t>
      </w:r>
      <w:r>
        <w:rPr>
          <w:w w:val="105"/>
        </w:rPr>
        <w:t>should</w:t>
      </w:r>
      <w:r>
        <w:rPr>
          <w:spacing w:val="21"/>
          <w:w w:val="105"/>
        </w:rPr>
        <w:t> </w:t>
      </w:r>
      <w:r>
        <w:rPr>
          <w:w w:val="105"/>
        </w:rPr>
        <w:t>ensure</w:t>
      </w:r>
      <w:r>
        <w:rPr>
          <w:spacing w:val="21"/>
          <w:w w:val="105"/>
        </w:rPr>
        <w:t> </w:t>
      </w:r>
      <w:r>
        <w:rPr>
          <w:w w:val="105"/>
        </w:rPr>
        <w:t>that</w:t>
      </w:r>
      <w:r>
        <w:rPr>
          <w:spacing w:val="21"/>
          <w:w w:val="105"/>
        </w:rPr>
        <w:t> </w:t>
      </w:r>
      <w:r>
        <w:rPr>
          <w:w w:val="105"/>
        </w:rPr>
        <w:t>you</w:t>
      </w:r>
      <w:r>
        <w:rPr>
          <w:spacing w:val="21"/>
          <w:w w:val="105"/>
        </w:rPr>
        <w:t> </w:t>
      </w:r>
      <w:r>
        <w:rPr>
          <w:w w:val="105"/>
        </w:rPr>
        <w:t>have</w:t>
      </w:r>
      <w:r>
        <w:rPr>
          <w:spacing w:val="21"/>
          <w:w w:val="105"/>
        </w:rPr>
        <w:t> </w:t>
      </w:r>
      <w:r>
        <w:rPr>
          <w:w w:val="105"/>
        </w:rPr>
        <w:t>a strong</w:t>
      </w:r>
      <w:r>
        <w:rPr>
          <w:spacing w:val="18"/>
          <w:w w:val="105"/>
        </w:rPr>
        <w:t> </w:t>
      </w:r>
      <w:r>
        <w:rPr>
          <w:w w:val="105"/>
        </w:rPr>
        <w:t>Wi-Fi</w:t>
      </w:r>
      <w:r>
        <w:rPr>
          <w:spacing w:val="23"/>
          <w:w w:val="105"/>
        </w:rPr>
        <w:t> </w:t>
      </w:r>
      <w:r>
        <w:rPr>
          <w:w w:val="105"/>
        </w:rPr>
        <w:t>or</w:t>
      </w:r>
      <w:r>
        <w:rPr>
          <w:spacing w:val="23"/>
          <w:w w:val="105"/>
        </w:rPr>
        <w:t> </w:t>
      </w:r>
      <w:r>
        <w:rPr>
          <w:w w:val="105"/>
        </w:rPr>
        <w:t>internet</w:t>
      </w:r>
      <w:r>
        <w:rPr>
          <w:spacing w:val="23"/>
          <w:w w:val="105"/>
        </w:rPr>
        <w:t> </w:t>
      </w:r>
      <w:r>
        <w:rPr>
          <w:w w:val="105"/>
        </w:rPr>
        <w:t>connection.</w:t>
      </w:r>
      <w:r>
        <w:rPr>
          <w:spacing w:val="18"/>
          <w:w w:val="105"/>
        </w:rPr>
        <w:t> </w:t>
      </w:r>
      <w:r>
        <w:rPr>
          <w:w w:val="105"/>
        </w:rPr>
        <w:t>We</w:t>
      </w:r>
      <w:r>
        <w:rPr>
          <w:spacing w:val="23"/>
          <w:w w:val="105"/>
        </w:rPr>
        <w:t> </w:t>
      </w:r>
      <w:r>
        <w:rPr>
          <w:w w:val="105"/>
        </w:rPr>
        <w:t>encourage</w:t>
      </w:r>
      <w:r>
        <w:rPr>
          <w:spacing w:val="23"/>
          <w:w w:val="105"/>
        </w:rPr>
        <w:t> </w:t>
      </w:r>
      <w:r>
        <w:rPr>
          <w:w w:val="105"/>
        </w:rPr>
        <w:t>you</w:t>
      </w:r>
      <w:r>
        <w:rPr>
          <w:spacing w:val="23"/>
          <w:w w:val="105"/>
        </w:rPr>
        <w:t> </w:t>
      </w:r>
      <w:r>
        <w:rPr>
          <w:w w:val="105"/>
        </w:rPr>
        <w:t>to</w:t>
      </w:r>
      <w:r>
        <w:rPr>
          <w:spacing w:val="23"/>
          <w:w w:val="105"/>
        </w:rPr>
        <w:t> </w:t>
      </w:r>
      <w:r>
        <w:rPr>
          <w:w w:val="105"/>
        </w:rPr>
        <w:t>access</w:t>
      </w:r>
      <w:r>
        <w:rPr>
          <w:spacing w:val="23"/>
          <w:w w:val="105"/>
        </w:rPr>
        <w:t> </w:t>
      </w:r>
      <w:r>
        <w:rPr>
          <w:w w:val="105"/>
        </w:rPr>
        <w:t>the</w:t>
      </w:r>
      <w:r>
        <w:rPr>
          <w:spacing w:val="23"/>
          <w:w w:val="105"/>
        </w:rPr>
        <w:t> </w:t>
      </w:r>
      <w:r>
        <w:rPr>
          <w:w w:val="105"/>
        </w:rPr>
        <w:t>virtual</w:t>
      </w:r>
      <w:r>
        <w:rPr>
          <w:spacing w:val="23"/>
          <w:w w:val="105"/>
        </w:rPr>
        <w:t> </w:t>
      </w:r>
      <w:r>
        <w:rPr>
          <w:w w:val="105"/>
        </w:rPr>
        <w:t>meeting</w:t>
      </w:r>
      <w:r>
        <w:rPr>
          <w:spacing w:val="23"/>
          <w:w w:val="105"/>
        </w:rPr>
        <w:t> </w:t>
      </w:r>
      <w:r>
        <w:rPr>
          <w:w w:val="105"/>
        </w:rPr>
        <w:t>before</w:t>
      </w:r>
      <w:r>
        <w:rPr>
          <w:spacing w:val="23"/>
          <w:w w:val="105"/>
        </w:rPr>
        <w:t> </w:t>
      </w:r>
      <w:r>
        <w:rPr>
          <w:w w:val="105"/>
        </w:rPr>
        <w:t>it</w:t>
      </w:r>
      <w:r>
        <w:rPr>
          <w:spacing w:val="23"/>
          <w:w w:val="105"/>
        </w:rPr>
        <w:t> </w:t>
      </w:r>
      <w:r>
        <w:rPr>
          <w:w w:val="105"/>
        </w:rPr>
        <w:t>begins, and</w:t>
      </w:r>
      <w:r>
        <w:rPr>
          <w:spacing w:val="20"/>
          <w:w w:val="105"/>
        </w:rPr>
        <w:t> </w:t>
      </w:r>
      <w:r>
        <w:rPr>
          <w:w w:val="105"/>
        </w:rPr>
        <w:t>you</w:t>
      </w:r>
      <w:r>
        <w:rPr>
          <w:spacing w:val="20"/>
          <w:w w:val="105"/>
        </w:rPr>
        <w:t> </w:t>
      </w:r>
      <w:r>
        <w:rPr>
          <w:w w:val="105"/>
        </w:rPr>
        <w:t>should</w:t>
      </w:r>
      <w:r>
        <w:rPr>
          <w:spacing w:val="20"/>
          <w:w w:val="105"/>
        </w:rPr>
        <w:t> </w:t>
      </w:r>
      <w:r>
        <w:rPr>
          <w:w w:val="105"/>
        </w:rPr>
        <w:t>give</w:t>
      </w:r>
      <w:r>
        <w:rPr>
          <w:spacing w:val="20"/>
          <w:w w:val="105"/>
        </w:rPr>
        <w:t> </w:t>
      </w:r>
      <w:r>
        <w:rPr>
          <w:w w:val="105"/>
        </w:rPr>
        <w:t>yourself</w:t>
      </w:r>
      <w:r>
        <w:rPr>
          <w:spacing w:val="20"/>
          <w:w w:val="105"/>
        </w:rPr>
        <w:t> </w:t>
      </w:r>
      <w:r>
        <w:rPr>
          <w:w w:val="105"/>
        </w:rPr>
        <w:t>plenty</w:t>
      </w:r>
      <w:r>
        <w:rPr>
          <w:spacing w:val="20"/>
          <w:w w:val="105"/>
        </w:rPr>
        <w:t> </w:t>
      </w:r>
      <w:r>
        <w:rPr>
          <w:w w:val="105"/>
        </w:rPr>
        <w:t>of</w:t>
      </w:r>
      <w:r>
        <w:rPr>
          <w:spacing w:val="20"/>
          <w:w w:val="105"/>
        </w:rPr>
        <w:t> </w:t>
      </w:r>
      <w:r>
        <w:rPr>
          <w:w w:val="105"/>
        </w:rPr>
        <w:t>time</w:t>
      </w:r>
      <w:r>
        <w:rPr>
          <w:spacing w:val="20"/>
          <w:w w:val="105"/>
        </w:rPr>
        <w:t> </w:t>
      </w:r>
      <w:r>
        <w:rPr>
          <w:w w:val="105"/>
        </w:rPr>
        <w:t>to</w:t>
      </w:r>
      <w:r>
        <w:rPr>
          <w:spacing w:val="20"/>
          <w:w w:val="105"/>
        </w:rPr>
        <w:t> </w:t>
      </w:r>
      <w:r>
        <w:rPr>
          <w:w w:val="105"/>
        </w:rPr>
        <w:t>log</w:t>
      </w:r>
      <w:r>
        <w:rPr>
          <w:spacing w:val="20"/>
          <w:w w:val="105"/>
        </w:rPr>
        <w:t> </w:t>
      </w:r>
      <w:r>
        <w:rPr>
          <w:w w:val="105"/>
        </w:rPr>
        <w:t>in</w:t>
      </w:r>
      <w:r>
        <w:rPr>
          <w:spacing w:val="20"/>
          <w:w w:val="105"/>
        </w:rPr>
        <w:t> </w:t>
      </w:r>
      <w:r>
        <w:rPr>
          <w:w w:val="105"/>
        </w:rPr>
        <w:t>and</w:t>
      </w:r>
      <w:r>
        <w:rPr>
          <w:spacing w:val="20"/>
          <w:w w:val="105"/>
        </w:rPr>
        <w:t> </w:t>
      </w:r>
      <w:r>
        <w:rPr>
          <w:w w:val="105"/>
        </w:rPr>
        <w:t>ensure</w:t>
      </w:r>
      <w:r>
        <w:rPr>
          <w:spacing w:val="20"/>
          <w:w w:val="105"/>
        </w:rPr>
        <w:t> </w:t>
      </w:r>
      <w:r>
        <w:rPr>
          <w:w w:val="105"/>
        </w:rPr>
        <w:t>that</w:t>
      </w:r>
      <w:r>
        <w:rPr>
          <w:spacing w:val="20"/>
          <w:w w:val="105"/>
        </w:rPr>
        <w:t> </w:t>
      </w:r>
      <w:r>
        <w:rPr>
          <w:w w:val="105"/>
        </w:rPr>
        <w:t>you</w:t>
      </w:r>
      <w:r>
        <w:rPr>
          <w:spacing w:val="20"/>
          <w:w w:val="105"/>
        </w:rPr>
        <w:t> </w:t>
      </w:r>
      <w:r>
        <w:rPr>
          <w:w w:val="105"/>
        </w:rPr>
        <w:t>can</w:t>
      </w:r>
      <w:r>
        <w:rPr>
          <w:spacing w:val="20"/>
          <w:w w:val="105"/>
        </w:rPr>
        <w:t> </w:t>
      </w:r>
      <w:r>
        <w:rPr>
          <w:w w:val="105"/>
        </w:rPr>
        <w:t>hear</w:t>
      </w:r>
      <w:r>
        <w:rPr>
          <w:spacing w:val="20"/>
          <w:w w:val="105"/>
        </w:rPr>
        <w:t> </w:t>
      </w:r>
      <w:r>
        <w:rPr>
          <w:w w:val="105"/>
        </w:rPr>
        <w:t>streaming</w:t>
      </w:r>
      <w:r>
        <w:rPr>
          <w:spacing w:val="20"/>
          <w:w w:val="105"/>
        </w:rPr>
        <w:t> </w:t>
      </w:r>
      <w:r>
        <w:rPr>
          <w:w w:val="105"/>
        </w:rPr>
        <w:t>audio</w:t>
      </w:r>
      <w:r>
        <w:rPr>
          <w:w w:val="105"/>
        </w:rPr>
        <w:t> prior</w:t>
      </w:r>
      <w:r>
        <w:rPr>
          <w:spacing w:val="23"/>
          <w:w w:val="105"/>
        </w:rPr>
        <w:t> </w:t>
      </w:r>
      <w:r>
        <w:rPr>
          <w:w w:val="105"/>
        </w:rPr>
        <w:t>to</w:t>
      </w:r>
      <w:r>
        <w:rPr>
          <w:spacing w:val="23"/>
          <w:w w:val="105"/>
        </w:rPr>
        <w:t> </w:t>
      </w:r>
      <w:r>
        <w:rPr>
          <w:w w:val="105"/>
        </w:rPr>
        <w:t>the</w:t>
      </w:r>
      <w:r>
        <w:rPr>
          <w:spacing w:val="23"/>
          <w:w w:val="105"/>
        </w:rPr>
        <w:t> </w:t>
      </w:r>
      <w:r>
        <w:rPr>
          <w:w w:val="105"/>
        </w:rPr>
        <w:t>start</w:t>
      </w:r>
      <w:r>
        <w:rPr>
          <w:spacing w:val="23"/>
          <w:w w:val="105"/>
        </w:rPr>
        <w:t> </w:t>
      </w:r>
      <w:r>
        <w:rPr>
          <w:w w:val="105"/>
        </w:rPr>
        <w:t>of</w:t>
      </w:r>
      <w:r>
        <w:rPr>
          <w:spacing w:val="23"/>
          <w:w w:val="105"/>
        </w:rPr>
        <w:t> </w:t>
      </w:r>
      <w:r>
        <w:rPr>
          <w:w w:val="105"/>
        </w:rPr>
        <w:t>the</w:t>
      </w:r>
      <w:r>
        <w:rPr>
          <w:spacing w:val="23"/>
          <w:w w:val="105"/>
        </w:rPr>
        <w:t> </w:t>
      </w:r>
      <w:r>
        <w:rPr>
          <w:w w:val="105"/>
        </w:rPr>
        <w:t>meeting.</w:t>
      </w:r>
      <w:r>
        <w:rPr>
          <w:spacing w:val="23"/>
          <w:w w:val="105"/>
        </w:rPr>
        <w:t> </w:t>
      </w:r>
      <w:r>
        <w:rPr>
          <w:w w:val="105"/>
        </w:rPr>
        <w:t>If</w:t>
      </w:r>
      <w:r>
        <w:rPr>
          <w:spacing w:val="23"/>
          <w:w w:val="105"/>
        </w:rPr>
        <w:t> </w:t>
      </w:r>
      <w:r>
        <w:rPr>
          <w:w w:val="105"/>
        </w:rPr>
        <w:t>you</w:t>
      </w:r>
      <w:r>
        <w:rPr>
          <w:spacing w:val="23"/>
          <w:w w:val="105"/>
        </w:rPr>
        <w:t> </w:t>
      </w:r>
      <w:r>
        <w:rPr>
          <w:w w:val="105"/>
        </w:rPr>
        <w:t>encounter</w:t>
      </w:r>
      <w:r>
        <w:rPr>
          <w:spacing w:val="23"/>
          <w:w w:val="105"/>
        </w:rPr>
        <w:t> </w:t>
      </w:r>
      <w:r>
        <w:rPr>
          <w:w w:val="105"/>
        </w:rPr>
        <w:t>any</w:t>
      </w:r>
      <w:r>
        <w:rPr>
          <w:spacing w:val="23"/>
          <w:w w:val="105"/>
        </w:rPr>
        <w:t> </w:t>
      </w:r>
      <w:r>
        <w:rPr>
          <w:w w:val="105"/>
        </w:rPr>
        <w:t>difficulties</w:t>
      </w:r>
      <w:r>
        <w:rPr>
          <w:spacing w:val="23"/>
          <w:w w:val="105"/>
        </w:rPr>
        <w:t> </w:t>
      </w:r>
      <w:r>
        <w:rPr>
          <w:w w:val="105"/>
        </w:rPr>
        <w:t>accessing</w:t>
      </w:r>
      <w:r>
        <w:rPr>
          <w:spacing w:val="23"/>
          <w:w w:val="105"/>
        </w:rPr>
        <w:t> </w:t>
      </w:r>
      <w:r>
        <w:rPr>
          <w:w w:val="105"/>
        </w:rPr>
        <w:t>the</w:t>
      </w:r>
      <w:r>
        <w:rPr>
          <w:spacing w:val="23"/>
          <w:w w:val="105"/>
        </w:rPr>
        <w:t> </w:t>
      </w:r>
      <w:r>
        <w:rPr>
          <w:w w:val="105"/>
        </w:rPr>
        <w:t>virtual</w:t>
      </w:r>
      <w:r>
        <w:rPr>
          <w:spacing w:val="23"/>
          <w:w w:val="105"/>
        </w:rPr>
        <w:t> </w:t>
      </w:r>
      <w:r>
        <w:rPr>
          <w:w w:val="105"/>
        </w:rPr>
        <w:t>meeting</w:t>
      </w:r>
      <w:r>
        <w:rPr>
          <w:spacing w:val="23"/>
          <w:w w:val="105"/>
        </w:rPr>
        <w:t> </w:t>
      </w:r>
      <w:r>
        <w:rPr>
          <w:w w:val="105"/>
        </w:rPr>
        <w:t>during the check-in or meeting time, please call the technical support number that will be posted on the virtual</w:t>
      </w:r>
      <w:r>
        <w:rPr>
          <w:spacing w:val="40"/>
          <w:w w:val="105"/>
        </w:rPr>
        <w:t> </w:t>
      </w:r>
      <w:r>
        <w:rPr>
          <w:w w:val="105"/>
        </w:rPr>
        <w:t>meeting login page.</w:t>
      </w:r>
    </w:p>
    <w:p>
      <w:pPr>
        <w:pStyle w:val="BodyText"/>
        <w:spacing w:line="259" w:lineRule="auto" w:before="155"/>
        <w:ind w:left="1772" w:right="1680"/>
      </w:pPr>
      <w:r>
        <w:rPr>
          <w:w w:val="105"/>
        </w:rPr>
        <w:t>In</w:t>
      </w:r>
      <w:r>
        <w:rPr>
          <w:spacing w:val="22"/>
          <w:w w:val="105"/>
        </w:rPr>
        <w:t> </w:t>
      </w:r>
      <w:r>
        <w:rPr>
          <w:w w:val="105"/>
        </w:rPr>
        <w:t>the</w:t>
      </w:r>
      <w:r>
        <w:rPr>
          <w:spacing w:val="22"/>
          <w:w w:val="105"/>
        </w:rPr>
        <w:t> </w:t>
      </w:r>
      <w:r>
        <w:rPr>
          <w:w w:val="105"/>
        </w:rPr>
        <w:t>event</w:t>
      </w:r>
      <w:r>
        <w:rPr>
          <w:spacing w:val="22"/>
          <w:w w:val="105"/>
        </w:rPr>
        <w:t> </w:t>
      </w:r>
      <w:r>
        <w:rPr>
          <w:w w:val="105"/>
        </w:rPr>
        <w:t>technical</w:t>
      </w:r>
      <w:r>
        <w:rPr>
          <w:spacing w:val="22"/>
          <w:w w:val="105"/>
        </w:rPr>
        <w:t> </w:t>
      </w:r>
      <w:r>
        <w:rPr>
          <w:w w:val="105"/>
        </w:rPr>
        <w:t>issues</w:t>
      </w:r>
      <w:r>
        <w:rPr>
          <w:spacing w:val="22"/>
          <w:w w:val="105"/>
        </w:rPr>
        <w:t> </w:t>
      </w:r>
      <w:r>
        <w:rPr>
          <w:w w:val="105"/>
        </w:rPr>
        <w:t>or</w:t>
      </w:r>
      <w:r>
        <w:rPr>
          <w:spacing w:val="22"/>
          <w:w w:val="105"/>
        </w:rPr>
        <w:t> </w:t>
      </w:r>
      <w:r>
        <w:rPr>
          <w:w w:val="105"/>
        </w:rPr>
        <w:t>other</w:t>
      </w:r>
      <w:r>
        <w:rPr>
          <w:spacing w:val="22"/>
          <w:w w:val="105"/>
        </w:rPr>
        <w:t> </w:t>
      </w:r>
      <w:r>
        <w:rPr>
          <w:w w:val="105"/>
        </w:rPr>
        <w:t>events</w:t>
      </w:r>
      <w:r>
        <w:rPr>
          <w:spacing w:val="22"/>
          <w:w w:val="105"/>
        </w:rPr>
        <w:t> </w:t>
      </w:r>
      <w:r>
        <w:rPr>
          <w:w w:val="105"/>
        </w:rPr>
        <w:t>delay</w:t>
      </w:r>
      <w:r>
        <w:rPr>
          <w:spacing w:val="22"/>
          <w:w w:val="105"/>
        </w:rPr>
        <w:t> </w:t>
      </w:r>
      <w:r>
        <w:rPr>
          <w:w w:val="105"/>
        </w:rPr>
        <w:t>or</w:t>
      </w:r>
      <w:r>
        <w:rPr>
          <w:spacing w:val="22"/>
          <w:w w:val="105"/>
        </w:rPr>
        <w:t> </w:t>
      </w:r>
      <w:r>
        <w:rPr>
          <w:w w:val="105"/>
        </w:rPr>
        <w:t>disrupt</w:t>
      </w:r>
      <w:r>
        <w:rPr>
          <w:spacing w:val="22"/>
          <w:w w:val="105"/>
        </w:rPr>
        <w:t> </w:t>
      </w:r>
      <w:r>
        <w:rPr>
          <w:w w:val="105"/>
        </w:rPr>
        <w:t>our</w:t>
      </w:r>
      <w:r>
        <w:rPr>
          <w:spacing w:val="22"/>
          <w:w w:val="105"/>
        </w:rPr>
        <w:t> </w:t>
      </w:r>
      <w:r>
        <w:rPr>
          <w:w w:val="105"/>
        </w:rPr>
        <w:t>ability</w:t>
      </w:r>
      <w:r>
        <w:rPr>
          <w:spacing w:val="22"/>
          <w:w w:val="105"/>
        </w:rPr>
        <w:t> </w:t>
      </w:r>
      <w:r>
        <w:rPr>
          <w:w w:val="105"/>
        </w:rPr>
        <w:t>to</w:t>
      </w:r>
      <w:r>
        <w:rPr>
          <w:spacing w:val="22"/>
          <w:w w:val="105"/>
        </w:rPr>
        <w:t> </w:t>
      </w:r>
      <w:r>
        <w:rPr>
          <w:w w:val="105"/>
        </w:rPr>
        <w:t>convene</w:t>
      </w:r>
      <w:r>
        <w:rPr>
          <w:spacing w:val="22"/>
          <w:w w:val="105"/>
        </w:rPr>
        <w:t> </w:t>
      </w:r>
      <w:r>
        <w:rPr>
          <w:w w:val="105"/>
        </w:rPr>
        <w:t>the</w:t>
      </w:r>
      <w:r>
        <w:rPr>
          <w:spacing w:val="22"/>
          <w:w w:val="105"/>
        </w:rPr>
        <w:t> </w:t>
      </w:r>
      <w:r>
        <w:rPr>
          <w:w w:val="105"/>
        </w:rPr>
        <w:t>meeting</w:t>
      </w:r>
      <w:r>
        <w:rPr>
          <w:spacing w:val="22"/>
          <w:w w:val="105"/>
        </w:rPr>
        <w:t> </w:t>
      </w:r>
      <w:r>
        <w:rPr>
          <w:w w:val="105"/>
        </w:rPr>
        <w:t>for longer than 30 minutes, we will make an announcement on the Investors page of our website at </w:t>
      </w:r>
      <w:hyperlink r:id="rId38">
        <w:r>
          <w:rPr>
            <w:i/>
            <w:w w:val="105"/>
          </w:rPr>
          <w:t>www.vareximaging.com</w:t>
        </w:r>
      </w:hyperlink>
      <w:r>
        <w:rPr>
          <w:i/>
          <w:w w:val="105"/>
        </w:rPr>
        <w:t> </w:t>
      </w:r>
      <w:r>
        <w:rPr>
          <w:w w:val="105"/>
        </w:rPr>
        <w:t>regarding a date and/or time for reconvening the Annual Meeting. In the event</w:t>
      </w:r>
      <w:r>
        <w:rPr>
          <w:spacing w:val="80"/>
          <w:w w:val="105"/>
        </w:rPr>
        <w:t> </w:t>
      </w:r>
      <w:r>
        <w:rPr>
          <w:w w:val="105"/>
        </w:rPr>
        <w:t>of disorder, technical malfunction or other significant problem that disrupts the Annual Meeting, the</w:t>
      </w:r>
      <w:r>
        <w:rPr>
          <w:spacing w:val="80"/>
          <w:w w:val="105"/>
        </w:rPr>
        <w:t> </w:t>
      </w:r>
      <w:r>
        <w:rPr>
          <w:w w:val="105"/>
        </w:rPr>
        <w:t>chair</w:t>
      </w:r>
      <w:r>
        <w:rPr>
          <w:spacing w:val="23"/>
          <w:w w:val="105"/>
        </w:rPr>
        <w:t> </w:t>
      </w:r>
      <w:r>
        <w:rPr>
          <w:w w:val="105"/>
        </w:rPr>
        <w:t>of</w:t>
      </w:r>
      <w:r>
        <w:rPr>
          <w:spacing w:val="23"/>
          <w:w w:val="105"/>
        </w:rPr>
        <w:t> </w:t>
      </w:r>
      <w:r>
        <w:rPr>
          <w:w w:val="105"/>
        </w:rPr>
        <w:t>the</w:t>
      </w:r>
      <w:r>
        <w:rPr>
          <w:spacing w:val="23"/>
          <w:w w:val="105"/>
        </w:rPr>
        <w:t> </w:t>
      </w:r>
      <w:r>
        <w:rPr>
          <w:w w:val="105"/>
        </w:rPr>
        <w:t>meeting</w:t>
      </w:r>
      <w:r>
        <w:rPr>
          <w:spacing w:val="23"/>
          <w:w w:val="105"/>
        </w:rPr>
        <w:t> </w:t>
      </w:r>
      <w:r>
        <w:rPr>
          <w:w w:val="105"/>
        </w:rPr>
        <w:t>may</w:t>
      </w:r>
      <w:r>
        <w:rPr>
          <w:spacing w:val="23"/>
          <w:w w:val="105"/>
        </w:rPr>
        <w:t> </w:t>
      </w:r>
      <w:r>
        <w:rPr>
          <w:w w:val="105"/>
        </w:rPr>
        <w:t>adjourn,</w:t>
      </w:r>
      <w:r>
        <w:rPr>
          <w:spacing w:val="23"/>
          <w:w w:val="105"/>
        </w:rPr>
        <w:t> </w:t>
      </w:r>
      <w:r>
        <w:rPr>
          <w:w w:val="105"/>
        </w:rPr>
        <w:t>recess,</w:t>
      </w:r>
      <w:r>
        <w:rPr>
          <w:spacing w:val="23"/>
          <w:w w:val="105"/>
        </w:rPr>
        <w:t> </w:t>
      </w:r>
      <w:r>
        <w:rPr>
          <w:w w:val="105"/>
        </w:rPr>
        <w:t>or</w:t>
      </w:r>
      <w:r>
        <w:rPr>
          <w:spacing w:val="23"/>
          <w:w w:val="105"/>
        </w:rPr>
        <w:t> </w:t>
      </w:r>
      <w:r>
        <w:rPr>
          <w:w w:val="105"/>
        </w:rPr>
        <w:t>expedite</w:t>
      </w:r>
      <w:r>
        <w:rPr>
          <w:spacing w:val="23"/>
          <w:w w:val="105"/>
        </w:rPr>
        <w:t> </w:t>
      </w:r>
      <w:r>
        <w:rPr>
          <w:w w:val="105"/>
        </w:rPr>
        <w:t>the</w:t>
      </w:r>
      <w:r>
        <w:rPr>
          <w:spacing w:val="23"/>
          <w:w w:val="105"/>
        </w:rPr>
        <w:t> </w:t>
      </w:r>
      <w:r>
        <w:rPr>
          <w:w w:val="105"/>
        </w:rPr>
        <w:t>2023 Annual</w:t>
      </w:r>
      <w:r>
        <w:rPr>
          <w:spacing w:val="23"/>
          <w:w w:val="105"/>
        </w:rPr>
        <w:t> </w:t>
      </w:r>
      <w:r>
        <w:rPr>
          <w:w w:val="105"/>
        </w:rPr>
        <w:t>Meeting,</w:t>
      </w:r>
      <w:r>
        <w:rPr>
          <w:spacing w:val="23"/>
          <w:w w:val="105"/>
        </w:rPr>
        <w:t> </w:t>
      </w:r>
      <w:r>
        <w:rPr>
          <w:w w:val="105"/>
        </w:rPr>
        <w:t>or</w:t>
      </w:r>
      <w:r>
        <w:rPr>
          <w:spacing w:val="23"/>
          <w:w w:val="105"/>
        </w:rPr>
        <w:t> </w:t>
      </w:r>
      <w:r>
        <w:rPr>
          <w:w w:val="105"/>
        </w:rPr>
        <w:t>take</w:t>
      </w:r>
      <w:r>
        <w:rPr>
          <w:spacing w:val="23"/>
          <w:w w:val="105"/>
        </w:rPr>
        <w:t> </w:t>
      </w:r>
      <w:r>
        <w:rPr>
          <w:w w:val="105"/>
        </w:rPr>
        <w:t>such</w:t>
      </w:r>
      <w:r>
        <w:rPr>
          <w:spacing w:val="23"/>
          <w:w w:val="105"/>
        </w:rPr>
        <w:t> </w:t>
      </w:r>
      <w:r>
        <w:rPr>
          <w:w w:val="105"/>
        </w:rPr>
        <w:t>other action as the chair of the meeting determines is appropriate in light of the circumstances.</w:t>
      </w:r>
    </w:p>
    <w:p>
      <w:pPr>
        <w:pStyle w:val="Heading2"/>
        <w:spacing w:before="141"/>
      </w:pPr>
      <w:r>
        <w:rPr>
          <w:spacing w:val="-4"/>
          <w:w w:val="105"/>
        </w:rPr>
        <w:t>Q:</w:t>
      </w:r>
      <w:r>
        <w:rPr>
          <w:spacing w:val="28"/>
          <w:w w:val="105"/>
        </w:rPr>
        <w:t>  </w:t>
      </w:r>
      <w:r>
        <w:rPr>
          <w:spacing w:val="-4"/>
          <w:w w:val="105"/>
        </w:rPr>
        <w:t>How</w:t>
      </w:r>
      <w:r>
        <w:rPr>
          <w:spacing w:val="-7"/>
          <w:w w:val="105"/>
        </w:rPr>
        <w:t> </w:t>
      </w:r>
      <w:r>
        <w:rPr>
          <w:spacing w:val="-4"/>
          <w:w w:val="105"/>
        </w:rPr>
        <w:t>can</w:t>
      </w:r>
      <w:r>
        <w:rPr>
          <w:spacing w:val="-9"/>
          <w:w w:val="105"/>
        </w:rPr>
        <w:t> </w:t>
      </w:r>
      <w:r>
        <w:rPr>
          <w:spacing w:val="-4"/>
          <w:w w:val="105"/>
        </w:rPr>
        <w:t>I</w:t>
      </w:r>
      <w:r>
        <w:rPr>
          <w:spacing w:val="-8"/>
          <w:w w:val="105"/>
        </w:rPr>
        <w:t> </w:t>
      </w:r>
      <w:r>
        <w:rPr>
          <w:spacing w:val="-4"/>
          <w:w w:val="105"/>
        </w:rPr>
        <w:t>ask</w:t>
      </w:r>
      <w:r>
        <w:rPr>
          <w:spacing w:val="-8"/>
          <w:w w:val="105"/>
        </w:rPr>
        <w:t> </w:t>
      </w:r>
      <w:r>
        <w:rPr>
          <w:spacing w:val="-4"/>
          <w:w w:val="105"/>
        </w:rPr>
        <w:t>a</w:t>
      </w:r>
      <w:r>
        <w:rPr>
          <w:spacing w:val="-8"/>
          <w:w w:val="105"/>
        </w:rPr>
        <w:t> </w:t>
      </w:r>
      <w:r>
        <w:rPr>
          <w:spacing w:val="-4"/>
          <w:w w:val="105"/>
        </w:rPr>
        <w:t>question</w:t>
      </w:r>
      <w:r>
        <w:rPr>
          <w:spacing w:val="-9"/>
          <w:w w:val="105"/>
        </w:rPr>
        <w:t> </w:t>
      </w:r>
      <w:r>
        <w:rPr>
          <w:spacing w:val="-4"/>
          <w:w w:val="105"/>
        </w:rPr>
        <w:t>at</w:t>
      </w:r>
      <w:r>
        <w:rPr>
          <w:spacing w:val="-8"/>
          <w:w w:val="105"/>
        </w:rPr>
        <w:t> </w:t>
      </w:r>
      <w:r>
        <w:rPr>
          <w:spacing w:val="-4"/>
          <w:w w:val="105"/>
        </w:rPr>
        <w:t>the</w:t>
      </w:r>
      <w:r>
        <w:rPr>
          <w:spacing w:val="-19"/>
          <w:w w:val="105"/>
        </w:rPr>
        <w:t> </w:t>
      </w:r>
      <w:r>
        <w:rPr>
          <w:spacing w:val="-4"/>
          <w:w w:val="105"/>
        </w:rPr>
        <w:t>Annual</w:t>
      </w:r>
      <w:r>
        <w:rPr>
          <w:spacing w:val="-8"/>
          <w:w w:val="105"/>
        </w:rPr>
        <w:t> </w:t>
      </w:r>
      <w:r>
        <w:rPr>
          <w:spacing w:val="-4"/>
          <w:w w:val="105"/>
        </w:rPr>
        <w:t>Meeting?</w:t>
      </w:r>
    </w:p>
    <w:p>
      <w:pPr>
        <w:pStyle w:val="BodyText"/>
        <w:spacing w:line="259" w:lineRule="auto" w:before="170"/>
        <w:ind w:left="1772" w:right="1726" w:hanging="373"/>
        <w:jc w:val="both"/>
      </w:pPr>
      <w:r>
        <w:rPr>
          <w:w w:val="105"/>
        </w:rPr>
        <w:t>A:</w:t>
      </w:r>
      <w:r>
        <w:rPr>
          <w:spacing w:val="80"/>
          <w:w w:val="150"/>
        </w:rPr>
        <w:t> </w:t>
      </w:r>
      <w:r>
        <w:rPr>
          <w:w w:val="105"/>
        </w:rPr>
        <w:t>If you have a question about one of the matters on the agenda at the Annual Meeting, such question may be submitted in the field provided on the meeting website at or before the time the matters are before the Annual Meeting for consideration. We will answer questions related to any matters in the agenda to be voted on before the voting is closed.</w:t>
      </w:r>
    </w:p>
    <w:p>
      <w:pPr>
        <w:pStyle w:val="BodyText"/>
        <w:spacing w:line="259" w:lineRule="auto" w:before="155"/>
        <w:ind w:left="1772" w:right="1551"/>
      </w:pPr>
      <w:r>
        <w:rPr>
          <w:w w:val="105"/>
        </w:rPr>
        <w:t>Following</w:t>
      </w:r>
      <w:r>
        <w:rPr>
          <w:spacing w:val="27"/>
          <w:w w:val="105"/>
        </w:rPr>
        <w:t> </w:t>
      </w:r>
      <w:r>
        <w:rPr>
          <w:w w:val="105"/>
        </w:rPr>
        <w:t>adjournment</w:t>
      </w:r>
      <w:r>
        <w:rPr>
          <w:spacing w:val="27"/>
          <w:w w:val="105"/>
        </w:rPr>
        <w:t> </w:t>
      </w:r>
      <w:r>
        <w:rPr>
          <w:w w:val="105"/>
        </w:rPr>
        <w:t>of</w:t>
      </w:r>
      <w:r>
        <w:rPr>
          <w:spacing w:val="27"/>
          <w:w w:val="105"/>
        </w:rPr>
        <w:t> </w:t>
      </w:r>
      <w:r>
        <w:rPr>
          <w:w w:val="105"/>
        </w:rPr>
        <w:t>the</w:t>
      </w:r>
      <w:r>
        <w:rPr>
          <w:spacing w:val="27"/>
          <w:w w:val="105"/>
        </w:rPr>
        <w:t> </w:t>
      </w:r>
      <w:r>
        <w:rPr>
          <w:w w:val="105"/>
        </w:rPr>
        <w:t>formal</w:t>
      </w:r>
      <w:r>
        <w:rPr>
          <w:spacing w:val="27"/>
          <w:w w:val="105"/>
        </w:rPr>
        <w:t> </w:t>
      </w:r>
      <w:r>
        <w:rPr>
          <w:w w:val="105"/>
        </w:rPr>
        <w:t>business</w:t>
      </w:r>
      <w:r>
        <w:rPr>
          <w:spacing w:val="27"/>
          <w:w w:val="105"/>
        </w:rPr>
        <w:t> </w:t>
      </w:r>
      <w:r>
        <w:rPr>
          <w:w w:val="105"/>
        </w:rPr>
        <w:t>of</w:t>
      </w:r>
      <w:r>
        <w:rPr>
          <w:spacing w:val="27"/>
          <w:w w:val="105"/>
        </w:rPr>
        <w:t> </w:t>
      </w:r>
      <w:r>
        <w:rPr>
          <w:w w:val="105"/>
        </w:rPr>
        <w:t>the Annual</w:t>
      </w:r>
      <w:r>
        <w:rPr>
          <w:spacing w:val="27"/>
          <w:w w:val="105"/>
        </w:rPr>
        <w:t> </w:t>
      </w:r>
      <w:r>
        <w:rPr>
          <w:w w:val="105"/>
        </w:rPr>
        <w:t>Meeting,</w:t>
      </w:r>
      <w:r>
        <w:rPr>
          <w:spacing w:val="27"/>
          <w:w w:val="105"/>
        </w:rPr>
        <w:t> </w:t>
      </w:r>
      <w:r>
        <w:rPr>
          <w:w w:val="105"/>
        </w:rPr>
        <w:t>we</w:t>
      </w:r>
      <w:r>
        <w:rPr>
          <w:spacing w:val="27"/>
          <w:w w:val="105"/>
        </w:rPr>
        <w:t> </w:t>
      </w:r>
      <w:r>
        <w:rPr>
          <w:w w:val="105"/>
        </w:rPr>
        <w:t>will</w:t>
      </w:r>
      <w:r>
        <w:rPr>
          <w:spacing w:val="27"/>
          <w:w w:val="105"/>
        </w:rPr>
        <w:t> </w:t>
      </w:r>
      <w:r>
        <w:rPr>
          <w:w w:val="105"/>
        </w:rPr>
        <w:t>address</w:t>
      </w:r>
      <w:r>
        <w:rPr>
          <w:spacing w:val="27"/>
          <w:w w:val="105"/>
        </w:rPr>
        <w:t> </w:t>
      </w:r>
      <w:r>
        <w:rPr>
          <w:w w:val="105"/>
        </w:rPr>
        <w:t>appropriate general questions from stockholders regarding the Company. Such questions may be submitted into the field provided on the meeting website during the Annual Meeting. In the event that questions of general</w:t>
      </w:r>
      <w:r>
        <w:rPr>
          <w:spacing w:val="40"/>
          <w:w w:val="105"/>
        </w:rPr>
        <w:t> </w:t>
      </w:r>
      <w:r>
        <w:rPr>
          <w:w w:val="105"/>
        </w:rPr>
        <w:t>concern that meet the Board’s guidelines are not answered during the Annual Meeting, answers to such questions will be posted on the Investors page of our website at </w:t>
      </w:r>
      <w:hyperlink r:id="rId38">
        <w:r>
          <w:rPr>
            <w:i/>
            <w:w w:val="105"/>
          </w:rPr>
          <w:t>www.vareximaging.com</w:t>
        </w:r>
      </w:hyperlink>
      <w:r>
        <w:rPr>
          <w:i/>
          <w:w w:val="105"/>
        </w:rPr>
        <w:t> </w:t>
      </w:r>
      <w:r>
        <w:rPr>
          <w:w w:val="105"/>
        </w:rPr>
        <w:t>promptly after</w:t>
      </w:r>
      <w:r>
        <w:rPr>
          <w:spacing w:val="80"/>
          <w:w w:val="105"/>
        </w:rPr>
        <w:t> </w:t>
      </w:r>
      <w:r>
        <w:rPr>
          <w:w w:val="105"/>
        </w:rPr>
        <w:t>the Annual Meeting.</w:t>
      </w:r>
    </w:p>
    <w:p>
      <w:pPr>
        <w:pStyle w:val="BodyText"/>
        <w:spacing w:line="259" w:lineRule="auto" w:before="140"/>
        <w:ind w:left="1772" w:right="1551"/>
      </w:pPr>
      <w:r>
        <w:rPr>
          <w:w w:val="105"/>
        </w:rPr>
        <w:t>If there are any matters of individual concern to a stockholder and not of general concern to all</w:t>
      </w:r>
      <w:r>
        <w:rPr>
          <w:spacing w:val="40"/>
          <w:w w:val="105"/>
        </w:rPr>
        <w:t> </w:t>
      </w:r>
      <w:r>
        <w:rPr>
          <w:w w:val="105"/>
        </w:rPr>
        <w:t>stockholders, such matters may be raised separately before or after the Annual Meeting by contacting Investor Relations at </w:t>
      </w:r>
      <w:hyperlink r:id="rId27">
        <w:r>
          <w:rPr>
            <w:i/>
            <w:w w:val="105"/>
          </w:rPr>
          <w:t>investor.relations@vareximaging.com</w:t>
        </w:r>
        <w:r>
          <w:rPr>
            <w:w w:val="105"/>
          </w:rPr>
          <w:t>.</w:t>
        </w:r>
      </w:hyperlink>
    </w:p>
    <w:p>
      <w:pPr>
        <w:pStyle w:val="Heading2"/>
        <w:spacing w:before="154"/>
      </w:pPr>
      <w:r>
        <w:rPr>
          <w:spacing w:val="-4"/>
          <w:w w:val="105"/>
        </w:rPr>
        <w:t>Q:</w:t>
      </w:r>
      <w:r>
        <w:rPr>
          <w:spacing w:val="79"/>
          <w:w w:val="150"/>
        </w:rPr>
        <w:t> </w:t>
      </w:r>
      <w:r>
        <w:rPr>
          <w:spacing w:val="-4"/>
          <w:w w:val="105"/>
        </w:rPr>
        <w:t>How</w:t>
      </w:r>
      <w:r>
        <w:rPr>
          <w:spacing w:val="-9"/>
          <w:w w:val="105"/>
        </w:rPr>
        <w:t> </w:t>
      </w:r>
      <w:r>
        <w:rPr>
          <w:spacing w:val="-4"/>
          <w:w w:val="105"/>
        </w:rPr>
        <w:t>can</w:t>
      </w:r>
      <w:r>
        <w:rPr>
          <w:spacing w:val="-8"/>
          <w:w w:val="105"/>
        </w:rPr>
        <w:t> </w:t>
      </w:r>
      <w:r>
        <w:rPr>
          <w:spacing w:val="-4"/>
          <w:w w:val="105"/>
        </w:rPr>
        <w:t>I</w:t>
      </w:r>
      <w:r>
        <w:rPr>
          <w:spacing w:val="-8"/>
          <w:w w:val="105"/>
        </w:rPr>
        <w:t> </w:t>
      </w:r>
      <w:r>
        <w:rPr>
          <w:spacing w:val="-4"/>
          <w:w w:val="105"/>
        </w:rPr>
        <w:t>find</w:t>
      </w:r>
      <w:r>
        <w:rPr>
          <w:spacing w:val="-8"/>
          <w:w w:val="105"/>
        </w:rPr>
        <w:t> </w:t>
      </w:r>
      <w:r>
        <w:rPr>
          <w:spacing w:val="-4"/>
          <w:w w:val="105"/>
        </w:rPr>
        <w:t>the</w:t>
      </w:r>
      <w:r>
        <w:rPr>
          <w:spacing w:val="-9"/>
          <w:w w:val="105"/>
        </w:rPr>
        <w:t> </w:t>
      </w:r>
      <w:r>
        <w:rPr>
          <w:spacing w:val="-4"/>
          <w:w w:val="105"/>
        </w:rPr>
        <w:t>results</w:t>
      </w:r>
      <w:r>
        <w:rPr>
          <w:spacing w:val="-8"/>
          <w:w w:val="105"/>
        </w:rPr>
        <w:t> </w:t>
      </w:r>
      <w:r>
        <w:rPr>
          <w:spacing w:val="-4"/>
          <w:w w:val="105"/>
        </w:rPr>
        <w:t>of</w:t>
      </w:r>
      <w:r>
        <w:rPr>
          <w:spacing w:val="-8"/>
          <w:w w:val="105"/>
        </w:rPr>
        <w:t> </w:t>
      </w:r>
      <w:r>
        <w:rPr>
          <w:spacing w:val="-4"/>
          <w:w w:val="105"/>
        </w:rPr>
        <w:t>the</w:t>
      </w:r>
      <w:r>
        <w:rPr>
          <w:spacing w:val="-19"/>
          <w:w w:val="105"/>
        </w:rPr>
        <w:t> </w:t>
      </w:r>
      <w:r>
        <w:rPr>
          <w:spacing w:val="-4"/>
          <w:w w:val="105"/>
        </w:rPr>
        <w:t>Annual</w:t>
      </w:r>
      <w:r>
        <w:rPr>
          <w:spacing w:val="-9"/>
          <w:w w:val="105"/>
        </w:rPr>
        <w:t> </w:t>
      </w:r>
      <w:r>
        <w:rPr>
          <w:spacing w:val="-4"/>
          <w:w w:val="105"/>
        </w:rPr>
        <w:t>Meeting?</w:t>
      </w:r>
    </w:p>
    <w:p>
      <w:pPr>
        <w:pStyle w:val="BodyText"/>
        <w:spacing w:line="259" w:lineRule="auto" w:before="171"/>
        <w:ind w:left="1772" w:right="1505" w:hanging="373"/>
      </w:pPr>
      <w:r>
        <w:rPr>
          <w:w w:val="105"/>
        </w:rPr>
        <w:t>A:</w:t>
      </w:r>
      <w:r>
        <w:rPr>
          <w:spacing w:val="40"/>
          <w:w w:val="105"/>
        </w:rPr>
        <w:t>  </w:t>
      </w:r>
      <w:r>
        <w:rPr>
          <w:w w:val="105"/>
        </w:rPr>
        <w:t>Preliminary results will be announced at the Annual Meeting. Final results will also be published in a</w:t>
      </w:r>
      <w:r>
        <w:rPr>
          <w:spacing w:val="40"/>
          <w:w w:val="105"/>
        </w:rPr>
        <w:t> </w:t>
      </w:r>
      <w:r>
        <w:rPr>
          <w:w w:val="105"/>
        </w:rPr>
        <w:t>Current Report on Form 8-K to be filed with the SEC within four business days after the Annual</w:t>
      </w:r>
      <w:r>
        <w:rPr>
          <w:spacing w:val="80"/>
          <w:w w:val="105"/>
        </w:rPr>
        <w:t> </w:t>
      </w:r>
      <w:r>
        <w:rPr>
          <w:w w:val="105"/>
        </w:rPr>
        <w:t>Meeting.</w:t>
      </w:r>
      <w:r>
        <w:rPr>
          <w:spacing w:val="15"/>
          <w:w w:val="105"/>
        </w:rPr>
        <w:t> </w:t>
      </w:r>
      <w:r>
        <w:rPr>
          <w:w w:val="105"/>
        </w:rPr>
        <w:t>If</w:t>
      </w:r>
      <w:r>
        <w:rPr>
          <w:spacing w:val="15"/>
          <w:w w:val="105"/>
        </w:rPr>
        <w:t> </w:t>
      </w:r>
      <w:r>
        <w:rPr>
          <w:w w:val="105"/>
        </w:rPr>
        <w:t>the</w:t>
      </w:r>
      <w:r>
        <w:rPr>
          <w:spacing w:val="15"/>
          <w:w w:val="105"/>
        </w:rPr>
        <w:t> </w:t>
      </w:r>
      <w:r>
        <w:rPr>
          <w:w w:val="105"/>
        </w:rPr>
        <w:t>official</w:t>
      </w:r>
      <w:r>
        <w:rPr>
          <w:spacing w:val="15"/>
          <w:w w:val="105"/>
        </w:rPr>
        <w:t> </w:t>
      </w:r>
      <w:r>
        <w:rPr>
          <w:w w:val="105"/>
        </w:rPr>
        <w:t>results</w:t>
      </w:r>
      <w:r>
        <w:rPr>
          <w:spacing w:val="15"/>
          <w:w w:val="105"/>
        </w:rPr>
        <w:t> </w:t>
      </w:r>
      <w:r>
        <w:rPr>
          <w:w w:val="105"/>
        </w:rPr>
        <w:t>are</w:t>
      </w:r>
      <w:r>
        <w:rPr>
          <w:spacing w:val="15"/>
          <w:w w:val="105"/>
        </w:rPr>
        <w:t> </w:t>
      </w:r>
      <w:r>
        <w:rPr>
          <w:w w:val="105"/>
        </w:rPr>
        <w:t>not</w:t>
      </w:r>
      <w:r>
        <w:rPr>
          <w:spacing w:val="15"/>
          <w:w w:val="105"/>
        </w:rPr>
        <w:t> </w:t>
      </w:r>
      <w:r>
        <w:rPr>
          <w:w w:val="105"/>
        </w:rPr>
        <w:t>available</w:t>
      </w:r>
      <w:r>
        <w:rPr>
          <w:spacing w:val="15"/>
          <w:w w:val="105"/>
        </w:rPr>
        <w:t> </w:t>
      </w:r>
      <w:r>
        <w:rPr>
          <w:w w:val="105"/>
        </w:rPr>
        <w:t>at</w:t>
      </w:r>
      <w:r>
        <w:rPr>
          <w:spacing w:val="15"/>
          <w:w w:val="105"/>
        </w:rPr>
        <w:t> </w:t>
      </w:r>
      <w:r>
        <w:rPr>
          <w:w w:val="105"/>
        </w:rPr>
        <w:t>that</w:t>
      </w:r>
      <w:r>
        <w:rPr>
          <w:spacing w:val="15"/>
          <w:w w:val="105"/>
        </w:rPr>
        <w:t> </w:t>
      </w:r>
      <w:r>
        <w:rPr>
          <w:w w:val="105"/>
        </w:rPr>
        <w:t>time,</w:t>
      </w:r>
      <w:r>
        <w:rPr>
          <w:spacing w:val="15"/>
          <w:w w:val="105"/>
        </w:rPr>
        <w:t> </w:t>
      </w:r>
      <w:r>
        <w:rPr>
          <w:w w:val="105"/>
        </w:rPr>
        <w:t>we</w:t>
      </w:r>
      <w:r>
        <w:rPr>
          <w:spacing w:val="15"/>
          <w:w w:val="105"/>
        </w:rPr>
        <w:t> </w:t>
      </w:r>
      <w:r>
        <w:rPr>
          <w:w w:val="105"/>
        </w:rPr>
        <w:t>will</w:t>
      </w:r>
      <w:r>
        <w:rPr>
          <w:spacing w:val="15"/>
          <w:w w:val="105"/>
        </w:rPr>
        <w:t> </w:t>
      </w:r>
      <w:r>
        <w:rPr>
          <w:w w:val="105"/>
        </w:rPr>
        <w:t>provide</w:t>
      </w:r>
      <w:r>
        <w:rPr>
          <w:spacing w:val="15"/>
          <w:w w:val="105"/>
        </w:rPr>
        <w:t> </w:t>
      </w:r>
      <w:r>
        <w:rPr>
          <w:w w:val="105"/>
        </w:rPr>
        <w:t>preliminary</w:t>
      </w:r>
      <w:r>
        <w:rPr>
          <w:spacing w:val="15"/>
          <w:w w:val="105"/>
        </w:rPr>
        <w:t> </w:t>
      </w:r>
      <w:r>
        <w:rPr>
          <w:w w:val="105"/>
        </w:rPr>
        <w:t>voting</w:t>
      </w:r>
      <w:r>
        <w:rPr>
          <w:spacing w:val="15"/>
          <w:w w:val="105"/>
        </w:rPr>
        <w:t> </w:t>
      </w:r>
      <w:r>
        <w:rPr>
          <w:w w:val="105"/>
        </w:rPr>
        <w:t>results in the Form 8-K and will provide the final results in an amendment to the Form 8-K as soon as they</w:t>
      </w:r>
      <w:r>
        <w:rPr>
          <w:spacing w:val="40"/>
          <w:w w:val="105"/>
        </w:rPr>
        <w:t> </w:t>
      </w:r>
      <w:r>
        <w:rPr>
          <w:w w:val="105"/>
        </w:rPr>
        <w:t>become available.</w:t>
      </w:r>
    </w:p>
    <w:p>
      <w:pPr>
        <w:spacing w:after="0" w:line="259" w:lineRule="auto"/>
        <w:sectPr>
          <w:headerReference w:type="default" r:id="rId36"/>
          <w:footerReference w:type="default" r:id="rId37"/>
          <w:pgSz w:w="12240" w:h="15840"/>
          <w:pgMar w:header="529" w:footer="2015" w:top="720" w:bottom="2200" w:left="480" w:right="460"/>
        </w:sectPr>
      </w:pPr>
    </w:p>
    <w:p>
      <w:pPr>
        <w:pStyle w:val="BodyText"/>
        <w:rPr>
          <w:sz w:val="20"/>
        </w:rPr>
      </w:pPr>
    </w:p>
    <w:p>
      <w:pPr>
        <w:pStyle w:val="BodyText"/>
        <w:rPr>
          <w:sz w:val="20"/>
        </w:rPr>
      </w:pPr>
    </w:p>
    <w:p>
      <w:pPr>
        <w:pStyle w:val="BodyText"/>
        <w:spacing w:before="2"/>
        <w:rPr>
          <w:sz w:val="27"/>
        </w:rPr>
      </w:pPr>
    </w:p>
    <w:p>
      <w:pPr>
        <w:pStyle w:val="Heading1"/>
      </w:pPr>
      <w:bookmarkStart w:name="_TOC_250040" w:id="3"/>
      <w:r>
        <w:rPr/>
        <w:t>VIRTUAL</w:t>
      </w:r>
      <w:r>
        <w:rPr>
          <w:spacing w:val="-17"/>
        </w:rPr>
        <w:t> </w:t>
      </w:r>
      <w:r>
        <w:rPr/>
        <w:t>MEETING</w:t>
      </w:r>
      <w:r>
        <w:rPr>
          <w:spacing w:val="-10"/>
        </w:rPr>
        <w:t> </w:t>
      </w:r>
      <w:bookmarkEnd w:id="3"/>
      <w:r>
        <w:rPr>
          <w:spacing w:val="-2"/>
        </w:rPr>
        <w:t>PHILOSOPHY</w:t>
      </w:r>
    </w:p>
    <w:p>
      <w:pPr>
        <w:pStyle w:val="BodyText"/>
        <w:spacing w:line="259" w:lineRule="auto" w:before="171"/>
        <w:ind w:left="1400" w:right="1411" w:firstLine="372"/>
      </w:pPr>
      <w:r>
        <w:rPr>
          <w:w w:val="105"/>
        </w:rPr>
        <w:t>We will hold our Annual Meeting as a virtual meeting via the Internet. The Board believes that holding</w:t>
      </w:r>
      <w:r>
        <w:rPr>
          <w:spacing w:val="80"/>
          <w:w w:val="105"/>
        </w:rPr>
        <w:t> </w:t>
      </w:r>
      <w:r>
        <w:rPr>
          <w:w w:val="105"/>
        </w:rPr>
        <w:t>the</w:t>
      </w:r>
      <w:r>
        <w:rPr>
          <w:spacing w:val="25"/>
          <w:w w:val="105"/>
        </w:rPr>
        <w:t> </w:t>
      </w:r>
      <w:r>
        <w:rPr>
          <w:w w:val="105"/>
        </w:rPr>
        <w:t>annual</w:t>
      </w:r>
      <w:r>
        <w:rPr>
          <w:spacing w:val="25"/>
          <w:w w:val="105"/>
        </w:rPr>
        <w:t> </w:t>
      </w:r>
      <w:r>
        <w:rPr>
          <w:w w:val="105"/>
        </w:rPr>
        <w:t>meeting</w:t>
      </w:r>
      <w:r>
        <w:rPr>
          <w:spacing w:val="25"/>
          <w:w w:val="105"/>
        </w:rPr>
        <w:t> </w:t>
      </w:r>
      <w:r>
        <w:rPr>
          <w:w w:val="105"/>
        </w:rPr>
        <w:t>of</w:t>
      </w:r>
      <w:r>
        <w:rPr>
          <w:spacing w:val="25"/>
          <w:w w:val="105"/>
        </w:rPr>
        <w:t> </w:t>
      </w:r>
      <w:r>
        <w:rPr>
          <w:w w:val="105"/>
        </w:rPr>
        <w:t>stockholders</w:t>
      </w:r>
      <w:r>
        <w:rPr>
          <w:spacing w:val="25"/>
          <w:w w:val="105"/>
        </w:rPr>
        <w:t> </w:t>
      </w:r>
      <w:r>
        <w:rPr>
          <w:w w:val="105"/>
        </w:rPr>
        <w:t>in</w:t>
      </w:r>
      <w:r>
        <w:rPr>
          <w:spacing w:val="25"/>
          <w:w w:val="105"/>
        </w:rPr>
        <w:t> </w:t>
      </w:r>
      <w:r>
        <w:rPr>
          <w:w w:val="105"/>
        </w:rPr>
        <w:t>a</w:t>
      </w:r>
      <w:r>
        <w:rPr>
          <w:spacing w:val="25"/>
          <w:w w:val="105"/>
        </w:rPr>
        <w:t> </w:t>
      </w:r>
      <w:r>
        <w:rPr>
          <w:w w:val="105"/>
        </w:rPr>
        <w:t>virtual</w:t>
      </w:r>
      <w:r>
        <w:rPr>
          <w:spacing w:val="25"/>
          <w:w w:val="105"/>
        </w:rPr>
        <w:t> </w:t>
      </w:r>
      <w:r>
        <w:rPr>
          <w:w w:val="105"/>
        </w:rPr>
        <w:t>format</w:t>
      </w:r>
      <w:r>
        <w:rPr>
          <w:spacing w:val="25"/>
          <w:w w:val="105"/>
        </w:rPr>
        <w:t> </w:t>
      </w:r>
      <w:r>
        <w:rPr>
          <w:w w:val="105"/>
        </w:rPr>
        <w:t>provides</w:t>
      </w:r>
      <w:r>
        <w:rPr>
          <w:spacing w:val="25"/>
          <w:w w:val="105"/>
        </w:rPr>
        <w:t> </w:t>
      </w:r>
      <w:r>
        <w:rPr>
          <w:w w:val="105"/>
        </w:rPr>
        <w:t>the</w:t>
      </w:r>
      <w:r>
        <w:rPr>
          <w:spacing w:val="25"/>
          <w:w w:val="105"/>
        </w:rPr>
        <w:t> </w:t>
      </w:r>
      <w:r>
        <w:rPr>
          <w:w w:val="105"/>
        </w:rPr>
        <w:t>opportunity</w:t>
      </w:r>
      <w:r>
        <w:rPr>
          <w:spacing w:val="25"/>
          <w:w w:val="105"/>
        </w:rPr>
        <w:t> </w:t>
      </w:r>
      <w:r>
        <w:rPr>
          <w:w w:val="105"/>
        </w:rPr>
        <w:t>for</w:t>
      </w:r>
      <w:r>
        <w:rPr>
          <w:spacing w:val="25"/>
          <w:w w:val="105"/>
        </w:rPr>
        <w:t> </w:t>
      </w:r>
      <w:r>
        <w:rPr>
          <w:w w:val="105"/>
        </w:rPr>
        <w:t>participation</w:t>
      </w:r>
      <w:r>
        <w:rPr>
          <w:spacing w:val="25"/>
          <w:w w:val="105"/>
        </w:rPr>
        <w:t> </w:t>
      </w:r>
      <w:r>
        <w:rPr>
          <w:w w:val="105"/>
        </w:rPr>
        <w:t>by</w:t>
      </w:r>
      <w:r>
        <w:rPr>
          <w:spacing w:val="25"/>
          <w:w w:val="105"/>
        </w:rPr>
        <w:t> </w:t>
      </w:r>
      <w:r>
        <w:rPr>
          <w:w w:val="105"/>
        </w:rPr>
        <w:t>a</w:t>
      </w:r>
      <w:r>
        <w:rPr>
          <w:w w:val="105"/>
        </w:rPr>
        <w:t> broader</w:t>
      </w:r>
      <w:r>
        <w:rPr>
          <w:spacing w:val="29"/>
          <w:w w:val="105"/>
        </w:rPr>
        <w:t> </w:t>
      </w:r>
      <w:r>
        <w:rPr>
          <w:w w:val="105"/>
        </w:rPr>
        <w:t>group</w:t>
      </w:r>
      <w:r>
        <w:rPr>
          <w:spacing w:val="29"/>
          <w:w w:val="105"/>
        </w:rPr>
        <w:t> </w:t>
      </w:r>
      <w:r>
        <w:rPr>
          <w:w w:val="105"/>
        </w:rPr>
        <w:t>of</w:t>
      </w:r>
      <w:r>
        <w:rPr>
          <w:spacing w:val="29"/>
          <w:w w:val="105"/>
        </w:rPr>
        <w:t> </w:t>
      </w:r>
      <w:r>
        <w:rPr>
          <w:w w:val="105"/>
        </w:rPr>
        <w:t>stockholders,</w:t>
      </w:r>
      <w:r>
        <w:rPr>
          <w:spacing w:val="29"/>
          <w:w w:val="105"/>
        </w:rPr>
        <w:t> </w:t>
      </w:r>
      <w:r>
        <w:rPr>
          <w:w w:val="105"/>
        </w:rPr>
        <w:t>reduces</w:t>
      </w:r>
      <w:r>
        <w:rPr>
          <w:spacing w:val="29"/>
          <w:w w:val="105"/>
        </w:rPr>
        <w:t> </w:t>
      </w:r>
      <w:r>
        <w:rPr>
          <w:w w:val="105"/>
        </w:rPr>
        <w:t>the</w:t>
      </w:r>
      <w:r>
        <w:rPr>
          <w:spacing w:val="29"/>
          <w:w w:val="105"/>
        </w:rPr>
        <w:t> </w:t>
      </w:r>
      <w:r>
        <w:rPr>
          <w:w w:val="105"/>
        </w:rPr>
        <w:t>costs</w:t>
      </w:r>
      <w:r>
        <w:rPr>
          <w:spacing w:val="29"/>
          <w:w w:val="105"/>
        </w:rPr>
        <w:t> </w:t>
      </w:r>
      <w:r>
        <w:rPr>
          <w:w w:val="105"/>
        </w:rPr>
        <w:t>associated</w:t>
      </w:r>
      <w:r>
        <w:rPr>
          <w:spacing w:val="29"/>
          <w:w w:val="105"/>
        </w:rPr>
        <w:t> </w:t>
      </w:r>
      <w:r>
        <w:rPr>
          <w:w w:val="105"/>
        </w:rPr>
        <w:t>with</w:t>
      </w:r>
      <w:r>
        <w:rPr>
          <w:spacing w:val="29"/>
          <w:w w:val="105"/>
        </w:rPr>
        <w:t> </w:t>
      </w:r>
      <w:r>
        <w:rPr>
          <w:w w:val="105"/>
        </w:rPr>
        <w:t>planning,</w:t>
      </w:r>
      <w:r>
        <w:rPr>
          <w:spacing w:val="29"/>
          <w:w w:val="105"/>
        </w:rPr>
        <w:t> </w:t>
      </w:r>
      <w:r>
        <w:rPr>
          <w:w w:val="105"/>
        </w:rPr>
        <w:t>holding</w:t>
      </w:r>
      <w:r>
        <w:rPr>
          <w:spacing w:val="29"/>
          <w:w w:val="105"/>
        </w:rPr>
        <w:t> </w:t>
      </w:r>
      <w:r>
        <w:rPr>
          <w:w w:val="105"/>
        </w:rPr>
        <w:t>and</w:t>
      </w:r>
      <w:r>
        <w:rPr>
          <w:spacing w:val="29"/>
          <w:w w:val="105"/>
        </w:rPr>
        <w:t> </w:t>
      </w:r>
      <w:r>
        <w:rPr>
          <w:w w:val="105"/>
        </w:rPr>
        <w:t>arranging</w:t>
      </w:r>
      <w:r>
        <w:rPr>
          <w:spacing w:val="29"/>
          <w:w w:val="105"/>
        </w:rPr>
        <w:t> </w:t>
      </w:r>
      <w:r>
        <w:rPr>
          <w:w w:val="105"/>
        </w:rPr>
        <w:t>logistics for in-person meeting proceedings, and allows us to properly manage health and safety protocols. The Board</w:t>
      </w:r>
      <w:r>
        <w:rPr>
          <w:spacing w:val="40"/>
          <w:w w:val="105"/>
        </w:rPr>
        <w:t> </w:t>
      </w:r>
      <w:r>
        <w:rPr>
          <w:w w:val="105"/>
        </w:rPr>
        <w:t>welcomes</w:t>
      </w:r>
      <w:r>
        <w:rPr>
          <w:spacing w:val="25"/>
          <w:w w:val="105"/>
        </w:rPr>
        <w:t> </w:t>
      </w:r>
      <w:r>
        <w:rPr>
          <w:w w:val="105"/>
        </w:rPr>
        <w:t>stockholder</w:t>
      </w:r>
      <w:r>
        <w:rPr>
          <w:spacing w:val="25"/>
          <w:w w:val="105"/>
        </w:rPr>
        <w:t> </w:t>
      </w:r>
      <w:r>
        <w:rPr>
          <w:w w:val="105"/>
        </w:rPr>
        <w:t>participation</w:t>
      </w:r>
      <w:r>
        <w:rPr>
          <w:spacing w:val="25"/>
          <w:w w:val="105"/>
        </w:rPr>
        <w:t> </w:t>
      </w:r>
      <w:r>
        <w:rPr>
          <w:w w:val="105"/>
        </w:rPr>
        <w:t>in</w:t>
      </w:r>
      <w:r>
        <w:rPr>
          <w:spacing w:val="25"/>
          <w:w w:val="105"/>
        </w:rPr>
        <w:t> </w:t>
      </w:r>
      <w:r>
        <w:rPr>
          <w:w w:val="105"/>
        </w:rPr>
        <w:t>the</w:t>
      </w:r>
      <w:r>
        <w:rPr>
          <w:spacing w:val="25"/>
          <w:w w:val="105"/>
        </w:rPr>
        <w:t> </w:t>
      </w:r>
      <w:r>
        <w:rPr>
          <w:w w:val="105"/>
        </w:rPr>
        <w:t>virtual</w:t>
      </w:r>
      <w:r>
        <w:rPr>
          <w:spacing w:val="25"/>
          <w:w w:val="105"/>
        </w:rPr>
        <w:t> </w:t>
      </w:r>
      <w:r>
        <w:rPr>
          <w:w w:val="105"/>
        </w:rPr>
        <w:t>meeting</w:t>
      </w:r>
      <w:r>
        <w:rPr>
          <w:spacing w:val="25"/>
          <w:w w:val="105"/>
        </w:rPr>
        <w:t> </w:t>
      </w:r>
      <w:r>
        <w:rPr>
          <w:w w:val="105"/>
        </w:rPr>
        <w:t>and</w:t>
      </w:r>
      <w:r>
        <w:rPr>
          <w:spacing w:val="25"/>
          <w:w w:val="105"/>
        </w:rPr>
        <w:t> </w:t>
      </w:r>
      <w:r>
        <w:rPr>
          <w:w w:val="105"/>
        </w:rPr>
        <w:t>desires</w:t>
      </w:r>
      <w:r>
        <w:rPr>
          <w:spacing w:val="25"/>
          <w:w w:val="105"/>
        </w:rPr>
        <w:t> </w:t>
      </w:r>
      <w:r>
        <w:rPr>
          <w:w w:val="105"/>
        </w:rPr>
        <w:t>an</w:t>
      </w:r>
      <w:r>
        <w:rPr>
          <w:spacing w:val="25"/>
          <w:w w:val="105"/>
        </w:rPr>
        <w:t> </w:t>
      </w:r>
      <w:r>
        <w:rPr>
          <w:w w:val="105"/>
        </w:rPr>
        <w:t>experience</w:t>
      </w:r>
      <w:r>
        <w:rPr>
          <w:spacing w:val="25"/>
          <w:w w:val="105"/>
        </w:rPr>
        <w:t> </w:t>
      </w:r>
      <w:r>
        <w:rPr>
          <w:w w:val="105"/>
        </w:rPr>
        <w:t>as</w:t>
      </w:r>
      <w:r>
        <w:rPr>
          <w:spacing w:val="25"/>
          <w:w w:val="105"/>
        </w:rPr>
        <w:t> </w:t>
      </w:r>
      <w:r>
        <w:rPr>
          <w:w w:val="105"/>
        </w:rPr>
        <w:t>close</w:t>
      </w:r>
      <w:r>
        <w:rPr>
          <w:spacing w:val="25"/>
          <w:w w:val="105"/>
        </w:rPr>
        <w:t> </w:t>
      </w:r>
      <w:r>
        <w:rPr>
          <w:w w:val="105"/>
        </w:rPr>
        <w:t>as</w:t>
      </w:r>
      <w:r>
        <w:rPr>
          <w:spacing w:val="25"/>
          <w:w w:val="105"/>
        </w:rPr>
        <w:t> </w:t>
      </w:r>
      <w:r>
        <w:rPr>
          <w:w w:val="105"/>
        </w:rPr>
        <w:t>possible</w:t>
      </w:r>
      <w:r>
        <w:rPr>
          <w:spacing w:val="25"/>
          <w:w w:val="105"/>
        </w:rPr>
        <w:t> </w:t>
      </w:r>
      <w:r>
        <w:rPr>
          <w:w w:val="105"/>
        </w:rPr>
        <w:t>to the</w:t>
      </w:r>
      <w:r>
        <w:rPr>
          <w:spacing w:val="26"/>
          <w:w w:val="105"/>
        </w:rPr>
        <w:t> </w:t>
      </w:r>
      <w:r>
        <w:rPr>
          <w:w w:val="105"/>
        </w:rPr>
        <w:t>traditional</w:t>
      </w:r>
      <w:r>
        <w:rPr>
          <w:spacing w:val="26"/>
          <w:w w:val="105"/>
        </w:rPr>
        <w:t> </w:t>
      </w:r>
      <w:r>
        <w:rPr>
          <w:w w:val="105"/>
        </w:rPr>
        <w:t>in-person</w:t>
      </w:r>
      <w:r>
        <w:rPr>
          <w:spacing w:val="26"/>
          <w:w w:val="105"/>
        </w:rPr>
        <w:t> </w:t>
      </w:r>
      <w:r>
        <w:rPr>
          <w:w w:val="105"/>
        </w:rPr>
        <w:t>meeting</w:t>
      </w:r>
      <w:r>
        <w:rPr>
          <w:spacing w:val="26"/>
          <w:w w:val="105"/>
        </w:rPr>
        <w:t> </w:t>
      </w:r>
      <w:r>
        <w:rPr>
          <w:w w:val="105"/>
        </w:rPr>
        <w:t>format</w:t>
      </w:r>
      <w:r>
        <w:rPr>
          <w:spacing w:val="26"/>
          <w:w w:val="105"/>
        </w:rPr>
        <w:t> </w:t>
      </w:r>
      <w:r>
        <w:rPr>
          <w:w w:val="105"/>
        </w:rPr>
        <w:t>and</w:t>
      </w:r>
      <w:r>
        <w:rPr>
          <w:spacing w:val="26"/>
          <w:w w:val="105"/>
        </w:rPr>
        <w:t> </w:t>
      </w:r>
      <w:r>
        <w:rPr>
          <w:w w:val="105"/>
        </w:rPr>
        <w:t>takes</w:t>
      </w:r>
      <w:r>
        <w:rPr>
          <w:spacing w:val="26"/>
          <w:w w:val="105"/>
        </w:rPr>
        <w:t> </w:t>
      </w:r>
      <w:r>
        <w:rPr>
          <w:w w:val="105"/>
        </w:rPr>
        <w:t>the</w:t>
      </w:r>
      <w:r>
        <w:rPr>
          <w:spacing w:val="26"/>
          <w:w w:val="105"/>
        </w:rPr>
        <w:t> </w:t>
      </w:r>
      <w:r>
        <w:rPr>
          <w:w w:val="105"/>
        </w:rPr>
        <w:t>following</w:t>
      </w:r>
      <w:r>
        <w:rPr>
          <w:spacing w:val="26"/>
          <w:w w:val="105"/>
        </w:rPr>
        <w:t> </w:t>
      </w:r>
      <w:r>
        <w:rPr>
          <w:w w:val="105"/>
        </w:rPr>
        <w:t>steps</w:t>
      </w:r>
      <w:r>
        <w:rPr>
          <w:spacing w:val="26"/>
          <w:w w:val="105"/>
        </w:rPr>
        <w:t> </w:t>
      </w:r>
      <w:r>
        <w:rPr>
          <w:w w:val="105"/>
        </w:rPr>
        <w:t>to</w:t>
      </w:r>
      <w:r>
        <w:rPr>
          <w:spacing w:val="26"/>
          <w:w w:val="105"/>
        </w:rPr>
        <w:t> </w:t>
      </w:r>
      <w:r>
        <w:rPr>
          <w:w w:val="105"/>
        </w:rPr>
        <w:t>ensure</w:t>
      </w:r>
      <w:r>
        <w:rPr>
          <w:spacing w:val="26"/>
          <w:w w:val="105"/>
        </w:rPr>
        <w:t> </w:t>
      </w:r>
      <w:r>
        <w:rPr>
          <w:w w:val="105"/>
        </w:rPr>
        <w:t>such</w:t>
      </w:r>
      <w:r>
        <w:rPr>
          <w:spacing w:val="26"/>
          <w:w w:val="105"/>
        </w:rPr>
        <w:t> </w:t>
      </w:r>
      <w:r>
        <w:rPr>
          <w:w w:val="105"/>
        </w:rPr>
        <w:t>an</w:t>
      </w:r>
      <w:r>
        <w:rPr>
          <w:spacing w:val="26"/>
          <w:w w:val="105"/>
        </w:rPr>
        <w:t> </w:t>
      </w:r>
      <w:r>
        <w:rPr>
          <w:w w:val="105"/>
        </w:rPr>
        <w:t>experience:</w:t>
      </w:r>
    </w:p>
    <w:p>
      <w:pPr>
        <w:pStyle w:val="ListParagraph"/>
        <w:numPr>
          <w:ilvl w:val="0"/>
          <w:numId w:val="7"/>
        </w:numPr>
        <w:tabs>
          <w:tab w:pos="1960" w:val="left" w:leader="none"/>
        </w:tabs>
        <w:spacing w:line="259" w:lineRule="auto" w:before="113" w:after="0"/>
        <w:ind w:left="1959" w:right="1527" w:hanging="187"/>
        <w:jc w:val="left"/>
        <w:rPr>
          <w:sz w:val="18"/>
        </w:rPr>
      </w:pPr>
      <w:r>
        <w:rPr>
          <w:w w:val="105"/>
          <w:sz w:val="18"/>
        </w:rPr>
        <w:t>providing stockholders with the ability to submit appropriate questions in advance of the meeting to</w:t>
      </w:r>
      <w:r>
        <w:rPr>
          <w:spacing w:val="40"/>
          <w:w w:val="105"/>
          <w:sz w:val="18"/>
        </w:rPr>
        <w:t> </w:t>
      </w:r>
      <w:r>
        <w:rPr>
          <w:w w:val="105"/>
          <w:sz w:val="18"/>
        </w:rPr>
        <w:t>ensure thoughtful responses from management and the Board;</w:t>
      </w:r>
    </w:p>
    <w:p>
      <w:pPr>
        <w:pStyle w:val="ListParagraph"/>
        <w:numPr>
          <w:ilvl w:val="0"/>
          <w:numId w:val="7"/>
        </w:numPr>
        <w:tabs>
          <w:tab w:pos="1960" w:val="left" w:leader="none"/>
        </w:tabs>
        <w:spacing w:line="240" w:lineRule="auto" w:before="112" w:after="0"/>
        <w:ind w:left="1959" w:right="0" w:hanging="188"/>
        <w:jc w:val="left"/>
        <w:rPr>
          <w:sz w:val="18"/>
        </w:rPr>
      </w:pPr>
      <w:r>
        <w:rPr>
          <w:w w:val="105"/>
          <w:sz w:val="18"/>
        </w:rPr>
        <w:t>providing</w:t>
      </w:r>
      <w:r>
        <w:rPr>
          <w:spacing w:val="13"/>
          <w:w w:val="105"/>
          <w:sz w:val="18"/>
        </w:rPr>
        <w:t> </w:t>
      </w:r>
      <w:r>
        <w:rPr>
          <w:w w:val="105"/>
          <w:sz w:val="18"/>
        </w:rPr>
        <w:t>stockholders</w:t>
      </w:r>
      <w:r>
        <w:rPr>
          <w:spacing w:val="14"/>
          <w:w w:val="105"/>
          <w:sz w:val="18"/>
        </w:rPr>
        <w:t> </w:t>
      </w:r>
      <w:r>
        <w:rPr>
          <w:w w:val="105"/>
          <w:sz w:val="18"/>
        </w:rPr>
        <w:t>with</w:t>
      </w:r>
      <w:r>
        <w:rPr>
          <w:spacing w:val="14"/>
          <w:w w:val="105"/>
          <w:sz w:val="18"/>
        </w:rPr>
        <w:t> </w:t>
      </w:r>
      <w:r>
        <w:rPr>
          <w:w w:val="105"/>
          <w:sz w:val="18"/>
        </w:rPr>
        <w:t>the</w:t>
      </w:r>
      <w:r>
        <w:rPr>
          <w:spacing w:val="14"/>
          <w:w w:val="105"/>
          <w:sz w:val="18"/>
        </w:rPr>
        <w:t> </w:t>
      </w:r>
      <w:r>
        <w:rPr>
          <w:w w:val="105"/>
          <w:sz w:val="18"/>
        </w:rPr>
        <w:t>ability</w:t>
      </w:r>
      <w:r>
        <w:rPr>
          <w:spacing w:val="14"/>
          <w:w w:val="105"/>
          <w:sz w:val="18"/>
        </w:rPr>
        <w:t> </w:t>
      </w:r>
      <w:r>
        <w:rPr>
          <w:w w:val="105"/>
          <w:sz w:val="18"/>
        </w:rPr>
        <w:t>to</w:t>
      </w:r>
      <w:r>
        <w:rPr>
          <w:spacing w:val="14"/>
          <w:w w:val="105"/>
          <w:sz w:val="18"/>
        </w:rPr>
        <w:t> </w:t>
      </w:r>
      <w:r>
        <w:rPr>
          <w:w w:val="105"/>
          <w:sz w:val="18"/>
        </w:rPr>
        <w:t>submit</w:t>
      </w:r>
      <w:r>
        <w:rPr>
          <w:spacing w:val="14"/>
          <w:w w:val="105"/>
          <w:sz w:val="18"/>
        </w:rPr>
        <w:t> </w:t>
      </w:r>
      <w:r>
        <w:rPr>
          <w:w w:val="105"/>
          <w:sz w:val="18"/>
        </w:rPr>
        <w:t>appropriate</w:t>
      </w:r>
      <w:r>
        <w:rPr>
          <w:spacing w:val="13"/>
          <w:w w:val="105"/>
          <w:sz w:val="18"/>
        </w:rPr>
        <w:t> </w:t>
      </w:r>
      <w:r>
        <w:rPr>
          <w:w w:val="105"/>
          <w:sz w:val="18"/>
        </w:rPr>
        <w:t>questions</w:t>
      </w:r>
      <w:r>
        <w:rPr>
          <w:spacing w:val="14"/>
          <w:w w:val="105"/>
          <w:sz w:val="18"/>
        </w:rPr>
        <w:t> </w:t>
      </w:r>
      <w:r>
        <w:rPr>
          <w:w w:val="105"/>
          <w:sz w:val="18"/>
        </w:rPr>
        <w:t>real-time</w:t>
      </w:r>
      <w:r>
        <w:rPr>
          <w:spacing w:val="14"/>
          <w:w w:val="105"/>
          <w:sz w:val="18"/>
        </w:rPr>
        <w:t> </w:t>
      </w:r>
      <w:r>
        <w:rPr>
          <w:w w:val="105"/>
          <w:sz w:val="18"/>
        </w:rPr>
        <w:t>during</w:t>
      </w:r>
      <w:r>
        <w:rPr>
          <w:spacing w:val="14"/>
          <w:w w:val="105"/>
          <w:sz w:val="18"/>
        </w:rPr>
        <w:t> </w:t>
      </w:r>
      <w:r>
        <w:rPr>
          <w:w w:val="105"/>
          <w:sz w:val="18"/>
        </w:rPr>
        <w:t>the</w:t>
      </w:r>
      <w:r>
        <w:rPr>
          <w:spacing w:val="14"/>
          <w:w w:val="105"/>
          <w:sz w:val="18"/>
        </w:rPr>
        <w:t> </w:t>
      </w:r>
      <w:r>
        <w:rPr>
          <w:spacing w:val="-2"/>
          <w:w w:val="105"/>
          <w:sz w:val="18"/>
        </w:rPr>
        <w:t>meeting;</w:t>
      </w:r>
    </w:p>
    <w:p>
      <w:pPr>
        <w:pStyle w:val="ListParagraph"/>
        <w:numPr>
          <w:ilvl w:val="0"/>
          <w:numId w:val="7"/>
        </w:numPr>
        <w:tabs>
          <w:tab w:pos="1960" w:val="left" w:leader="none"/>
        </w:tabs>
        <w:spacing w:line="259" w:lineRule="auto" w:before="128" w:after="0"/>
        <w:ind w:left="1959" w:right="1538" w:hanging="187"/>
        <w:jc w:val="left"/>
        <w:rPr>
          <w:sz w:val="18"/>
        </w:rPr>
      </w:pPr>
      <w:r>
        <w:rPr>
          <w:w w:val="105"/>
          <w:sz w:val="18"/>
        </w:rPr>
        <w:t>answering</w:t>
      </w:r>
      <w:r>
        <w:rPr>
          <w:spacing w:val="15"/>
          <w:w w:val="105"/>
          <w:sz w:val="18"/>
        </w:rPr>
        <w:t> </w:t>
      </w:r>
      <w:r>
        <w:rPr>
          <w:w w:val="105"/>
          <w:sz w:val="18"/>
        </w:rPr>
        <w:t>as</w:t>
      </w:r>
      <w:r>
        <w:rPr>
          <w:spacing w:val="15"/>
          <w:w w:val="105"/>
          <w:sz w:val="18"/>
        </w:rPr>
        <w:t> </w:t>
      </w:r>
      <w:r>
        <w:rPr>
          <w:w w:val="105"/>
          <w:sz w:val="18"/>
        </w:rPr>
        <w:t>many</w:t>
      </w:r>
      <w:r>
        <w:rPr>
          <w:spacing w:val="15"/>
          <w:w w:val="105"/>
          <w:sz w:val="18"/>
        </w:rPr>
        <w:t> </w:t>
      </w:r>
      <w:r>
        <w:rPr>
          <w:w w:val="105"/>
          <w:sz w:val="18"/>
        </w:rPr>
        <w:t>questions</w:t>
      </w:r>
      <w:r>
        <w:rPr>
          <w:spacing w:val="15"/>
          <w:w w:val="105"/>
          <w:sz w:val="18"/>
        </w:rPr>
        <w:t> </w:t>
      </w:r>
      <w:r>
        <w:rPr>
          <w:w w:val="105"/>
          <w:sz w:val="18"/>
        </w:rPr>
        <w:t>submitted</w:t>
      </w:r>
      <w:r>
        <w:rPr>
          <w:spacing w:val="15"/>
          <w:w w:val="105"/>
          <w:sz w:val="18"/>
        </w:rPr>
        <w:t> </w:t>
      </w:r>
      <w:r>
        <w:rPr>
          <w:w w:val="105"/>
          <w:sz w:val="18"/>
        </w:rPr>
        <w:t>in</w:t>
      </w:r>
      <w:r>
        <w:rPr>
          <w:spacing w:val="15"/>
          <w:w w:val="105"/>
          <w:sz w:val="18"/>
        </w:rPr>
        <w:t> </w:t>
      </w:r>
      <w:r>
        <w:rPr>
          <w:w w:val="105"/>
          <w:sz w:val="18"/>
        </w:rPr>
        <w:t>accordance</w:t>
      </w:r>
      <w:r>
        <w:rPr>
          <w:spacing w:val="15"/>
          <w:w w:val="105"/>
          <w:sz w:val="18"/>
        </w:rPr>
        <w:t> </w:t>
      </w:r>
      <w:r>
        <w:rPr>
          <w:w w:val="105"/>
          <w:sz w:val="18"/>
        </w:rPr>
        <w:t>with</w:t>
      </w:r>
      <w:r>
        <w:rPr>
          <w:spacing w:val="15"/>
          <w:w w:val="105"/>
          <w:sz w:val="18"/>
        </w:rPr>
        <w:t> </w:t>
      </w:r>
      <w:r>
        <w:rPr>
          <w:w w:val="105"/>
          <w:sz w:val="18"/>
        </w:rPr>
        <w:t>the</w:t>
      </w:r>
      <w:r>
        <w:rPr>
          <w:spacing w:val="15"/>
          <w:w w:val="105"/>
          <w:sz w:val="18"/>
        </w:rPr>
        <w:t> </w:t>
      </w:r>
      <w:r>
        <w:rPr>
          <w:w w:val="105"/>
          <w:sz w:val="18"/>
        </w:rPr>
        <w:t>meeting</w:t>
      </w:r>
      <w:r>
        <w:rPr>
          <w:spacing w:val="15"/>
          <w:w w:val="105"/>
          <w:sz w:val="18"/>
        </w:rPr>
        <w:t> </w:t>
      </w:r>
      <w:r>
        <w:rPr>
          <w:w w:val="105"/>
          <w:sz w:val="18"/>
        </w:rPr>
        <w:t>rules</w:t>
      </w:r>
      <w:r>
        <w:rPr>
          <w:spacing w:val="15"/>
          <w:w w:val="105"/>
          <w:sz w:val="18"/>
        </w:rPr>
        <w:t> </w:t>
      </w:r>
      <w:r>
        <w:rPr>
          <w:w w:val="105"/>
          <w:sz w:val="18"/>
        </w:rPr>
        <w:t>of</w:t>
      </w:r>
      <w:r>
        <w:rPr>
          <w:spacing w:val="15"/>
          <w:w w:val="105"/>
          <w:sz w:val="18"/>
        </w:rPr>
        <w:t> </w:t>
      </w:r>
      <w:r>
        <w:rPr>
          <w:w w:val="105"/>
          <w:sz w:val="18"/>
        </w:rPr>
        <w:t>conduct</w:t>
      </w:r>
      <w:r>
        <w:rPr>
          <w:spacing w:val="15"/>
          <w:w w:val="105"/>
          <w:sz w:val="18"/>
        </w:rPr>
        <w:t> </w:t>
      </w:r>
      <w:r>
        <w:rPr>
          <w:w w:val="105"/>
          <w:sz w:val="18"/>
        </w:rPr>
        <w:t>as</w:t>
      </w:r>
      <w:r>
        <w:rPr>
          <w:spacing w:val="15"/>
          <w:w w:val="105"/>
          <w:sz w:val="18"/>
        </w:rPr>
        <w:t> </w:t>
      </w:r>
      <w:r>
        <w:rPr>
          <w:w w:val="105"/>
          <w:sz w:val="18"/>
        </w:rPr>
        <w:t>possible in the time allotted for the meeting without discrimination;</w:t>
      </w:r>
    </w:p>
    <w:p>
      <w:pPr>
        <w:pStyle w:val="ListParagraph"/>
        <w:numPr>
          <w:ilvl w:val="0"/>
          <w:numId w:val="7"/>
        </w:numPr>
        <w:tabs>
          <w:tab w:pos="1960" w:val="left" w:leader="none"/>
        </w:tabs>
        <w:spacing w:line="259" w:lineRule="auto" w:before="112" w:after="0"/>
        <w:ind w:left="1959" w:right="1789" w:hanging="187"/>
        <w:jc w:val="left"/>
        <w:rPr>
          <w:sz w:val="18"/>
        </w:rPr>
      </w:pPr>
      <w:r>
        <w:rPr>
          <w:w w:val="105"/>
          <w:sz w:val="18"/>
        </w:rPr>
        <w:t>publishing all questions submitted in accordance with the meeting rules of conduct with answers following the meeting, including those not addressed directly during the meeting; and</w:t>
      </w:r>
    </w:p>
    <w:p>
      <w:pPr>
        <w:pStyle w:val="ListParagraph"/>
        <w:numPr>
          <w:ilvl w:val="0"/>
          <w:numId w:val="7"/>
        </w:numPr>
        <w:tabs>
          <w:tab w:pos="1960" w:val="left" w:leader="none"/>
        </w:tabs>
        <w:spacing w:line="259" w:lineRule="auto" w:before="112" w:after="0"/>
        <w:ind w:left="1959" w:right="1553" w:hanging="187"/>
        <w:jc w:val="left"/>
        <w:rPr>
          <w:sz w:val="18"/>
        </w:rPr>
      </w:pPr>
      <w:r>
        <w:rPr>
          <w:w w:val="105"/>
          <w:sz w:val="18"/>
        </w:rPr>
        <w:t>offering</w:t>
      </w:r>
      <w:r>
        <w:rPr>
          <w:spacing w:val="21"/>
          <w:w w:val="105"/>
          <w:sz w:val="18"/>
        </w:rPr>
        <w:t> </w:t>
      </w:r>
      <w:r>
        <w:rPr>
          <w:w w:val="105"/>
          <w:sz w:val="18"/>
        </w:rPr>
        <w:t>separate</w:t>
      </w:r>
      <w:r>
        <w:rPr>
          <w:spacing w:val="21"/>
          <w:w w:val="105"/>
          <w:sz w:val="18"/>
        </w:rPr>
        <w:t> </w:t>
      </w:r>
      <w:r>
        <w:rPr>
          <w:w w:val="105"/>
          <w:sz w:val="18"/>
        </w:rPr>
        <w:t>engagement</w:t>
      </w:r>
      <w:r>
        <w:rPr>
          <w:spacing w:val="21"/>
          <w:w w:val="105"/>
          <w:sz w:val="18"/>
        </w:rPr>
        <w:t> </w:t>
      </w:r>
      <w:r>
        <w:rPr>
          <w:w w:val="105"/>
          <w:sz w:val="18"/>
        </w:rPr>
        <w:t>opportunities</w:t>
      </w:r>
      <w:r>
        <w:rPr>
          <w:spacing w:val="21"/>
          <w:w w:val="105"/>
          <w:sz w:val="18"/>
        </w:rPr>
        <w:t> </w:t>
      </w:r>
      <w:r>
        <w:rPr>
          <w:w w:val="105"/>
          <w:sz w:val="18"/>
        </w:rPr>
        <w:t>with</w:t>
      </w:r>
      <w:r>
        <w:rPr>
          <w:spacing w:val="21"/>
          <w:w w:val="105"/>
          <w:sz w:val="18"/>
        </w:rPr>
        <w:t> </w:t>
      </w:r>
      <w:r>
        <w:rPr>
          <w:w w:val="105"/>
          <w:sz w:val="18"/>
        </w:rPr>
        <w:t>stockholders</w:t>
      </w:r>
      <w:r>
        <w:rPr>
          <w:spacing w:val="21"/>
          <w:w w:val="105"/>
          <w:sz w:val="18"/>
        </w:rPr>
        <w:t> </w:t>
      </w:r>
      <w:r>
        <w:rPr>
          <w:w w:val="105"/>
          <w:sz w:val="18"/>
        </w:rPr>
        <w:t>on</w:t>
      </w:r>
      <w:r>
        <w:rPr>
          <w:spacing w:val="21"/>
          <w:w w:val="105"/>
          <w:sz w:val="18"/>
        </w:rPr>
        <w:t> </w:t>
      </w:r>
      <w:r>
        <w:rPr>
          <w:w w:val="105"/>
          <w:sz w:val="18"/>
        </w:rPr>
        <w:t>appropriate</w:t>
      </w:r>
      <w:r>
        <w:rPr>
          <w:spacing w:val="21"/>
          <w:w w:val="105"/>
          <w:sz w:val="18"/>
        </w:rPr>
        <w:t> </w:t>
      </w:r>
      <w:r>
        <w:rPr>
          <w:w w:val="105"/>
          <w:sz w:val="18"/>
        </w:rPr>
        <w:t>matters</w:t>
      </w:r>
      <w:r>
        <w:rPr>
          <w:spacing w:val="21"/>
          <w:w w:val="105"/>
          <w:sz w:val="18"/>
        </w:rPr>
        <w:t> </w:t>
      </w:r>
      <w:r>
        <w:rPr>
          <w:w w:val="105"/>
          <w:sz w:val="18"/>
        </w:rPr>
        <w:t>of</w:t>
      </w:r>
      <w:r>
        <w:rPr>
          <w:spacing w:val="21"/>
          <w:w w:val="105"/>
          <w:sz w:val="18"/>
        </w:rPr>
        <w:t> </w:t>
      </w:r>
      <w:r>
        <w:rPr>
          <w:w w:val="105"/>
          <w:sz w:val="18"/>
        </w:rPr>
        <w:t>governance or other relevant topics as outlined above under the General Information section in this Proxy </w:t>
      </w:r>
      <w:r>
        <w:rPr>
          <w:spacing w:val="-2"/>
          <w:w w:val="105"/>
          <w:sz w:val="18"/>
        </w:rPr>
        <w:t>Statement.</w:t>
      </w:r>
    </w:p>
    <w:p>
      <w:pPr>
        <w:spacing w:after="0" w:line="259" w:lineRule="auto"/>
        <w:jc w:val="left"/>
        <w:rPr>
          <w:sz w:val="18"/>
        </w:rPr>
        <w:sectPr>
          <w:headerReference w:type="default" r:id="rId39"/>
          <w:footerReference w:type="default" r:id="rId40"/>
          <w:pgSz w:w="12240" w:h="15840"/>
          <w:pgMar w:header="529" w:footer="2015" w:top="720" w:bottom="2200" w:left="480" w:right="460"/>
        </w:sectPr>
      </w:pPr>
    </w:p>
    <w:p>
      <w:pPr>
        <w:pStyle w:val="BodyText"/>
        <w:rPr>
          <w:sz w:val="20"/>
        </w:rPr>
      </w:pPr>
    </w:p>
    <w:p>
      <w:pPr>
        <w:pStyle w:val="BodyText"/>
        <w:rPr>
          <w:sz w:val="20"/>
        </w:rPr>
      </w:pPr>
    </w:p>
    <w:p>
      <w:pPr>
        <w:pStyle w:val="BodyText"/>
        <w:spacing w:before="2"/>
        <w:rPr>
          <w:sz w:val="27"/>
        </w:rPr>
      </w:pPr>
    </w:p>
    <w:p>
      <w:pPr>
        <w:pStyle w:val="Heading1"/>
        <w:spacing w:line="259" w:lineRule="auto"/>
        <w:ind w:left="4472" w:right="4466"/>
      </w:pPr>
      <w:bookmarkStart w:name="_TOC_250039" w:id="4"/>
      <w:r>
        <w:rPr>
          <w:w w:val="105"/>
        </w:rPr>
        <w:t>PROPOSAL</w:t>
      </w:r>
      <w:r>
        <w:rPr>
          <w:spacing w:val="-20"/>
          <w:w w:val="105"/>
        </w:rPr>
        <w:t> </w:t>
      </w:r>
      <w:r>
        <w:rPr>
          <w:w w:val="105"/>
        </w:rPr>
        <w:t>ONE </w:t>
      </w:r>
      <w:r>
        <w:rPr/>
        <w:t>ELECTION</w:t>
      </w:r>
      <w:r>
        <w:rPr>
          <w:spacing w:val="-12"/>
        </w:rPr>
        <w:t> </w:t>
      </w:r>
      <w:r>
        <w:rPr/>
        <w:t>OF</w:t>
      </w:r>
      <w:r>
        <w:rPr>
          <w:spacing w:val="-13"/>
        </w:rPr>
        <w:t> </w:t>
      </w:r>
      <w:bookmarkEnd w:id="4"/>
      <w:r>
        <w:rPr/>
        <w:t>DIRECTORS</w:t>
      </w:r>
    </w:p>
    <w:p>
      <w:pPr>
        <w:pStyle w:val="BodyText"/>
        <w:spacing w:before="7"/>
        <w:rPr>
          <w:b/>
          <w:sz w:val="12"/>
        </w:rPr>
      </w:pPr>
      <w:r>
        <w:rPr/>
        <w:pict>
          <v:shape style="position:absolute;margin-left:94.355782pt;margin-top:8.800778pt;width:424.3pt;height:36.35pt;mso-position-horizontal-relative:page;mso-position-vertical-relative:paragraph;z-index:-15717376;mso-wrap-distance-left:0;mso-wrap-distance-right:0" type="#_x0000_t202" id="docshape95" filled="false" stroked="true" strokeweight=".698992pt" strokecolor="#000000">
            <v:textbox inset="0,0,0,0">
              <w:txbxContent>
                <w:p>
                  <w:pPr>
                    <w:pStyle w:val="BodyText"/>
                    <w:spacing w:line="259" w:lineRule="auto" w:before="153"/>
                    <w:ind w:left="2945" w:right="2947" w:hanging="1"/>
                    <w:jc w:val="center"/>
                  </w:pPr>
                  <w:r>
                    <w:rPr>
                      <w:w w:val="105"/>
                    </w:rPr>
                    <w:t>BOARD RECOMMENDATION VOTE</w:t>
                  </w:r>
                  <w:r>
                    <w:rPr>
                      <w:spacing w:val="-1"/>
                      <w:w w:val="105"/>
                    </w:rPr>
                    <w:t> </w:t>
                  </w:r>
                  <w:r>
                    <w:rPr>
                      <w:w w:val="105"/>
                    </w:rPr>
                    <w:t>“</w:t>
                  </w:r>
                  <w:r>
                    <w:rPr>
                      <w:b/>
                      <w:w w:val="105"/>
                    </w:rPr>
                    <w:t>FOR</w:t>
                  </w:r>
                  <w:r>
                    <w:rPr>
                      <w:w w:val="105"/>
                    </w:rPr>
                    <w:t>”</w:t>
                  </w:r>
                  <w:r>
                    <w:rPr>
                      <w:spacing w:val="-4"/>
                      <w:w w:val="105"/>
                    </w:rPr>
                    <w:t> </w:t>
                  </w:r>
                  <w:r>
                    <w:rPr>
                      <w:w w:val="105"/>
                    </w:rPr>
                    <w:t>THE</w:t>
                  </w:r>
                  <w:r>
                    <w:rPr>
                      <w:spacing w:val="-1"/>
                      <w:w w:val="105"/>
                    </w:rPr>
                    <w:t> </w:t>
                  </w:r>
                  <w:r>
                    <w:rPr>
                      <w:spacing w:val="-2"/>
                      <w:w w:val="105"/>
                    </w:rPr>
                    <w:t>NOMINEES</w:t>
                  </w:r>
                </w:p>
              </w:txbxContent>
            </v:textbox>
            <v:stroke dashstyle="solid"/>
            <w10:wrap type="topAndBottom"/>
          </v:shape>
        </w:pict>
      </w:r>
    </w:p>
    <w:p>
      <w:pPr>
        <w:pStyle w:val="BodyText"/>
        <w:spacing w:before="3"/>
        <w:rPr>
          <w:b/>
          <w:sz w:val="10"/>
        </w:rPr>
      </w:pPr>
    </w:p>
    <w:p>
      <w:pPr>
        <w:pStyle w:val="Heading2"/>
        <w:spacing w:before="98"/>
      </w:pPr>
      <w:bookmarkStart w:name="_TOC_250038" w:id="5"/>
      <w:r>
        <w:rPr/>
        <w:t>Our</w:t>
      </w:r>
      <w:r>
        <w:rPr>
          <w:spacing w:val="-14"/>
        </w:rPr>
        <w:t> </w:t>
      </w:r>
      <w:r>
        <w:rPr/>
        <w:t>Board;</w:t>
      </w:r>
      <w:r>
        <w:rPr>
          <w:spacing w:val="-11"/>
        </w:rPr>
        <w:t> </w:t>
      </w:r>
      <w:r>
        <w:rPr/>
        <w:t>Selection</w:t>
      </w:r>
      <w:r>
        <w:rPr>
          <w:spacing w:val="-9"/>
        </w:rPr>
        <w:t> </w:t>
      </w:r>
      <w:r>
        <w:rPr/>
        <w:t>of</w:t>
      </w:r>
      <w:r>
        <w:rPr>
          <w:spacing w:val="-9"/>
        </w:rPr>
        <w:t> </w:t>
      </w:r>
      <w:bookmarkEnd w:id="5"/>
      <w:r>
        <w:rPr>
          <w:spacing w:val="-2"/>
        </w:rPr>
        <w:t>Nominees</w:t>
      </w:r>
    </w:p>
    <w:p>
      <w:pPr>
        <w:pStyle w:val="BodyText"/>
        <w:spacing w:line="249" w:lineRule="auto" w:before="157"/>
        <w:ind w:left="1400" w:right="1680" w:firstLine="372"/>
      </w:pPr>
      <w:r>
        <w:rPr>
          <w:w w:val="105"/>
        </w:rPr>
        <w:t>At this Annual Meeting, you and the other stockholders will elect seven individuals to serve as</w:t>
      </w:r>
      <w:r>
        <w:rPr>
          <w:spacing w:val="80"/>
          <w:w w:val="105"/>
        </w:rPr>
        <w:t> </w:t>
      </w:r>
      <w:r>
        <w:rPr>
          <w:w w:val="105"/>
        </w:rPr>
        <w:t>directors. Our entire Board is subject to election at each annual meeting of stockholders, and each director</w:t>
      </w:r>
      <w:r>
        <w:rPr>
          <w:spacing w:val="40"/>
          <w:w w:val="105"/>
        </w:rPr>
        <w:t> </w:t>
      </w:r>
      <w:r>
        <w:rPr>
          <w:w w:val="105"/>
        </w:rPr>
        <w:t>will serve until his or her successor has been elected, unless such director dies, resigns, retires or is</w:t>
      </w:r>
      <w:r>
        <w:rPr>
          <w:spacing w:val="40"/>
          <w:w w:val="105"/>
        </w:rPr>
        <w:t> </w:t>
      </w:r>
      <w:r>
        <w:rPr>
          <w:w w:val="105"/>
        </w:rPr>
        <w:t>disqualified or removed.</w:t>
      </w:r>
    </w:p>
    <w:p>
      <w:pPr>
        <w:pStyle w:val="BodyText"/>
        <w:spacing w:line="249" w:lineRule="auto" w:before="145"/>
        <w:ind w:left="1400" w:right="1530" w:firstLine="372"/>
      </w:pPr>
      <w:r>
        <w:rPr>
          <w:w w:val="105"/>
        </w:rPr>
        <w:t>After</w:t>
      </w:r>
      <w:r>
        <w:rPr>
          <w:spacing w:val="19"/>
          <w:w w:val="105"/>
        </w:rPr>
        <w:t> </w:t>
      </w:r>
      <w:r>
        <w:rPr>
          <w:w w:val="105"/>
        </w:rPr>
        <w:t>six</w:t>
      </w:r>
      <w:r>
        <w:rPr>
          <w:spacing w:val="19"/>
          <w:w w:val="105"/>
        </w:rPr>
        <w:t> </w:t>
      </w:r>
      <w:r>
        <w:rPr>
          <w:w w:val="105"/>
        </w:rPr>
        <w:t>years</w:t>
      </w:r>
      <w:r>
        <w:rPr>
          <w:spacing w:val="19"/>
          <w:w w:val="105"/>
        </w:rPr>
        <w:t> </w:t>
      </w:r>
      <w:r>
        <w:rPr>
          <w:w w:val="105"/>
        </w:rPr>
        <w:t>of</w:t>
      </w:r>
      <w:r>
        <w:rPr>
          <w:spacing w:val="19"/>
          <w:w w:val="105"/>
        </w:rPr>
        <w:t> </w:t>
      </w:r>
      <w:r>
        <w:rPr>
          <w:w w:val="105"/>
        </w:rPr>
        <w:t>service</w:t>
      </w:r>
      <w:r>
        <w:rPr>
          <w:spacing w:val="19"/>
          <w:w w:val="105"/>
        </w:rPr>
        <w:t> </w:t>
      </w:r>
      <w:r>
        <w:rPr>
          <w:w w:val="105"/>
        </w:rPr>
        <w:t>on</w:t>
      </w:r>
      <w:r>
        <w:rPr>
          <w:spacing w:val="19"/>
          <w:w w:val="105"/>
        </w:rPr>
        <w:t> </w:t>
      </w:r>
      <w:r>
        <w:rPr>
          <w:w w:val="105"/>
        </w:rPr>
        <w:t>our</w:t>
      </w:r>
      <w:r>
        <w:rPr>
          <w:spacing w:val="19"/>
          <w:w w:val="105"/>
        </w:rPr>
        <w:t> </w:t>
      </w:r>
      <w:r>
        <w:rPr>
          <w:w w:val="105"/>
        </w:rPr>
        <w:t>Board,</w:t>
      </w:r>
      <w:r>
        <w:rPr>
          <w:spacing w:val="19"/>
          <w:w w:val="105"/>
        </w:rPr>
        <w:t> </w:t>
      </w:r>
      <w:r>
        <w:rPr>
          <w:w w:val="105"/>
        </w:rPr>
        <w:t>and</w:t>
      </w:r>
      <w:r>
        <w:rPr>
          <w:spacing w:val="19"/>
          <w:w w:val="105"/>
        </w:rPr>
        <w:t> </w:t>
      </w:r>
      <w:r>
        <w:rPr>
          <w:w w:val="105"/>
        </w:rPr>
        <w:t>another</w:t>
      </w:r>
      <w:r>
        <w:rPr>
          <w:spacing w:val="19"/>
          <w:w w:val="105"/>
        </w:rPr>
        <w:t> </w:t>
      </w:r>
      <w:r>
        <w:rPr>
          <w:w w:val="105"/>
        </w:rPr>
        <w:t>14</w:t>
      </w:r>
      <w:r>
        <w:rPr>
          <w:spacing w:val="19"/>
          <w:w w:val="105"/>
        </w:rPr>
        <w:t> </w:t>
      </w:r>
      <w:r>
        <w:rPr>
          <w:w w:val="105"/>
        </w:rPr>
        <w:t>years</w:t>
      </w:r>
      <w:r>
        <w:rPr>
          <w:spacing w:val="19"/>
          <w:w w:val="105"/>
        </w:rPr>
        <w:t> </w:t>
      </w:r>
      <w:r>
        <w:rPr>
          <w:w w:val="105"/>
        </w:rPr>
        <w:t>of</w:t>
      </w:r>
      <w:r>
        <w:rPr>
          <w:spacing w:val="19"/>
          <w:w w:val="105"/>
        </w:rPr>
        <w:t> </w:t>
      </w:r>
      <w:r>
        <w:rPr>
          <w:w w:val="105"/>
        </w:rPr>
        <w:t>service</w:t>
      </w:r>
      <w:r>
        <w:rPr>
          <w:spacing w:val="19"/>
          <w:w w:val="105"/>
        </w:rPr>
        <w:t> </w:t>
      </w:r>
      <w:r>
        <w:rPr>
          <w:w w:val="105"/>
        </w:rPr>
        <w:t>on</w:t>
      </w:r>
      <w:r>
        <w:rPr>
          <w:spacing w:val="19"/>
          <w:w w:val="105"/>
        </w:rPr>
        <w:t> </w:t>
      </w:r>
      <w:r>
        <w:rPr>
          <w:w w:val="105"/>
        </w:rPr>
        <w:t>the</w:t>
      </w:r>
      <w:r>
        <w:rPr>
          <w:spacing w:val="19"/>
          <w:w w:val="105"/>
        </w:rPr>
        <w:t> </w:t>
      </w:r>
      <w:r>
        <w:rPr>
          <w:w w:val="105"/>
        </w:rPr>
        <w:t>Board</w:t>
      </w:r>
      <w:r>
        <w:rPr>
          <w:spacing w:val="19"/>
          <w:w w:val="105"/>
        </w:rPr>
        <w:t> </w:t>
      </w:r>
      <w:r>
        <w:rPr>
          <w:w w:val="105"/>
        </w:rPr>
        <w:t>of</w:t>
      </w:r>
      <w:r>
        <w:rPr>
          <w:spacing w:val="19"/>
          <w:w w:val="105"/>
        </w:rPr>
        <w:t> </w:t>
      </w:r>
      <w:r>
        <w:rPr>
          <w:w w:val="105"/>
        </w:rPr>
        <w:t>our</w:t>
      </w:r>
      <w:r>
        <w:rPr>
          <w:spacing w:val="19"/>
          <w:w w:val="105"/>
        </w:rPr>
        <w:t> </w:t>
      </w:r>
      <w:r>
        <w:rPr>
          <w:w w:val="105"/>
        </w:rPr>
        <w:t>prior parent company Varian Medical Systems, Inc., Ruediger Naumann-Etienne will be retiring from the Board. We</w:t>
      </w:r>
      <w:r>
        <w:rPr>
          <w:spacing w:val="13"/>
          <w:w w:val="105"/>
        </w:rPr>
        <w:t> </w:t>
      </w:r>
      <w:r>
        <w:rPr>
          <w:w w:val="105"/>
        </w:rPr>
        <w:t>congratulate</w:t>
      </w:r>
      <w:r>
        <w:rPr>
          <w:spacing w:val="13"/>
          <w:w w:val="105"/>
        </w:rPr>
        <w:t> </w:t>
      </w:r>
      <w:r>
        <w:rPr>
          <w:w w:val="105"/>
        </w:rPr>
        <w:t>him</w:t>
      </w:r>
      <w:r>
        <w:rPr>
          <w:spacing w:val="13"/>
          <w:w w:val="105"/>
        </w:rPr>
        <w:t> </w:t>
      </w:r>
      <w:r>
        <w:rPr>
          <w:w w:val="105"/>
        </w:rPr>
        <w:t>on</w:t>
      </w:r>
      <w:r>
        <w:rPr>
          <w:spacing w:val="13"/>
          <w:w w:val="105"/>
        </w:rPr>
        <w:t> </w:t>
      </w:r>
      <w:r>
        <w:rPr>
          <w:w w:val="105"/>
        </w:rPr>
        <w:t>his</w:t>
      </w:r>
      <w:r>
        <w:rPr>
          <w:spacing w:val="13"/>
          <w:w w:val="105"/>
        </w:rPr>
        <w:t> </w:t>
      </w:r>
      <w:r>
        <w:rPr>
          <w:w w:val="105"/>
        </w:rPr>
        <w:t>retirement</w:t>
      </w:r>
      <w:r>
        <w:rPr>
          <w:spacing w:val="13"/>
          <w:w w:val="105"/>
        </w:rPr>
        <w:t> </w:t>
      </w:r>
      <w:r>
        <w:rPr>
          <w:w w:val="105"/>
        </w:rPr>
        <w:t>and</w:t>
      </w:r>
      <w:r>
        <w:rPr>
          <w:spacing w:val="13"/>
          <w:w w:val="105"/>
        </w:rPr>
        <w:t> </w:t>
      </w:r>
      <w:r>
        <w:rPr>
          <w:w w:val="105"/>
        </w:rPr>
        <w:t>thank</w:t>
      </w:r>
      <w:r>
        <w:rPr>
          <w:spacing w:val="13"/>
          <w:w w:val="105"/>
        </w:rPr>
        <w:t> </w:t>
      </w:r>
      <w:r>
        <w:rPr>
          <w:w w:val="105"/>
        </w:rPr>
        <w:t>him</w:t>
      </w:r>
      <w:r>
        <w:rPr>
          <w:spacing w:val="13"/>
          <w:w w:val="105"/>
        </w:rPr>
        <w:t> </w:t>
      </w:r>
      <w:r>
        <w:rPr>
          <w:w w:val="105"/>
        </w:rPr>
        <w:t>for</w:t>
      </w:r>
      <w:r>
        <w:rPr>
          <w:spacing w:val="13"/>
          <w:w w:val="105"/>
        </w:rPr>
        <w:t> </w:t>
      </w:r>
      <w:r>
        <w:rPr>
          <w:w w:val="105"/>
        </w:rPr>
        <w:t>his</w:t>
      </w:r>
      <w:r>
        <w:rPr>
          <w:spacing w:val="13"/>
          <w:w w:val="105"/>
        </w:rPr>
        <w:t> </w:t>
      </w:r>
      <w:r>
        <w:rPr>
          <w:w w:val="105"/>
        </w:rPr>
        <w:t>dedicated</w:t>
      </w:r>
      <w:r>
        <w:rPr>
          <w:spacing w:val="13"/>
          <w:w w:val="105"/>
        </w:rPr>
        <w:t> </w:t>
      </w:r>
      <w:r>
        <w:rPr>
          <w:w w:val="105"/>
        </w:rPr>
        <w:t>years</w:t>
      </w:r>
      <w:r>
        <w:rPr>
          <w:spacing w:val="13"/>
          <w:w w:val="105"/>
        </w:rPr>
        <w:t> </w:t>
      </w:r>
      <w:r>
        <w:rPr>
          <w:w w:val="105"/>
        </w:rPr>
        <w:t>of</w:t>
      </w:r>
      <w:r>
        <w:rPr>
          <w:spacing w:val="13"/>
          <w:w w:val="105"/>
        </w:rPr>
        <w:t> </w:t>
      </w:r>
      <w:r>
        <w:rPr>
          <w:w w:val="105"/>
        </w:rPr>
        <w:t>service,</w:t>
      </w:r>
      <w:r>
        <w:rPr>
          <w:spacing w:val="13"/>
          <w:w w:val="105"/>
        </w:rPr>
        <w:t> </w:t>
      </w:r>
      <w:r>
        <w:rPr>
          <w:w w:val="105"/>
        </w:rPr>
        <w:t>including</w:t>
      </w:r>
      <w:r>
        <w:rPr>
          <w:spacing w:val="13"/>
          <w:w w:val="105"/>
        </w:rPr>
        <w:t> </w:t>
      </w:r>
      <w:r>
        <w:rPr>
          <w:w w:val="105"/>
        </w:rPr>
        <w:t>six</w:t>
      </w:r>
      <w:r>
        <w:rPr>
          <w:spacing w:val="13"/>
          <w:w w:val="105"/>
        </w:rPr>
        <w:t> </w:t>
      </w:r>
      <w:r>
        <w:rPr>
          <w:w w:val="105"/>
        </w:rPr>
        <w:t>years as Chair of the Board. We are very grateful for his substantial contributions to the Board, the Company and</w:t>
      </w:r>
      <w:r>
        <w:rPr>
          <w:spacing w:val="40"/>
          <w:w w:val="105"/>
        </w:rPr>
        <w:t> </w:t>
      </w:r>
      <w:r>
        <w:rPr>
          <w:w w:val="105"/>
        </w:rPr>
        <w:t>our</w:t>
      </w:r>
      <w:r>
        <w:rPr>
          <w:spacing w:val="23"/>
          <w:w w:val="105"/>
        </w:rPr>
        <w:t> </w:t>
      </w:r>
      <w:r>
        <w:rPr>
          <w:w w:val="105"/>
        </w:rPr>
        <w:t>stockholders,</w:t>
      </w:r>
      <w:r>
        <w:rPr>
          <w:spacing w:val="23"/>
          <w:w w:val="105"/>
        </w:rPr>
        <w:t> </w:t>
      </w:r>
      <w:r>
        <w:rPr>
          <w:w w:val="105"/>
        </w:rPr>
        <w:t>particularly</w:t>
      </w:r>
      <w:r>
        <w:rPr>
          <w:spacing w:val="23"/>
          <w:w w:val="105"/>
        </w:rPr>
        <w:t> </w:t>
      </w:r>
      <w:r>
        <w:rPr>
          <w:w w:val="105"/>
        </w:rPr>
        <w:t>his</w:t>
      </w:r>
      <w:r>
        <w:rPr>
          <w:spacing w:val="23"/>
          <w:w w:val="105"/>
        </w:rPr>
        <w:t> </w:t>
      </w:r>
      <w:r>
        <w:rPr>
          <w:w w:val="105"/>
        </w:rPr>
        <w:t>important</w:t>
      </w:r>
      <w:r>
        <w:rPr>
          <w:spacing w:val="23"/>
          <w:w w:val="105"/>
        </w:rPr>
        <w:t> </w:t>
      </w:r>
      <w:r>
        <w:rPr>
          <w:w w:val="105"/>
        </w:rPr>
        <w:t>perspectives</w:t>
      </w:r>
      <w:r>
        <w:rPr>
          <w:spacing w:val="23"/>
          <w:w w:val="105"/>
        </w:rPr>
        <w:t> </w:t>
      </w:r>
      <w:r>
        <w:rPr>
          <w:w w:val="105"/>
        </w:rPr>
        <w:t>as</w:t>
      </w:r>
      <w:r>
        <w:rPr>
          <w:spacing w:val="23"/>
          <w:w w:val="105"/>
        </w:rPr>
        <w:t> </w:t>
      </w:r>
      <w:r>
        <w:rPr>
          <w:w w:val="105"/>
        </w:rPr>
        <w:t>the</w:t>
      </w:r>
      <w:r>
        <w:rPr>
          <w:spacing w:val="23"/>
          <w:w w:val="105"/>
        </w:rPr>
        <w:t> </w:t>
      </w:r>
      <w:r>
        <w:rPr>
          <w:w w:val="105"/>
        </w:rPr>
        <w:t>Company</w:t>
      </w:r>
      <w:r>
        <w:rPr>
          <w:spacing w:val="23"/>
          <w:w w:val="105"/>
        </w:rPr>
        <w:t> </w:t>
      </w:r>
      <w:r>
        <w:rPr>
          <w:w w:val="105"/>
        </w:rPr>
        <w:t>navigated</w:t>
      </w:r>
      <w:r>
        <w:rPr>
          <w:spacing w:val="23"/>
          <w:w w:val="105"/>
        </w:rPr>
        <w:t> </w:t>
      </w:r>
      <w:r>
        <w:rPr>
          <w:w w:val="105"/>
        </w:rPr>
        <w:t>through</w:t>
      </w:r>
      <w:r>
        <w:rPr>
          <w:spacing w:val="23"/>
          <w:w w:val="105"/>
        </w:rPr>
        <w:t> </w:t>
      </w:r>
      <w:r>
        <w:rPr>
          <w:w w:val="105"/>
        </w:rPr>
        <w:t>its</w:t>
      </w:r>
      <w:r>
        <w:rPr>
          <w:spacing w:val="23"/>
          <w:w w:val="105"/>
        </w:rPr>
        <w:t> </w:t>
      </w:r>
      <w:r>
        <w:rPr>
          <w:w w:val="105"/>
        </w:rPr>
        <w:t>early</w:t>
      </w:r>
      <w:r>
        <w:rPr>
          <w:spacing w:val="23"/>
          <w:w w:val="105"/>
        </w:rPr>
        <w:t> </w:t>
      </w:r>
      <w:r>
        <w:rPr>
          <w:w w:val="105"/>
        </w:rPr>
        <w:t>years as a public company. The Board expects to appoint a new Chair promptly following the Annual Meeting.</w:t>
      </w:r>
    </w:p>
    <w:p>
      <w:pPr>
        <w:pStyle w:val="BodyText"/>
        <w:spacing w:line="252" w:lineRule="auto" w:before="148"/>
        <w:ind w:left="1400" w:right="1551" w:firstLine="372"/>
      </w:pPr>
      <w:r>
        <w:rPr>
          <w:w w:val="105"/>
        </w:rPr>
        <w:t>Our Nominating Committee is charged with identifying, evaluating, and recommending director nominees to the full Board. There are no minimum qualifications for director nominees. The Nominating Committee generally seeks individuals who have or provide:</w:t>
      </w:r>
    </w:p>
    <w:p>
      <w:pPr>
        <w:pStyle w:val="ListParagraph"/>
        <w:numPr>
          <w:ilvl w:val="0"/>
          <w:numId w:val="7"/>
        </w:numPr>
        <w:tabs>
          <w:tab w:pos="1960" w:val="left" w:leader="none"/>
        </w:tabs>
        <w:spacing w:line="240" w:lineRule="auto" w:before="103" w:after="0"/>
        <w:ind w:left="1959" w:right="0" w:hanging="188"/>
        <w:jc w:val="left"/>
        <w:rPr>
          <w:sz w:val="18"/>
        </w:rPr>
      </w:pPr>
      <w:r>
        <w:rPr>
          <w:w w:val="105"/>
          <w:sz w:val="18"/>
        </w:rPr>
        <w:t>knowledge</w:t>
      </w:r>
      <w:r>
        <w:rPr>
          <w:spacing w:val="12"/>
          <w:w w:val="105"/>
          <w:sz w:val="18"/>
        </w:rPr>
        <w:t> </w:t>
      </w:r>
      <w:r>
        <w:rPr>
          <w:w w:val="105"/>
          <w:sz w:val="18"/>
        </w:rPr>
        <w:t>about</w:t>
      </w:r>
      <w:r>
        <w:rPr>
          <w:spacing w:val="12"/>
          <w:w w:val="105"/>
          <w:sz w:val="18"/>
        </w:rPr>
        <w:t> </w:t>
      </w:r>
      <w:r>
        <w:rPr>
          <w:w w:val="105"/>
          <w:sz w:val="18"/>
        </w:rPr>
        <w:t>our</w:t>
      </w:r>
      <w:r>
        <w:rPr>
          <w:spacing w:val="12"/>
          <w:w w:val="105"/>
          <w:sz w:val="18"/>
        </w:rPr>
        <w:t> </w:t>
      </w:r>
      <w:r>
        <w:rPr>
          <w:w w:val="105"/>
          <w:sz w:val="18"/>
        </w:rPr>
        <w:t>industries</w:t>
      </w:r>
      <w:r>
        <w:rPr>
          <w:spacing w:val="12"/>
          <w:w w:val="105"/>
          <w:sz w:val="18"/>
        </w:rPr>
        <w:t> </w:t>
      </w:r>
      <w:r>
        <w:rPr>
          <w:w w:val="105"/>
          <w:sz w:val="18"/>
        </w:rPr>
        <w:t>and</w:t>
      </w:r>
      <w:r>
        <w:rPr>
          <w:spacing w:val="12"/>
          <w:w w:val="105"/>
          <w:sz w:val="18"/>
        </w:rPr>
        <w:t> </w:t>
      </w:r>
      <w:r>
        <w:rPr>
          <w:spacing w:val="-2"/>
          <w:w w:val="105"/>
          <w:sz w:val="18"/>
        </w:rPr>
        <w:t>technologies;</w:t>
      </w:r>
    </w:p>
    <w:p>
      <w:pPr>
        <w:pStyle w:val="ListParagraph"/>
        <w:numPr>
          <w:ilvl w:val="0"/>
          <w:numId w:val="7"/>
        </w:numPr>
        <w:tabs>
          <w:tab w:pos="1960" w:val="left" w:leader="none"/>
        </w:tabs>
        <w:spacing w:line="240" w:lineRule="auto" w:before="129" w:after="0"/>
        <w:ind w:left="1959" w:right="0" w:hanging="188"/>
        <w:jc w:val="left"/>
        <w:rPr>
          <w:sz w:val="18"/>
        </w:rPr>
      </w:pPr>
      <w:r>
        <w:rPr>
          <w:w w:val="105"/>
          <w:sz w:val="18"/>
        </w:rPr>
        <w:t>international</w:t>
      </w:r>
      <w:r>
        <w:rPr>
          <w:spacing w:val="20"/>
          <w:w w:val="105"/>
          <w:sz w:val="18"/>
        </w:rPr>
        <w:t> </w:t>
      </w:r>
      <w:r>
        <w:rPr>
          <w:w w:val="105"/>
          <w:sz w:val="18"/>
        </w:rPr>
        <w:t>business</w:t>
      </w:r>
      <w:r>
        <w:rPr>
          <w:spacing w:val="20"/>
          <w:w w:val="105"/>
          <w:sz w:val="18"/>
        </w:rPr>
        <w:t> </w:t>
      </w:r>
      <w:r>
        <w:rPr>
          <w:spacing w:val="-2"/>
          <w:w w:val="105"/>
          <w:sz w:val="18"/>
        </w:rPr>
        <w:t>experience;</w:t>
      </w:r>
    </w:p>
    <w:p>
      <w:pPr>
        <w:pStyle w:val="ListParagraph"/>
        <w:numPr>
          <w:ilvl w:val="0"/>
          <w:numId w:val="7"/>
        </w:numPr>
        <w:tabs>
          <w:tab w:pos="1960" w:val="left" w:leader="none"/>
        </w:tabs>
        <w:spacing w:line="240" w:lineRule="auto" w:before="128" w:after="0"/>
        <w:ind w:left="1959" w:right="0" w:hanging="188"/>
        <w:jc w:val="left"/>
        <w:rPr>
          <w:sz w:val="18"/>
        </w:rPr>
      </w:pPr>
      <w:r>
        <w:rPr>
          <w:w w:val="105"/>
          <w:sz w:val="18"/>
        </w:rPr>
        <w:t>cultural,</w:t>
      </w:r>
      <w:r>
        <w:rPr>
          <w:spacing w:val="11"/>
          <w:w w:val="105"/>
          <w:sz w:val="18"/>
        </w:rPr>
        <w:t> </w:t>
      </w:r>
      <w:r>
        <w:rPr>
          <w:w w:val="105"/>
          <w:sz w:val="18"/>
        </w:rPr>
        <w:t>gender,</w:t>
      </w:r>
      <w:r>
        <w:rPr>
          <w:spacing w:val="11"/>
          <w:w w:val="105"/>
          <w:sz w:val="18"/>
        </w:rPr>
        <w:t> </w:t>
      </w:r>
      <w:r>
        <w:rPr>
          <w:w w:val="105"/>
          <w:sz w:val="18"/>
        </w:rPr>
        <w:t>ethnic</w:t>
      </w:r>
      <w:r>
        <w:rPr>
          <w:spacing w:val="12"/>
          <w:w w:val="105"/>
          <w:sz w:val="18"/>
        </w:rPr>
        <w:t> </w:t>
      </w:r>
      <w:r>
        <w:rPr>
          <w:w w:val="105"/>
          <w:sz w:val="18"/>
        </w:rPr>
        <w:t>or</w:t>
      </w:r>
      <w:r>
        <w:rPr>
          <w:spacing w:val="11"/>
          <w:w w:val="105"/>
          <w:sz w:val="18"/>
        </w:rPr>
        <w:t> </w:t>
      </w:r>
      <w:r>
        <w:rPr>
          <w:w w:val="105"/>
          <w:sz w:val="18"/>
        </w:rPr>
        <w:t>age</w:t>
      </w:r>
      <w:r>
        <w:rPr>
          <w:spacing w:val="11"/>
          <w:w w:val="105"/>
          <w:sz w:val="18"/>
        </w:rPr>
        <w:t> </w:t>
      </w:r>
      <w:r>
        <w:rPr>
          <w:w w:val="105"/>
          <w:sz w:val="18"/>
        </w:rPr>
        <w:t>diversity</w:t>
      </w:r>
      <w:r>
        <w:rPr>
          <w:spacing w:val="12"/>
          <w:w w:val="105"/>
          <w:sz w:val="18"/>
        </w:rPr>
        <w:t> </w:t>
      </w:r>
      <w:r>
        <w:rPr>
          <w:w w:val="105"/>
          <w:sz w:val="18"/>
        </w:rPr>
        <w:t>(although</w:t>
      </w:r>
      <w:r>
        <w:rPr>
          <w:spacing w:val="11"/>
          <w:w w:val="105"/>
          <w:sz w:val="18"/>
        </w:rPr>
        <w:t> </w:t>
      </w:r>
      <w:r>
        <w:rPr>
          <w:w w:val="105"/>
          <w:sz w:val="18"/>
        </w:rPr>
        <w:t>we</w:t>
      </w:r>
      <w:r>
        <w:rPr>
          <w:spacing w:val="11"/>
          <w:w w:val="105"/>
          <w:sz w:val="18"/>
        </w:rPr>
        <w:t> </w:t>
      </w:r>
      <w:r>
        <w:rPr>
          <w:w w:val="105"/>
          <w:sz w:val="18"/>
        </w:rPr>
        <w:t>do</w:t>
      </w:r>
      <w:r>
        <w:rPr>
          <w:spacing w:val="12"/>
          <w:w w:val="105"/>
          <w:sz w:val="18"/>
        </w:rPr>
        <w:t> </w:t>
      </w:r>
      <w:r>
        <w:rPr>
          <w:w w:val="105"/>
          <w:sz w:val="18"/>
        </w:rPr>
        <w:t>not</w:t>
      </w:r>
      <w:r>
        <w:rPr>
          <w:spacing w:val="11"/>
          <w:w w:val="105"/>
          <w:sz w:val="18"/>
        </w:rPr>
        <w:t> </w:t>
      </w:r>
      <w:r>
        <w:rPr>
          <w:w w:val="105"/>
          <w:sz w:val="18"/>
        </w:rPr>
        <w:t>maintain</w:t>
      </w:r>
      <w:r>
        <w:rPr>
          <w:spacing w:val="11"/>
          <w:w w:val="105"/>
          <w:sz w:val="18"/>
        </w:rPr>
        <w:t> </w:t>
      </w:r>
      <w:r>
        <w:rPr>
          <w:w w:val="105"/>
          <w:sz w:val="18"/>
        </w:rPr>
        <w:t>a</w:t>
      </w:r>
      <w:r>
        <w:rPr>
          <w:spacing w:val="12"/>
          <w:w w:val="105"/>
          <w:sz w:val="18"/>
        </w:rPr>
        <w:t> </w:t>
      </w:r>
      <w:r>
        <w:rPr>
          <w:w w:val="105"/>
          <w:sz w:val="18"/>
        </w:rPr>
        <w:t>formal</w:t>
      </w:r>
      <w:r>
        <w:rPr>
          <w:spacing w:val="11"/>
          <w:w w:val="105"/>
          <w:sz w:val="18"/>
        </w:rPr>
        <w:t> </w:t>
      </w:r>
      <w:r>
        <w:rPr>
          <w:w w:val="105"/>
          <w:sz w:val="18"/>
        </w:rPr>
        <w:t>diversity</w:t>
      </w:r>
      <w:r>
        <w:rPr>
          <w:spacing w:val="11"/>
          <w:w w:val="105"/>
          <w:sz w:val="18"/>
        </w:rPr>
        <w:t> </w:t>
      </w:r>
      <w:r>
        <w:rPr>
          <w:spacing w:val="-2"/>
          <w:w w:val="105"/>
          <w:sz w:val="18"/>
        </w:rPr>
        <w:t>policy);</w:t>
      </w:r>
    </w:p>
    <w:p>
      <w:pPr>
        <w:pStyle w:val="ListParagraph"/>
        <w:numPr>
          <w:ilvl w:val="0"/>
          <w:numId w:val="7"/>
        </w:numPr>
        <w:tabs>
          <w:tab w:pos="1960" w:val="left" w:leader="none"/>
        </w:tabs>
        <w:spacing w:line="240" w:lineRule="auto" w:before="115" w:after="0"/>
        <w:ind w:left="1959" w:right="0" w:hanging="188"/>
        <w:jc w:val="left"/>
        <w:rPr>
          <w:sz w:val="18"/>
        </w:rPr>
      </w:pPr>
      <w:r>
        <w:rPr>
          <w:w w:val="105"/>
          <w:sz w:val="18"/>
        </w:rPr>
        <w:t>experience</w:t>
      </w:r>
      <w:r>
        <w:rPr>
          <w:spacing w:val="13"/>
          <w:w w:val="105"/>
          <w:sz w:val="18"/>
        </w:rPr>
        <w:t> </w:t>
      </w:r>
      <w:r>
        <w:rPr>
          <w:w w:val="105"/>
          <w:sz w:val="18"/>
        </w:rPr>
        <w:t>in</w:t>
      </w:r>
      <w:r>
        <w:rPr>
          <w:spacing w:val="13"/>
          <w:w w:val="105"/>
          <w:sz w:val="18"/>
        </w:rPr>
        <w:t> </w:t>
      </w:r>
      <w:r>
        <w:rPr>
          <w:w w:val="105"/>
          <w:sz w:val="18"/>
        </w:rPr>
        <w:t>financial</w:t>
      </w:r>
      <w:r>
        <w:rPr>
          <w:spacing w:val="13"/>
          <w:w w:val="105"/>
          <w:sz w:val="18"/>
        </w:rPr>
        <w:t> </w:t>
      </w:r>
      <w:r>
        <w:rPr>
          <w:w w:val="105"/>
          <w:sz w:val="18"/>
        </w:rPr>
        <w:t>oversight,</w:t>
      </w:r>
      <w:r>
        <w:rPr>
          <w:spacing w:val="13"/>
          <w:w w:val="105"/>
          <w:sz w:val="18"/>
        </w:rPr>
        <w:t> </w:t>
      </w:r>
      <w:r>
        <w:rPr>
          <w:w w:val="105"/>
          <w:sz w:val="18"/>
        </w:rPr>
        <w:t>and</w:t>
      </w:r>
      <w:r>
        <w:rPr>
          <w:spacing w:val="13"/>
          <w:w w:val="105"/>
          <w:sz w:val="18"/>
        </w:rPr>
        <w:t> </w:t>
      </w:r>
      <w:r>
        <w:rPr>
          <w:w w:val="105"/>
          <w:sz w:val="18"/>
        </w:rPr>
        <w:t>a</w:t>
      </w:r>
      <w:r>
        <w:rPr>
          <w:spacing w:val="13"/>
          <w:w w:val="105"/>
          <w:sz w:val="18"/>
        </w:rPr>
        <w:t> </w:t>
      </w:r>
      <w:r>
        <w:rPr>
          <w:w w:val="105"/>
          <w:sz w:val="18"/>
        </w:rPr>
        <w:t>strong</w:t>
      </w:r>
      <w:r>
        <w:rPr>
          <w:spacing w:val="13"/>
          <w:w w:val="105"/>
          <w:sz w:val="18"/>
        </w:rPr>
        <w:t> </w:t>
      </w:r>
      <w:r>
        <w:rPr>
          <w:w w:val="105"/>
          <w:sz w:val="18"/>
        </w:rPr>
        <w:t>reputation</w:t>
      </w:r>
      <w:r>
        <w:rPr>
          <w:spacing w:val="13"/>
          <w:w w:val="105"/>
          <w:sz w:val="18"/>
        </w:rPr>
        <w:t> </w:t>
      </w:r>
      <w:r>
        <w:rPr>
          <w:w w:val="105"/>
          <w:sz w:val="18"/>
        </w:rPr>
        <w:t>with</w:t>
      </w:r>
      <w:r>
        <w:rPr>
          <w:spacing w:val="13"/>
          <w:w w:val="105"/>
          <w:sz w:val="18"/>
        </w:rPr>
        <w:t> </w:t>
      </w:r>
      <w:r>
        <w:rPr>
          <w:w w:val="105"/>
          <w:sz w:val="18"/>
        </w:rPr>
        <w:t>the</w:t>
      </w:r>
      <w:r>
        <w:rPr>
          <w:spacing w:val="13"/>
          <w:w w:val="105"/>
          <w:sz w:val="18"/>
        </w:rPr>
        <w:t> </w:t>
      </w:r>
      <w:r>
        <w:rPr>
          <w:w w:val="105"/>
          <w:sz w:val="18"/>
        </w:rPr>
        <w:t>financial</w:t>
      </w:r>
      <w:r>
        <w:rPr>
          <w:spacing w:val="13"/>
          <w:w w:val="105"/>
          <w:sz w:val="18"/>
        </w:rPr>
        <w:t> </w:t>
      </w:r>
      <w:r>
        <w:rPr>
          <w:spacing w:val="-2"/>
          <w:w w:val="105"/>
          <w:sz w:val="18"/>
        </w:rPr>
        <w:t>community;</w:t>
      </w:r>
    </w:p>
    <w:p>
      <w:pPr>
        <w:pStyle w:val="ListParagraph"/>
        <w:numPr>
          <w:ilvl w:val="0"/>
          <w:numId w:val="7"/>
        </w:numPr>
        <w:tabs>
          <w:tab w:pos="1960" w:val="left" w:leader="none"/>
        </w:tabs>
        <w:spacing w:line="259" w:lineRule="auto" w:before="129" w:after="0"/>
        <w:ind w:left="1959" w:right="1802" w:hanging="187"/>
        <w:jc w:val="left"/>
        <w:rPr>
          <w:sz w:val="18"/>
        </w:rPr>
      </w:pPr>
      <w:r>
        <w:rPr>
          <w:w w:val="105"/>
          <w:sz w:val="18"/>
        </w:rPr>
        <w:t>experience in business management and the potential to succeed top management in the event of unexpected necessary Board intervention;</w:t>
      </w:r>
    </w:p>
    <w:p>
      <w:pPr>
        <w:pStyle w:val="ListParagraph"/>
        <w:numPr>
          <w:ilvl w:val="0"/>
          <w:numId w:val="7"/>
        </w:numPr>
        <w:tabs>
          <w:tab w:pos="1960" w:val="left" w:leader="none"/>
        </w:tabs>
        <w:spacing w:line="259" w:lineRule="auto" w:before="112" w:after="0"/>
        <w:ind w:left="1959" w:right="1904" w:hanging="187"/>
        <w:jc w:val="left"/>
        <w:rPr>
          <w:sz w:val="18"/>
        </w:rPr>
      </w:pPr>
      <w:r>
        <w:rPr>
          <w:w w:val="105"/>
          <w:sz w:val="18"/>
        </w:rPr>
        <w:t>broad experience at the policy making level in business, government, education, technology, or public interest; or</w:t>
      </w:r>
    </w:p>
    <w:p>
      <w:pPr>
        <w:pStyle w:val="ListParagraph"/>
        <w:numPr>
          <w:ilvl w:val="0"/>
          <w:numId w:val="7"/>
        </w:numPr>
        <w:tabs>
          <w:tab w:pos="1960" w:val="left" w:leader="none"/>
        </w:tabs>
        <w:spacing w:line="240" w:lineRule="auto" w:before="112" w:after="0"/>
        <w:ind w:left="1959" w:right="0" w:hanging="188"/>
        <w:jc w:val="left"/>
        <w:rPr>
          <w:sz w:val="18"/>
        </w:rPr>
      </w:pPr>
      <w:r>
        <w:rPr>
          <w:w w:val="105"/>
          <w:sz w:val="18"/>
        </w:rPr>
        <w:t>business</w:t>
      </w:r>
      <w:r>
        <w:rPr>
          <w:spacing w:val="12"/>
          <w:w w:val="105"/>
          <w:sz w:val="18"/>
        </w:rPr>
        <w:t> </w:t>
      </w:r>
      <w:r>
        <w:rPr>
          <w:w w:val="105"/>
          <w:sz w:val="18"/>
        </w:rPr>
        <w:t>contacts,</w:t>
      </w:r>
      <w:r>
        <w:rPr>
          <w:spacing w:val="12"/>
          <w:w w:val="105"/>
          <w:sz w:val="18"/>
        </w:rPr>
        <w:t> </w:t>
      </w:r>
      <w:r>
        <w:rPr>
          <w:w w:val="105"/>
          <w:sz w:val="18"/>
        </w:rPr>
        <w:t>knowledge</w:t>
      </w:r>
      <w:r>
        <w:rPr>
          <w:spacing w:val="13"/>
          <w:w w:val="105"/>
          <w:sz w:val="18"/>
        </w:rPr>
        <w:t> </w:t>
      </w:r>
      <w:r>
        <w:rPr>
          <w:w w:val="105"/>
          <w:sz w:val="18"/>
        </w:rPr>
        <w:t>or</w:t>
      </w:r>
      <w:r>
        <w:rPr>
          <w:spacing w:val="12"/>
          <w:w w:val="105"/>
          <w:sz w:val="18"/>
        </w:rPr>
        <w:t> </w:t>
      </w:r>
      <w:r>
        <w:rPr>
          <w:w w:val="105"/>
          <w:sz w:val="18"/>
        </w:rPr>
        <w:t>influence</w:t>
      </w:r>
      <w:r>
        <w:rPr>
          <w:spacing w:val="13"/>
          <w:w w:val="105"/>
          <w:sz w:val="18"/>
        </w:rPr>
        <w:t> </w:t>
      </w:r>
      <w:r>
        <w:rPr>
          <w:w w:val="105"/>
          <w:sz w:val="18"/>
        </w:rPr>
        <w:t>useful</w:t>
      </w:r>
      <w:r>
        <w:rPr>
          <w:spacing w:val="12"/>
          <w:w w:val="105"/>
          <w:sz w:val="18"/>
        </w:rPr>
        <w:t> </w:t>
      </w:r>
      <w:r>
        <w:rPr>
          <w:w w:val="105"/>
          <w:sz w:val="18"/>
        </w:rPr>
        <w:t>to</w:t>
      </w:r>
      <w:r>
        <w:rPr>
          <w:spacing w:val="13"/>
          <w:w w:val="105"/>
          <w:sz w:val="18"/>
        </w:rPr>
        <w:t> </w:t>
      </w:r>
      <w:r>
        <w:rPr>
          <w:w w:val="105"/>
          <w:sz w:val="18"/>
        </w:rPr>
        <w:t>our</w:t>
      </w:r>
      <w:r>
        <w:rPr>
          <w:spacing w:val="12"/>
          <w:w w:val="105"/>
          <w:sz w:val="18"/>
        </w:rPr>
        <w:t> </w:t>
      </w:r>
      <w:r>
        <w:rPr>
          <w:w w:val="105"/>
          <w:sz w:val="18"/>
        </w:rPr>
        <w:t>business</w:t>
      </w:r>
      <w:r>
        <w:rPr>
          <w:spacing w:val="13"/>
          <w:w w:val="105"/>
          <w:sz w:val="18"/>
        </w:rPr>
        <w:t> </w:t>
      </w:r>
      <w:r>
        <w:rPr>
          <w:w w:val="105"/>
          <w:sz w:val="18"/>
        </w:rPr>
        <w:t>and</w:t>
      </w:r>
      <w:r>
        <w:rPr>
          <w:spacing w:val="12"/>
          <w:w w:val="105"/>
          <w:sz w:val="18"/>
        </w:rPr>
        <w:t> </w:t>
      </w:r>
      <w:r>
        <w:rPr>
          <w:w w:val="105"/>
          <w:sz w:val="18"/>
        </w:rPr>
        <w:t>product</w:t>
      </w:r>
      <w:r>
        <w:rPr>
          <w:spacing w:val="13"/>
          <w:w w:val="105"/>
          <w:sz w:val="18"/>
        </w:rPr>
        <w:t> </w:t>
      </w:r>
      <w:r>
        <w:rPr>
          <w:spacing w:val="-2"/>
          <w:w w:val="105"/>
          <w:sz w:val="18"/>
        </w:rPr>
        <w:t>lines.</w:t>
      </w:r>
    </w:p>
    <w:p>
      <w:pPr>
        <w:pStyle w:val="BodyText"/>
        <w:spacing w:line="249" w:lineRule="auto" w:before="170"/>
        <w:ind w:left="1400" w:right="1680" w:firstLine="372"/>
      </w:pPr>
      <w:r>
        <w:rPr>
          <w:w w:val="105"/>
        </w:rPr>
        <w:t>We believe that all of our directors should be committed to enhancing stockholder value, represent the interests of all stockholders, and have sufficient time to carry out their duties and to provide insight and</w:t>
      </w:r>
      <w:r>
        <w:rPr>
          <w:spacing w:val="40"/>
          <w:w w:val="105"/>
        </w:rPr>
        <w:t> </w:t>
      </w:r>
      <w:r>
        <w:rPr>
          <w:w w:val="105"/>
        </w:rPr>
        <w:t>practical wisdom based on their experience. Their service on other boards of public companies should be</w:t>
      </w:r>
      <w:r>
        <w:rPr>
          <w:spacing w:val="40"/>
          <w:w w:val="105"/>
        </w:rPr>
        <w:t> </w:t>
      </w:r>
      <w:r>
        <w:rPr>
          <w:w w:val="105"/>
        </w:rPr>
        <w:t>limited to a number that permits them, given their individual circumstances, to perform and carry out all</w:t>
      </w:r>
      <w:r>
        <w:rPr>
          <w:spacing w:val="40"/>
          <w:w w:val="105"/>
        </w:rPr>
        <w:t> </w:t>
      </w:r>
      <w:r>
        <w:rPr>
          <w:w w:val="105"/>
        </w:rPr>
        <w:t>director duties in a responsible manner. The Board believes that directors who are full-time employees of</w:t>
      </w:r>
      <w:r>
        <w:rPr>
          <w:spacing w:val="40"/>
          <w:w w:val="105"/>
        </w:rPr>
        <w:t> </w:t>
      </w:r>
      <w:r>
        <w:rPr>
          <w:w w:val="105"/>
        </w:rPr>
        <w:t>other companies should not serve on more than three public company boards at one time, and that directors</w:t>
      </w:r>
      <w:r>
        <w:rPr>
          <w:spacing w:val="40"/>
          <w:w w:val="105"/>
        </w:rPr>
        <w:t> </w:t>
      </w:r>
      <w:r>
        <w:rPr>
          <w:w w:val="105"/>
        </w:rPr>
        <w:t>who</w:t>
      </w:r>
      <w:r>
        <w:rPr>
          <w:spacing w:val="24"/>
          <w:w w:val="105"/>
        </w:rPr>
        <w:t> </w:t>
      </w:r>
      <w:r>
        <w:rPr>
          <w:w w:val="105"/>
        </w:rPr>
        <w:t>are</w:t>
      </w:r>
      <w:r>
        <w:rPr>
          <w:spacing w:val="24"/>
          <w:w w:val="105"/>
        </w:rPr>
        <w:t> </w:t>
      </w:r>
      <w:r>
        <w:rPr>
          <w:w w:val="105"/>
        </w:rPr>
        <w:t>retired</w:t>
      </w:r>
      <w:r>
        <w:rPr>
          <w:spacing w:val="24"/>
          <w:w w:val="105"/>
        </w:rPr>
        <w:t> </w:t>
      </w:r>
      <w:r>
        <w:rPr>
          <w:w w:val="105"/>
        </w:rPr>
        <w:t>from</w:t>
      </w:r>
      <w:r>
        <w:rPr>
          <w:spacing w:val="24"/>
          <w:w w:val="105"/>
        </w:rPr>
        <w:t> </w:t>
      </w:r>
      <w:r>
        <w:rPr>
          <w:w w:val="105"/>
        </w:rPr>
        <w:t>full-time</w:t>
      </w:r>
      <w:r>
        <w:rPr>
          <w:spacing w:val="24"/>
          <w:w w:val="105"/>
        </w:rPr>
        <w:t> </w:t>
      </w:r>
      <w:r>
        <w:rPr>
          <w:w w:val="105"/>
        </w:rPr>
        <w:t>employment</w:t>
      </w:r>
      <w:r>
        <w:rPr>
          <w:spacing w:val="24"/>
          <w:w w:val="105"/>
        </w:rPr>
        <w:t> </w:t>
      </w:r>
      <w:r>
        <w:rPr>
          <w:w w:val="105"/>
        </w:rPr>
        <w:t>should</w:t>
      </w:r>
      <w:r>
        <w:rPr>
          <w:spacing w:val="24"/>
          <w:w w:val="105"/>
        </w:rPr>
        <w:t> </w:t>
      </w:r>
      <w:r>
        <w:rPr>
          <w:w w:val="105"/>
        </w:rPr>
        <w:t>not</w:t>
      </w:r>
      <w:r>
        <w:rPr>
          <w:spacing w:val="24"/>
          <w:w w:val="105"/>
        </w:rPr>
        <w:t> </w:t>
      </w:r>
      <w:r>
        <w:rPr>
          <w:w w:val="105"/>
        </w:rPr>
        <w:t>serve</w:t>
      </w:r>
      <w:r>
        <w:rPr>
          <w:spacing w:val="24"/>
          <w:w w:val="105"/>
        </w:rPr>
        <w:t> </w:t>
      </w:r>
      <w:r>
        <w:rPr>
          <w:w w:val="105"/>
        </w:rPr>
        <w:t>on</w:t>
      </w:r>
      <w:r>
        <w:rPr>
          <w:spacing w:val="24"/>
          <w:w w:val="105"/>
        </w:rPr>
        <w:t> </w:t>
      </w:r>
      <w:r>
        <w:rPr>
          <w:w w:val="105"/>
        </w:rPr>
        <w:t>more</w:t>
      </w:r>
      <w:r>
        <w:rPr>
          <w:spacing w:val="24"/>
          <w:w w:val="105"/>
        </w:rPr>
        <w:t> </w:t>
      </w:r>
      <w:r>
        <w:rPr>
          <w:w w:val="105"/>
        </w:rPr>
        <w:t>than</w:t>
      </w:r>
      <w:r>
        <w:rPr>
          <w:spacing w:val="24"/>
          <w:w w:val="105"/>
        </w:rPr>
        <w:t> </w:t>
      </w:r>
      <w:r>
        <w:rPr>
          <w:w w:val="105"/>
        </w:rPr>
        <w:t>four</w:t>
      </w:r>
      <w:r>
        <w:rPr>
          <w:spacing w:val="24"/>
          <w:w w:val="105"/>
        </w:rPr>
        <w:t> </w:t>
      </w:r>
      <w:r>
        <w:rPr>
          <w:w w:val="105"/>
        </w:rPr>
        <w:t>public</w:t>
      </w:r>
      <w:r>
        <w:rPr>
          <w:spacing w:val="24"/>
          <w:w w:val="105"/>
        </w:rPr>
        <w:t> </w:t>
      </w:r>
      <w:r>
        <w:rPr>
          <w:w w:val="105"/>
        </w:rPr>
        <w:t>company</w:t>
      </w:r>
      <w:r>
        <w:rPr>
          <w:spacing w:val="24"/>
          <w:w w:val="105"/>
        </w:rPr>
        <w:t> </w:t>
      </w:r>
      <w:r>
        <w:rPr>
          <w:w w:val="105"/>
        </w:rPr>
        <w:t>boards.</w:t>
      </w:r>
    </w:p>
    <w:p>
      <w:pPr>
        <w:pStyle w:val="BodyText"/>
        <w:spacing w:line="242" w:lineRule="auto"/>
        <w:ind w:left="1400" w:right="1680"/>
      </w:pPr>
      <w:r>
        <w:rPr>
          <w:w w:val="105"/>
        </w:rPr>
        <w:t>Further, our Board and Nominating Committee are committed to actively seeking highly qualified women and</w:t>
      </w:r>
      <w:r>
        <w:rPr>
          <w:spacing w:val="24"/>
          <w:w w:val="105"/>
        </w:rPr>
        <w:t> </w:t>
      </w:r>
      <w:r>
        <w:rPr>
          <w:w w:val="105"/>
        </w:rPr>
        <w:t>individuals</w:t>
      </w:r>
      <w:r>
        <w:rPr>
          <w:spacing w:val="24"/>
          <w:w w:val="105"/>
        </w:rPr>
        <w:t> </w:t>
      </w:r>
      <w:r>
        <w:rPr>
          <w:w w:val="105"/>
        </w:rPr>
        <w:t>from</w:t>
      </w:r>
      <w:r>
        <w:rPr>
          <w:spacing w:val="24"/>
          <w:w w:val="105"/>
        </w:rPr>
        <w:t> </w:t>
      </w:r>
      <w:r>
        <w:rPr>
          <w:w w:val="105"/>
        </w:rPr>
        <w:t>minority</w:t>
      </w:r>
      <w:r>
        <w:rPr>
          <w:spacing w:val="24"/>
          <w:w w:val="105"/>
        </w:rPr>
        <w:t> </w:t>
      </w:r>
      <w:r>
        <w:rPr>
          <w:w w:val="105"/>
        </w:rPr>
        <w:t>groups</w:t>
      </w:r>
      <w:r>
        <w:rPr>
          <w:spacing w:val="24"/>
          <w:w w:val="105"/>
        </w:rPr>
        <w:t> </w:t>
      </w:r>
      <w:r>
        <w:rPr>
          <w:w w:val="105"/>
        </w:rPr>
        <w:t>to</w:t>
      </w:r>
      <w:r>
        <w:rPr>
          <w:spacing w:val="24"/>
          <w:w w:val="105"/>
        </w:rPr>
        <w:t> </w:t>
      </w:r>
      <w:r>
        <w:rPr>
          <w:w w:val="105"/>
        </w:rPr>
        <w:t>include</w:t>
      </w:r>
      <w:r>
        <w:rPr>
          <w:spacing w:val="24"/>
          <w:w w:val="105"/>
        </w:rPr>
        <w:t> </w:t>
      </w:r>
      <w:r>
        <w:rPr>
          <w:w w:val="105"/>
        </w:rPr>
        <w:t>in</w:t>
      </w:r>
      <w:r>
        <w:rPr>
          <w:spacing w:val="24"/>
          <w:w w:val="105"/>
        </w:rPr>
        <w:t> </w:t>
      </w:r>
      <w:r>
        <w:rPr>
          <w:w w:val="105"/>
        </w:rPr>
        <w:t>the</w:t>
      </w:r>
      <w:r>
        <w:rPr>
          <w:spacing w:val="24"/>
          <w:w w:val="105"/>
        </w:rPr>
        <w:t> </w:t>
      </w:r>
      <w:r>
        <w:rPr>
          <w:w w:val="105"/>
        </w:rPr>
        <w:t>pool</w:t>
      </w:r>
      <w:r>
        <w:rPr>
          <w:spacing w:val="24"/>
          <w:w w:val="105"/>
        </w:rPr>
        <w:t> </w:t>
      </w:r>
      <w:r>
        <w:rPr>
          <w:w w:val="105"/>
        </w:rPr>
        <w:t>from</w:t>
      </w:r>
      <w:r>
        <w:rPr>
          <w:spacing w:val="24"/>
          <w:w w:val="105"/>
        </w:rPr>
        <w:t> </w:t>
      </w:r>
      <w:r>
        <w:rPr>
          <w:w w:val="105"/>
        </w:rPr>
        <w:t>which</w:t>
      </w:r>
      <w:r>
        <w:rPr>
          <w:spacing w:val="24"/>
          <w:w w:val="105"/>
        </w:rPr>
        <w:t> </w:t>
      </w:r>
      <w:r>
        <w:rPr>
          <w:w w:val="105"/>
        </w:rPr>
        <w:t>new</w:t>
      </w:r>
      <w:r>
        <w:rPr>
          <w:spacing w:val="24"/>
          <w:w w:val="105"/>
        </w:rPr>
        <w:t> </w:t>
      </w:r>
      <w:r>
        <w:rPr>
          <w:w w:val="105"/>
        </w:rPr>
        <w:t>candidates</w:t>
      </w:r>
      <w:r>
        <w:rPr>
          <w:spacing w:val="24"/>
          <w:w w:val="105"/>
        </w:rPr>
        <w:t> </w:t>
      </w:r>
      <w:r>
        <w:rPr>
          <w:w w:val="105"/>
        </w:rPr>
        <w:t>are</w:t>
      </w:r>
      <w:r>
        <w:rPr>
          <w:spacing w:val="24"/>
          <w:w w:val="105"/>
        </w:rPr>
        <w:t> </w:t>
      </w:r>
      <w:r>
        <w:rPr>
          <w:w w:val="105"/>
        </w:rPr>
        <w:t>selected.</w:t>
      </w:r>
    </w:p>
    <w:p>
      <w:pPr>
        <w:pStyle w:val="BodyText"/>
        <w:spacing w:line="252" w:lineRule="auto" w:before="144"/>
        <w:ind w:left="1400" w:right="1680" w:firstLine="372"/>
      </w:pPr>
      <w:r>
        <w:rPr>
          <w:w w:val="105"/>
        </w:rPr>
        <w:t>When seeking new director candidates, the Nominating Committee will consider potential candidates</w:t>
      </w:r>
      <w:r>
        <w:rPr>
          <w:spacing w:val="40"/>
          <w:w w:val="105"/>
        </w:rPr>
        <w:t> </w:t>
      </w:r>
      <w:r>
        <w:rPr>
          <w:w w:val="105"/>
        </w:rPr>
        <w:t>for directors submitted by Board members, members of our management and our stockholders. The Nominating</w:t>
      </w:r>
      <w:r>
        <w:rPr>
          <w:spacing w:val="27"/>
          <w:w w:val="105"/>
        </w:rPr>
        <w:t> </w:t>
      </w:r>
      <w:r>
        <w:rPr>
          <w:w w:val="105"/>
        </w:rPr>
        <w:t>Committee</w:t>
      </w:r>
      <w:r>
        <w:rPr>
          <w:spacing w:val="27"/>
          <w:w w:val="105"/>
        </w:rPr>
        <w:t> </w:t>
      </w:r>
      <w:r>
        <w:rPr>
          <w:w w:val="105"/>
        </w:rPr>
        <w:t>does</w:t>
      </w:r>
      <w:r>
        <w:rPr>
          <w:spacing w:val="27"/>
          <w:w w:val="105"/>
        </w:rPr>
        <w:t> </w:t>
      </w:r>
      <w:r>
        <w:rPr>
          <w:w w:val="105"/>
        </w:rPr>
        <w:t>not</w:t>
      </w:r>
      <w:r>
        <w:rPr>
          <w:spacing w:val="27"/>
          <w:w w:val="105"/>
        </w:rPr>
        <w:t> </w:t>
      </w:r>
      <w:r>
        <w:rPr>
          <w:w w:val="105"/>
        </w:rPr>
        <w:t>evaluate</w:t>
      </w:r>
      <w:r>
        <w:rPr>
          <w:spacing w:val="27"/>
          <w:w w:val="105"/>
        </w:rPr>
        <w:t> </w:t>
      </w:r>
      <w:r>
        <w:rPr>
          <w:w w:val="105"/>
        </w:rPr>
        <w:t>candidates</w:t>
      </w:r>
      <w:r>
        <w:rPr>
          <w:spacing w:val="27"/>
          <w:w w:val="105"/>
        </w:rPr>
        <w:t> </w:t>
      </w:r>
      <w:r>
        <w:rPr>
          <w:w w:val="105"/>
        </w:rPr>
        <w:t>differently</w:t>
      </w:r>
      <w:r>
        <w:rPr>
          <w:spacing w:val="27"/>
          <w:w w:val="105"/>
        </w:rPr>
        <w:t> </w:t>
      </w:r>
      <w:r>
        <w:rPr>
          <w:w w:val="105"/>
        </w:rPr>
        <w:t>based</w:t>
      </w:r>
      <w:r>
        <w:rPr>
          <w:spacing w:val="27"/>
          <w:w w:val="105"/>
        </w:rPr>
        <w:t> </w:t>
      </w:r>
      <w:r>
        <w:rPr>
          <w:w w:val="105"/>
        </w:rPr>
        <w:t>upon</w:t>
      </w:r>
      <w:r>
        <w:rPr>
          <w:spacing w:val="27"/>
          <w:w w:val="105"/>
        </w:rPr>
        <w:t> </w:t>
      </w:r>
      <w:r>
        <w:rPr>
          <w:w w:val="105"/>
        </w:rPr>
        <w:t>the</w:t>
      </w:r>
      <w:r>
        <w:rPr>
          <w:spacing w:val="27"/>
          <w:w w:val="105"/>
        </w:rPr>
        <w:t> </w:t>
      </w:r>
      <w:r>
        <w:rPr>
          <w:w w:val="105"/>
        </w:rPr>
        <w:t>source</w:t>
      </w:r>
      <w:r>
        <w:rPr>
          <w:spacing w:val="27"/>
          <w:w w:val="105"/>
        </w:rPr>
        <w:t> </w:t>
      </w:r>
      <w:r>
        <w:rPr>
          <w:w w:val="105"/>
        </w:rPr>
        <w:t>of</w:t>
      </w:r>
      <w:r>
        <w:rPr>
          <w:spacing w:val="27"/>
          <w:w w:val="105"/>
        </w:rPr>
        <w:t> </w:t>
      </w:r>
      <w:r>
        <w:rPr>
          <w:w w:val="105"/>
        </w:rPr>
        <w:t>the</w:t>
      </w:r>
      <w:r>
        <w:rPr>
          <w:spacing w:val="27"/>
          <w:w w:val="105"/>
        </w:rPr>
        <w:t> </w:t>
      </w:r>
      <w:r>
        <w:rPr>
          <w:w w:val="105"/>
        </w:rPr>
        <w:t>nominee.</w:t>
      </w:r>
    </w:p>
    <w:p>
      <w:pPr>
        <w:pStyle w:val="BodyText"/>
        <w:spacing w:line="249" w:lineRule="auto" w:before="145"/>
        <w:ind w:left="1400" w:right="1680" w:firstLine="372"/>
      </w:pPr>
      <w:r>
        <w:rPr>
          <w:w w:val="105"/>
        </w:rPr>
        <w:t>The individuals named as proxyholders will vote your proxy for the election of the nominee directors</w:t>
      </w:r>
      <w:r>
        <w:rPr>
          <w:spacing w:val="40"/>
          <w:w w:val="105"/>
        </w:rPr>
        <w:t> </w:t>
      </w:r>
      <w:r>
        <w:rPr>
          <w:w w:val="105"/>
        </w:rPr>
        <w:t>unless you direct them to withhold your vote. If any nominee becomes unable to serve as a director before</w:t>
      </w:r>
      <w:r>
        <w:rPr>
          <w:spacing w:val="80"/>
          <w:w w:val="105"/>
        </w:rPr>
        <w:t> </w:t>
      </w:r>
      <w:r>
        <w:rPr>
          <w:w w:val="105"/>
        </w:rPr>
        <w:t>the Annual Meeting (or decides not to serve), the individuals named as proxyholders may vote for a</w:t>
      </w:r>
      <w:r>
        <w:rPr>
          <w:spacing w:val="40"/>
          <w:w w:val="105"/>
        </w:rPr>
        <w:t> </w:t>
      </w:r>
      <w:r>
        <w:rPr>
          <w:spacing w:val="-2"/>
          <w:w w:val="105"/>
        </w:rPr>
        <w:t>substitute.</w:t>
      </w:r>
    </w:p>
    <w:p>
      <w:pPr>
        <w:pStyle w:val="BodyText"/>
        <w:spacing w:line="249" w:lineRule="auto" w:before="146"/>
        <w:ind w:left="1400" w:right="1551" w:firstLine="372"/>
      </w:pPr>
      <w:r>
        <w:rPr>
          <w:w w:val="105"/>
        </w:rPr>
        <w:t>Each of the nominees have been recommended by the Nominating Committee and nominated by the</w:t>
      </w:r>
      <w:r>
        <w:rPr>
          <w:spacing w:val="40"/>
          <w:w w:val="105"/>
        </w:rPr>
        <w:t> </w:t>
      </w:r>
      <w:r>
        <w:rPr>
          <w:w w:val="105"/>
        </w:rPr>
        <w:t>Board</w:t>
      </w:r>
      <w:r>
        <w:rPr>
          <w:spacing w:val="22"/>
          <w:w w:val="105"/>
        </w:rPr>
        <w:t> </w:t>
      </w:r>
      <w:r>
        <w:rPr>
          <w:w w:val="105"/>
        </w:rPr>
        <w:t>for</w:t>
      </w:r>
      <w:r>
        <w:rPr>
          <w:spacing w:val="22"/>
          <w:w w:val="105"/>
        </w:rPr>
        <w:t> </w:t>
      </w:r>
      <w:r>
        <w:rPr>
          <w:w w:val="105"/>
        </w:rPr>
        <w:t>election</w:t>
      </w:r>
      <w:r>
        <w:rPr>
          <w:spacing w:val="22"/>
          <w:w w:val="105"/>
        </w:rPr>
        <w:t> </w:t>
      </w:r>
      <w:r>
        <w:rPr>
          <w:w w:val="105"/>
        </w:rPr>
        <w:t>by</w:t>
      </w:r>
      <w:r>
        <w:rPr>
          <w:spacing w:val="22"/>
          <w:w w:val="105"/>
        </w:rPr>
        <w:t> </w:t>
      </w:r>
      <w:r>
        <w:rPr>
          <w:w w:val="105"/>
        </w:rPr>
        <w:t>the</w:t>
      </w:r>
      <w:r>
        <w:rPr>
          <w:spacing w:val="22"/>
          <w:w w:val="105"/>
        </w:rPr>
        <w:t> </w:t>
      </w:r>
      <w:r>
        <w:rPr>
          <w:w w:val="105"/>
        </w:rPr>
        <w:t>stockholders</w:t>
      </w:r>
      <w:r>
        <w:rPr>
          <w:spacing w:val="22"/>
          <w:w w:val="105"/>
        </w:rPr>
        <w:t> </w:t>
      </w:r>
      <w:r>
        <w:rPr>
          <w:w w:val="105"/>
        </w:rPr>
        <w:t>to</w:t>
      </w:r>
      <w:r>
        <w:rPr>
          <w:spacing w:val="22"/>
          <w:w w:val="105"/>
        </w:rPr>
        <w:t> </w:t>
      </w:r>
      <w:r>
        <w:rPr>
          <w:w w:val="105"/>
        </w:rPr>
        <w:t>a</w:t>
      </w:r>
      <w:r>
        <w:rPr>
          <w:spacing w:val="22"/>
          <w:w w:val="105"/>
        </w:rPr>
        <w:t> </w:t>
      </w:r>
      <w:r>
        <w:rPr>
          <w:w w:val="105"/>
        </w:rPr>
        <w:t>one-year</w:t>
      </w:r>
      <w:r>
        <w:rPr>
          <w:spacing w:val="22"/>
          <w:w w:val="105"/>
        </w:rPr>
        <w:t> </w:t>
      </w:r>
      <w:r>
        <w:rPr>
          <w:w w:val="105"/>
        </w:rPr>
        <w:t>term</w:t>
      </w:r>
      <w:r>
        <w:rPr>
          <w:spacing w:val="22"/>
          <w:w w:val="105"/>
        </w:rPr>
        <w:t> </w:t>
      </w:r>
      <w:r>
        <w:rPr>
          <w:w w:val="105"/>
        </w:rPr>
        <w:t>ending</w:t>
      </w:r>
      <w:r>
        <w:rPr>
          <w:spacing w:val="22"/>
          <w:w w:val="105"/>
        </w:rPr>
        <w:t> </w:t>
      </w:r>
      <w:r>
        <w:rPr>
          <w:w w:val="105"/>
        </w:rPr>
        <w:t>at</w:t>
      </w:r>
      <w:r>
        <w:rPr>
          <w:spacing w:val="22"/>
          <w:w w:val="105"/>
        </w:rPr>
        <w:t> </w:t>
      </w:r>
      <w:r>
        <w:rPr>
          <w:w w:val="105"/>
        </w:rPr>
        <w:t>the</w:t>
      </w:r>
      <w:r>
        <w:rPr>
          <w:spacing w:val="22"/>
          <w:w w:val="105"/>
        </w:rPr>
        <w:t> </w:t>
      </w:r>
      <w:r>
        <w:rPr>
          <w:w w:val="105"/>
        </w:rPr>
        <w:t>2024 Annual</w:t>
      </w:r>
      <w:r>
        <w:rPr>
          <w:spacing w:val="22"/>
          <w:w w:val="105"/>
        </w:rPr>
        <w:t> </w:t>
      </w:r>
      <w:r>
        <w:rPr>
          <w:w w:val="105"/>
        </w:rPr>
        <w:t>Meeting</w:t>
      </w:r>
      <w:r>
        <w:rPr>
          <w:spacing w:val="22"/>
          <w:w w:val="105"/>
        </w:rPr>
        <w:t> </w:t>
      </w:r>
      <w:r>
        <w:rPr>
          <w:w w:val="105"/>
        </w:rPr>
        <w:t>of Stockholders. Set forth below are the names and ages as of December 12, 2022 of these nominees, the years</w:t>
      </w:r>
      <w:r>
        <w:rPr>
          <w:spacing w:val="40"/>
          <w:w w:val="105"/>
        </w:rPr>
        <w:t> </w:t>
      </w:r>
      <w:r>
        <w:rPr>
          <w:w w:val="105"/>
        </w:rPr>
        <w:t>they became</w:t>
      </w:r>
    </w:p>
    <w:p>
      <w:pPr>
        <w:spacing w:after="0" w:line="249" w:lineRule="auto"/>
        <w:sectPr>
          <w:headerReference w:type="default" r:id="rId41"/>
          <w:footerReference w:type="default" r:id="rId42"/>
          <w:pgSz w:w="12240" w:h="15840"/>
          <w:pgMar w:header="529" w:footer="939" w:top="720" w:bottom="112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96" coordorigin="0,0" coordsize="11100,28">
            <v:rect style="position:absolute;left:0;top:0;width:11100;height:14" id="docshape97" filled="true" fillcolor="#999999" stroked="false">
              <v:fill type="solid"/>
            </v:rect>
            <v:shape style="position:absolute;left:-1;top:0;width:11100;height:28" id="docshape98" coordorigin="0,0" coordsize="11100,28" path="m11100,0l11086,14,0,14,0,28,11086,28,11100,28,11100,14,11100,0xe" filled="true" fillcolor="#ededed" stroked="false">
              <v:path arrowok="t"/>
              <v:fill type="solid"/>
            </v:shape>
            <v:shape style="position:absolute;left:0;top:0;width:14;height:28" id="docshape99"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43"/>
          <w:footerReference w:type="default" r:id="rId44"/>
          <w:pgSz w:w="12240" w:h="15840"/>
          <w:pgMar w:header="0" w:footer="0" w:top="58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BodyText"/>
        <w:spacing w:line="271" w:lineRule="auto" w:before="98"/>
        <w:ind w:left="1400" w:right="1551"/>
      </w:pPr>
      <w:r>
        <w:rPr>
          <w:w w:val="105"/>
        </w:rPr>
        <w:t>directors, their principal occupations or employment for at least the past five years, and the names of other</w:t>
      </w:r>
      <w:r>
        <w:rPr>
          <w:spacing w:val="40"/>
          <w:w w:val="105"/>
        </w:rPr>
        <w:t> </w:t>
      </w:r>
      <w:r>
        <w:rPr>
          <w:w w:val="105"/>
        </w:rPr>
        <w:t>public companies for which they serve as a director or have served as a director during the past five years.</w:t>
      </w:r>
      <w:r>
        <w:rPr>
          <w:spacing w:val="40"/>
          <w:w w:val="105"/>
        </w:rPr>
        <w:t> </w:t>
      </w:r>
      <w:r>
        <w:rPr>
          <w:w w:val="105"/>
        </w:rPr>
        <w:t>Also set forth are the specific experience, qualifications, attributes, or skills that led our Nominating</w:t>
      </w:r>
      <w:r>
        <w:rPr>
          <w:spacing w:val="40"/>
          <w:w w:val="105"/>
        </w:rPr>
        <w:t> </w:t>
      </w:r>
      <w:r>
        <w:rPr>
          <w:w w:val="105"/>
        </w:rPr>
        <w:t>Committee to conclude that each person should serve as a director. All our directors have held high-level positions in their fields and have experience in dealing with complex issues. We believe that each is an individual of high character and integrity and exercises sound judgment.</w:t>
      </w:r>
    </w:p>
    <w:p>
      <w:pPr>
        <w:spacing w:after="0" w:line="271" w:lineRule="auto"/>
        <w:sectPr>
          <w:headerReference w:type="default" r:id="rId45"/>
          <w:footerReference w:type="default" r:id="rId46"/>
          <w:pgSz w:w="12240" w:h="15840"/>
          <w:pgMar w:header="0" w:footer="617" w:top="500" w:bottom="800" w:left="480" w:right="460"/>
        </w:sectPr>
      </w:pPr>
    </w:p>
    <w:p>
      <w:pPr>
        <w:pStyle w:val="BodyText"/>
        <w:spacing w:before="6"/>
        <w:rPr>
          <w:sz w:val="16"/>
        </w:rPr>
      </w:pPr>
    </w:p>
    <w:p>
      <w:pPr>
        <w:pStyle w:val="Heading2"/>
      </w:pPr>
      <w:r>
        <w:rPr/>
        <w:t>Kathleen</w:t>
      </w:r>
      <w:r>
        <w:rPr>
          <w:spacing w:val="-10"/>
        </w:rPr>
        <w:t> </w:t>
      </w:r>
      <w:r>
        <w:rPr/>
        <w:t>L.</w:t>
      </w:r>
      <w:r>
        <w:rPr>
          <w:spacing w:val="-9"/>
        </w:rPr>
        <w:t> </w:t>
      </w:r>
      <w:r>
        <w:rPr>
          <w:spacing w:val="-2"/>
        </w:rPr>
        <w:t>Bardwell</w:t>
      </w:r>
    </w:p>
    <w:p>
      <w:pPr>
        <w:pStyle w:val="BodyText"/>
        <w:spacing w:before="17"/>
        <w:ind w:left="1400"/>
      </w:pPr>
      <w:r>
        <w:rPr>
          <w:w w:val="105"/>
        </w:rPr>
        <w:t>Age:</w:t>
      </w:r>
      <w:r>
        <w:rPr>
          <w:spacing w:val="8"/>
          <w:w w:val="105"/>
        </w:rPr>
        <w:t> </w:t>
      </w:r>
      <w:r>
        <w:rPr>
          <w:spacing w:val="-5"/>
          <w:w w:val="105"/>
        </w:rPr>
        <w:t>66</w:t>
      </w:r>
    </w:p>
    <w:p>
      <w:pPr>
        <w:pStyle w:val="BodyText"/>
        <w:spacing w:line="259" w:lineRule="auto" w:before="17"/>
        <w:ind w:left="1400"/>
      </w:pPr>
      <w:r>
        <w:rPr>
          <w:w w:val="105"/>
        </w:rPr>
        <w:t>Director Since: 2022 </w:t>
      </w:r>
      <w:r>
        <w:rPr>
          <w:spacing w:val="-2"/>
          <w:w w:val="105"/>
        </w:rPr>
        <w:t>Independent</w:t>
      </w:r>
    </w:p>
    <w:p>
      <w:pPr>
        <w:pStyle w:val="BodyText"/>
        <w:rPr>
          <w:sz w:val="20"/>
        </w:rPr>
      </w:pPr>
    </w:p>
    <w:p>
      <w:pPr>
        <w:pStyle w:val="BodyText"/>
        <w:spacing w:before="1"/>
        <w:rPr>
          <w:sz w:val="20"/>
        </w:rPr>
      </w:pPr>
    </w:p>
    <w:p>
      <w:pPr>
        <w:spacing w:before="0"/>
        <w:ind w:left="1400" w:right="0" w:firstLine="0"/>
        <w:jc w:val="left"/>
        <w:rPr>
          <w:i/>
          <w:sz w:val="18"/>
        </w:rPr>
      </w:pPr>
      <w:r>
        <w:rPr>
          <w:i/>
          <w:w w:val="105"/>
          <w:sz w:val="18"/>
          <w:u w:val="single"/>
        </w:rPr>
        <w:t>Varex</w:t>
      </w:r>
      <w:r>
        <w:rPr>
          <w:i/>
          <w:spacing w:val="-1"/>
          <w:w w:val="105"/>
          <w:sz w:val="18"/>
          <w:u w:val="single"/>
        </w:rPr>
        <w:t> </w:t>
      </w:r>
      <w:r>
        <w:rPr>
          <w:i/>
          <w:w w:val="105"/>
          <w:sz w:val="18"/>
          <w:u w:val="single"/>
        </w:rPr>
        <w:t>Committee</w:t>
      </w:r>
      <w:r>
        <w:rPr>
          <w:i/>
          <w:spacing w:val="-1"/>
          <w:w w:val="105"/>
          <w:sz w:val="18"/>
          <w:u w:val="single"/>
        </w:rPr>
        <w:t> </w:t>
      </w:r>
      <w:r>
        <w:rPr>
          <w:i/>
          <w:spacing w:val="-2"/>
          <w:w w:val="105"/>
          <w:sz w:val="18"/>
          <w:u w:val="single"/>
        </w:rPr>
        <w:t>Memberships</w:t>
      </w:r>
    </w:p>
    <w:p>
      <w:pPr>
        <w:pStyle w:val="ListParagraph"/>
        <w:numPr>
          <w:ilvl w:val="0"/>
          <w:numId w:val="8"/>
        </w:numPr>
        <w:tabs>
          <w:tab w:pos="1587" w:val="left" w:leader="none"/>
        </w:tabs>
        <w:spacing w:line="240" w:lineRule="auto" w:before="17" w:after="0"/>
        <w:ind w:left="1586" w:right="0" w:hanging="187"/>
        <w:jc w:val="left"/>
        <w:rPr>
          <w:sz w:val="18"/>
        </w:rPr>
      </w:pPr>
      <w:r>
        <w:rPr>
          <w:w w:val="105"/>
          <w:sz w:val="18"/>
        </w:rPr>
        <w:t>Audit</w:t>
      </w:r>
      <w:r>
        <w:rPr>
          <w:spacing w:val="10"/>
          <w:w w:val="105"/>
          <w:sz w:val="18"/>
        </w:rPr>
        <w:t> </w:t>
      </w:r>
      <w:r>
        <w:rPr>
          <w:spacing w:val="-2"/>
          <w:w w:val="105"/>
          <w:sz w:val="18"/>
        </w:rPr>
        <w:t>Committee</w:t>
      </w:r>
    </w:p>
    <w:p>
      <w:pPr>
        <w:pStyle w:val="ListParagraph"/>
        <w:numPr>
          <w:ilvl w:val="0"/>
          <w:numId w:val="8"/>
        </w:numPr>
        <w:tabs>
          <w:tab w:pos="1587" w:val="left" w:leader="none"/>
        </w:tabs>
        <w:spacing w:line="240" w:lineRule="auto" w:before="17" w:after="0"/>
        <w:ind w:left="1586" w:right="0" w:hanging="187"/>
        <w:jc w:val="left"/>
        <w:rPr>
          <w:sz w:val="18"/>
        </w:rPr>
      </w:pPr>
      <w:r>
        <w:rPr>
          <w:sz w:val="18"/>
        </w:rPr>
        <w:t>Compensation</w:t>
      </w:r>
      <w:r>
        <w:rPr>
          <w:spacing w:val="73"/>
          <w:sz w:val="18"/>
        </w:rPr>
        <w:t> </w:t>
      </w:r>
      <w:r>
        <w:rPr>
          <w:spacing w:val="-2"/>
          <w:sz w:val="18"/>
        </w:rPr>
        <w:t>Committee</w:t>
      </w:r>
    </w:p>
    <w:p>
      <w:pPr>
        <w:spacing w:before="176"/>
        <w:ind w:left="523"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9"/>
        </w:numPr>
        <w:tabs>
          <w:tab w:pos="710" w:val="left" w:leader="none"/>
        </w:tabs>
        <w:spacing w:line="240" w:lineRule="auto" w:before="129" w:after="0"/>
        <w:ind w:left="709" w:right="0" w:hanging="187"/>
        <w:jc w:val="left"/>
        <w:rPr>
          <w:sz w:val="18"/>
        </w:rPr>
      </w:pPr>
      <w:r>
        <w:rPr>
          <w:w w:val="105"/>
          <w:sz w:val="18"/>
        </w:rPr>
        <w:t>Positions</w:t>
      </w:r>
      <w:r>
        <w:rPr>
          <w:spacing w:val="11"/>
          <w:w w:val="105"/>
          <w:sz w:val="18"/>
        </w:rPr>
        <w:t> </w:t>
      </w:r>
      <w:r>
        <w:rPr>
          <w:w w:val="105"/>
          <w:sz w:val="18"/>
        </w:rPr>
        <w:t>at</w:t>
      </w:r>
      <w:r>
        <w:rPr>
          <w:spacing w:val="11"/>
          <w:w w:val="105"/>
          <w:sz w:val="18"/>
        </w:rPr>
        <w:t> </w:t>
      </w:r>
      <w:r>
        <w:rPr>
          <w:w w:val="105"/>
          <w:sz w:val="18"/>
        </w:rPr>
        <w:t>STERIS</w:t>
      </w:r>
      <w:r>
        <w:rPr>
          <w:spacing w:val="12"/>
          <w:w w:val="105"/>
          <w:sz w:val="18"/>
        </w:rPr>
        <w:t> </w:t>
      </w:r>
      <w:r>
        <w:rPr>
          <w:spacing w:val="-2"/>
          <w:w w:val="105"/>
          <w:sz w:val="18"/>
        </w:rPr>
        <w:t>Corporation</w:t>
      </w:r>
    </w:p>
    <w:p>
      <w:pPr>
        <w:pStyle w:val="ListParagraph"/>
        <w:numPr>
          <w:ilvl w:val="1"/>
          <w:numId w:val="9"/>
        </w:numPr>
        <w:tabs>
          <w:tab w:pos="896" w:val="left" w:leader="none"/>
        </w:tabs>
        <w:spacing w:line="259" w:lineRule="auto" w:before="100" w:after="0"/>
        <w:ind w:left="895" w:right="1472" w:hanging="187"/>
        <w:jc w:val="left"/>
        <w:rPr>
          <w:sz w:val="18"/>
        </w:rPr>
      </w:pPr>
      <w:r>
        <w:rPr>
          <w:w w:val="105"/>
          <w:sz w:val="18"/>
        </w:rPr>
        <w:t>Senior Vice President, Regulatory Affairs &amp; Compliance (2019 – </w:t>
      </w:r>
      <w:r>
        <w:rPr>
          <w:spacing w:val="-2"/>
          <w:w w:val="105"/>
          <w:sz w:val="18"/>
        </w:rPr>
        <w:t>2021)</w:t>
      </w:r>
    </w:p>
    <w:p>
      <w:pPr>
        <w:pStyle w:val="ListParagraph"/>
        <w:numPr>
          <w:ilvl w:val="1"/>
          <w:numId w:val="9"/>
        </w:numPr>
        <w:tabs>
          <w:tab w:pos="896" w:val="left" w:leader="none"/>
        </w:tabs>
        <w:spacing w:line="240" w:lineRule="auto" w:before="140" w:after="0"/>
        <w:ind w:left="896" w:right="0" w:hanging="187"/>
        <w:jc w:val="left"/>
        <w:rPr>
          <w:sz w:val="18"/>
        </w:rPr>
      </w:pPr>
      <w:r>
        <w:rPr>
          <w:w w:val="105"/>
          <w:sz w:val="18"/>
        </w:rPr>
        <w:t>Senior</w:t>
      </w:r>
      <w:r>
        <w:rPr>
          <w:spacing w:val="6"/>
          <w:w w:val="105"/>
          <w:sz w:val="18"/>
        </w:rPr>
        <w:t> </w:t>
      </w:r>
      <w:r>
        <w:rPr>
          <w:w w:val="105"/>
          <w:sz w:val="18"/>
        </w:rPr>
        <w:t>Vice</w:t>
      </w:r>
      <w:r>
        <w:rPr>
          <w:spacing w:val="11"/>
          <w:w w:val="105"/>
          <w:sz w:val="18"/>
        </w:rPr>
        <w:t> </w:t>
      </w:r>
      <w:r>
        <w:rPr>
          <w:w w:val="105"/>
          <w:sz w:val="18"/>
        </w:rPr>
        <w:t>President,</w:t>
      </w:r>
      <w:r>
        <w:rPr>
          <w:spacing w:val="10"/>
          <w:w w:val="105"/>
          <w:sz w:val="18"/>
        </w:rPr>
        <w:t> </w:t>
      </w:r>
      <w:r>
        <w:rPr>
          <w:w w:val="105"/>
          <w:sz w:val="18"/>
        </w:rPr>
        <w:t>Chief</w:t>
      </w:r>
      <w:r>
        <w:rPr>
          <w:spacing w:val="11"/>
          <w:w w:val="105"/>
          <w:sz w:val="18"/>
        </w:rPr>
        <w:t> </w:t>
      </w:r>
      <w:r>
        <w:rPr>
          <w:w w:val="105"/>
          <w:sz w:val="18"/>
        </w:rPr>
        <w:t>Compliance</w:t>
      </w:r>
      <w:r>
        <w:rPr>
          <w:spacing w:val="11"/>
          <w:w w:val="105"/>
          <w:sz w:val="18"/>
        </w:rPr>
        <w:t> </w:t>
      </w:r>
      <w:r>
        <w:rPr>
          <w:w w:val="105"/>
          <w:sz w:val="18"/>
        </w:rPr>
        <w:t>Officer</w:t>
      </w:r>
      <w:r>
        <w:rPr>
          <w:spacing w:val="10"/>
          <w:w w:val="105"/>
          <w:sz w:val="18"/>
        </w:rPr>
        <w:t> </w:t>
      </w:r>
      <w:r>
        <w:rPr>
          <w:w w:val="105"/>
          <w:sz w:val="18"/>
        </w:rPr>
        <w:t>(2008 – </w:t>
      </w:r>
      <w:r>
        <w:rPr>
          <w:spacing w:val="-2"/>
          <w:w w:val="105"/>
          <w:sz w:val="18"/>
        </w:rPr>
        <w:t>2019)</w:t>
      </w:r>
    </w:p>
    <w:p>
      <w:pPr>
        <w:pStyle w:val="ListParagraph"/>
        <w:numPr>
          <w:ilvl w:val="0"/>
          <w:numId w:val="9"/>
        </w:numPr>
        <w:tabs>
          <w:tab w:pos="710" w:val="left" w:leader="none"/>
        </w:tabs>
        <w:spacing w:line="259" w:lineRule="auto" w:before="101" w:after="0"/>
        <w:ind w:left="709" w:right="1539" w:hanging="187"/>
        <w:jc w:val="left"/>
        <w:rPr>
          <w:sz w:val="18"/>
        </w:rPr>
      </w:pPr>
      <w:r>
        <w:rPr>
          <w:w w:val="105"/>
          <w:sz w:val="18"/>
        </w:rPr>
        <w:t>Prior to STERIS Corporation, served in several leadership roles including Vice President, Internal Audit and Tax for Cole National Corporation, a global leader in optical healthcare</w:t>
      </w:r>
    </w:p>
    <w:p>
      <w:pPr>
        <w:pStyle w:val="ListParagraph"/>
        <w:numPr>
          <w:ilvl w:val="0"/>
          <w:numId w:val="9"/>
        </w:numPr>
        <w:tabs>
          <w:tab w:pos="710" w:val="left" w:leader="none"/>
        </w:tabs>
        <w:spacing w:line="259" w:lineRule="auto" w:before="112" w:after="0"/>
        <w:ind w:left="709" w:right="1852" w:hanging="187"/>
        <w:jc w:val="left"/>
        <w:rPr>
          <w:sz w:val="18"/>
        </w:rPr>
      </w:pPr>
      <w:r>
        <w:rPr>
          <w:w w:val="105"/>
          <w:sz w:val="18"/>
        </w:rPr>
        <w:t>Prior Public Company Board Memberships in Past Five Years: MainSource Financial Group, First Financial Bancorp</w:t>
      </w:r>
    </w:p>
    <w:p>
      <w:pPr>
        <w:spacing w:after="0" w:line="259" w:lineRule="auto"/>
        <w:jc w:val="left"/>
        <w:rPr>
          <w:sz w:val="18"/>
        </w:rPr>
        <w:sectPr>
          <w:type w:val="continuous"/>
          <w:pgSz w:w="12240" w:h="15840"/>
          <w:pgMar w:header="0" w:footer="617" w:top="600" w:bottom="960" w:left="480" w:right="460"/>
          <w:cols w:num="2" w:equalWidth="0">
            <w:col w:w="3820" w:space="40"/>
            <w:col w:w="7440"/>
          </w:cols>
        </w:sectPr>
      </w:pPr>
    </w:p>
    <w:p>
      <w:pPr>
        <w:spacing w:line="211" w:lineRule="auto" w:before="104"/>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1"/>
          <w:numId w:val="9"/>
        </w:numPr>
        <w:tabs>
          <w:tab w:pos="4569" w:val="left" w:leader="none"/>
        </w:tabs>
        <w:spacing w:line="259" w:lineRule="auto" w:before="147" w:after="0"/>
        <w:ind w:left="4568" w:right="1430" w:hanging="187"/>
        <w:jc w:val="both"/>
        <w:rPr>
          <w:sz w:val="18"/>
        </w:rPr>
      </w:pPr>
      <w:r>
        <w:rPr>
          <w:w w:val="105"/>
          <w:sz w:val="18"/>
        </w:rPr>
        <w:t>35 years of audit and accounting experience coupled with extensive background in the field of quality and regulatory affairs for a multi- national medical device company</w:t>
      </w:r>
    </w:p>
    <w:p>
      <w:pPr>
        <w:pStyle w:val="ListParagraph"/>
        <w:numPr>
          <w:ilvl w:val="1"/>
          <w:numId w:val="9"/>
        </w:numPr>
        <w:tabs>
          <w:tab w:pos="4569" w:val="left" w:leader="none"/>
        </w:tabs>
        <w:spacing w:line="259" w:lineRule="auto" w:before="113" w:after="0"/>
        <w:ind w:left="4568" w:right="1417" w:hanging="187"/>
        <w:jc w:val="both"/>
        <w:rPr>
          <w:sz w:val="18"/>
        </w:rPr>
      </w:pPr>
      <w:r>
        <w:rPr>
          <w:w w:val="105"/>
          <w:sz w:val="18"/>
        </w:rPr>
        <w:t>Certified Public Accountant (CPA) since 1989; Certification in Risk Management Assurance (CRMA) designation since 2013;</w:t>
      </w:r>
    </w:p>
    <w:p>
      <w:pPr>
        <w:pStyle w:val="ListParagraph"/>
        <w:numPr>
          <w:ilvl w:val="1"/>
          <w:numId w:val="9"/>
        </w:numPr>
        <w:tabs>
          <w:tab w:pos="4569" w:val="left" w:leader="none"/>
        </w:tabs>
        <w:spacing w:line="259" w:lineRule="auto" w:before="112" w:after="0"/>
        <w:ind w:left="4568" w:right="1806" w:hanging="187"/>
        <w:jc w:val="left"/>
        <w:rPr>
          <w:sz w:val="18"/>
        </w:rPr>
      </w:pPr>
      <w:r>
        <w:rPr>
          <w:w w:val="105"/>
          <w:sz w:val="18"/>
        </w:rPr>
        <w:t>Extensive experience in compliance, corporate governance and ESG matters; and</w:t>
      </w:r>
    </w:p>
    <w:p>
      <w:pPr>
        <w:pStyle w:val="ListParagraph"/>
        <w:numPr>
          <w:ilvl w:val="1"/>
          <w:numId w:val="9"/>
        </w:numPr>
        <w:tabs>
          <w:tab w:pos="4569" w:val="left" w:leader="none"/>
        </w:tabs>
        <w:spacing w:line="259" w:lineRule="auto" w:before="112" w:after="0"/>
        <w:ind w:left="4568" w:right="1793" w:hanging="187"/>
        <w:jc w:val="left"/>
        <w:rPr>
          <w:sz w:val="18"/>
        </w:rPr>
      </w:pPr>
      <w:r>
        <w:rPr>
          <w:w w:val="105"/>
          <w:sz w:val="18"/>
        </w:rPr>
        <w:t>Experience serving on public company boards and committees, including audit and nominating committees, as well as audit committee chair.</w:t>
      </w:r>
    </w:p>
    <w:p>
      <w:pPr>
        <w:spacing w:after="0" w:line="259" w:lineRule="auto"/>
        <w:jc w:val="left"/>
        <w:rPr>
          <w:sz w:val="18"/>
        </w:rPr>
        <w:sectPr>
          <w:type w:val="continuous"/>
          <w:pgSz w:w="12240" w:h="15840"/>
          <w:pgMar w:header="0" w:footer="617" w:top="600" w:bottom="960" w:left="480" w:right="460"/>
        </w:sectPr>
      </w:pPr>
    </w:p>
    <w:p>
      <w:pPr>
        <w:pStyle w:val="Heading2"/>
        <w:spacing w:before="84"/>
      </w:pPr>
      <w:r>
        <w:rPr>
          <w:spacing w:val="-2"/>
        </w:rPr>
        <w:t>Jocelyn</w:t>
      </w:r>
      <w:r>
        <w:rPr/>
        <w:t> </w:t>
      </w:r>
      <w:r>
        <w:rPr>
          <w:spacing w:val="-2"/>
        </w:rPr>
        <w:t>D.</w:t>
      </w:r>
      <w:r>
        <w:rPr>
          <w:spacing w:val="1"/>
        </w:rPr>
        <w:t> </w:t>
      </w:r>
      <w:r>
        <w:rPr>
          <w:spacing w:val="-2"/>
        </w:rPr>
        <w:t>Chertoff,</w:t>
      </w:r>
      <w:r>
        <w:rPr/>
        <w:t> </w:t>
      </w:r>
      <w:r>
        <w:rPr>
          <w:spacing w:val="-4"/>
        </w:rPr>
        <w:t>M.D.</w:t>
      </w:r>
    </w:p>
    <w:p>
      <w:pPr>
        <w:pStyle w:val="BodyText"/>
        <w:spacing w:before="17"/>
        <w:ind w:left="1400"/>
      </w:pPr>
      <w:r>
        <w:rPr>
          <w:w w:val="105"/>
        </w:rPr>
        <w:t>Age:</w:t>
      </w:r>
      <w:r>
        <w:rPr>
          <w:spacing w:val="8"/>
          <w:w w:val="105"/>
        </w:rPr>
        <w:t> </w:t>
      </w:r>
      <w:r>
        <w:rPr>
          <w:spacing w:val="-5"/>
          <w:w w:val="105"/>
        </w:rPr>
        <w:t>67</w:t>
      </w:r>
    </w:p>
    <w:p>
      <w:pPr>
        <w:pStyle w:val="BodyText"/>
        <w:spacing w:line="259" w:lineRule="auto" w:before="16"/>
        <w:ind w:left="1400" w:right="170"/>
      </w:pPr>
      <w:r>
        <w:rPr>
          <w:w w:val="105"/>
        </w:rPr>
        <w:t>Director Since: 2017 </w:t>
      </w:r>
      <w:r>
        <w:rPr>
          <w:spacing w:val="-2"/>
          <w:w w:val="105"/>
        </w:rPr>
        <w:t>Independent</w:t>
      </w:r>
    </w:p>
    <w:p>
      <w:pPr>
        <w:pStyle w:val="BodyText"/>
        <w:rPr>
          <w:sz w:val="20"/>
        </w:rPr>
      </w:pPr>
    </w:p>
    <w:p>
      <w:pPr>
        <w:pStyle w:val="BodyText"/>
        <w:spacing w:before="4"/>
        <w:rPr>
          <w:sz w:val="21"/>
        </w:rPr>
      </w:pPr>
    </w:p>
    <w:p>
      <w:pPr>
        <w:spacing w:before="1"/>
        <w:ind w:left="1400" w:right="0" w:firstLine="0"/>
        <w:jc w:val="left"/>
        <w:rPr>
          <w:i/>
          <w:sz w:val="18"/>
        </w:rPr>
      </w:pPr>
      <w:r>
        <w:rPr>
          <w:i/>
          <w:w w:val="105"/>
          <w:sz w:val="18"/>
          <w:u w:val="single"/>
        </w:rPr>
        <w:t>Varex</w:t>
      </w:r>
      <w:r>
        <w:rPr>
          <w:i/>
          <w:spacing w:val="-1"/>
          <w:w w:val="105"/>
          <w:sz w:val="18"/>
          <w:u w:val="single"/>
        </w:rPr>
        <w:t> </w:t>
      </w:r>
      <w:r>
        <w:rPr>
          <w:i/>
          <w:w w:val="105"/>
          <w:sz w:val="18"/>
          <w:u w:val="single"/>
        </w:rPr>
        <w:t>Committee</w:t>
      </w:r>
      <w:r>
        <w:rPr>
          <w:i/>
          <w:spacing w:val="-1"/>
          <w:w w:val="105"/>
          <w:sz w:val="18"/>
          <w:u w:val="single"/>
        </w:rPr>
        <w:t> </w:t>
      </w:r>
      <w:r>
        <w:rPr>
          <w:i/>
          <w:spacing w:val="-2"/>
          <w:w w:val="105"/>
          <w:sz w:val="18"/>
          <w:u w:val="single"/>
        </w:rPr>
        <w:t>Memberships</w:t>
      </w:r>
    </w:p>
    <w:p>
      <w:pPr>
        <w:pStyle w:val="ListParagraph"/>
        <w:numPr>
          <w:ilvl w:val="0"/>
          <w:numId w:val="10"/>
        </w:numPr>
        <w:tabs>
          <w:tab w:pos="1587" w:val="left" w:leader="none"/>
        </w:tabs>
        <w:spacing w:line="240" w:lineRule="auto" w:before="16" w:after="0"/>
        <w:ind w:left="1586" w:right="0" w:hanging="187"/>
        <w:jc w:val="left"/>
        <w:rPr>
          <w:sz w:val="18"/>
        </w:rPr>
      </w:pPr>
      <w:r>
        <w:rPr>
          <w:w w:val="105"/>
          <w:sz w:val="18"/>
        </w:rPr>
        <w:t>Audit</w:t>
      </w:r>
      <w:r>
        <w:rPr>
          <w:spacing w:val="10"/>
          <w:w w:val="105"/>
          <w:sz w:val="18"/>
        </w:rPr>
        <w:t> </w:t>
      </w:r>
      <w:r>
        <w:rPr>
          <w:spacing w:val="-2"/>
          <w:w w:val="105"/>
          <w:sz w:val="18"/>
        </w:rPr>
        <w:t>Committee</w:t>
      </w:r>
    </w:p>
    <w:p>
      <w:pPr>
        <w:pStyle w:val="ListParagraph"/>
        <w:numPr>
          <w:ilvl w:val="0"/>
          <w:numId w:val="10"/>
        </w:numPr>
        <w:tabs>
          <w:tab w:pos="1587" w:val="left" w:leader="none"/>
        </w:tabs>
        <w:spacing w:line="240" w:lineRule="auto" w:before="17" w:after="0"/>
        <w:ind w:left="1586" w:right="0" w:hanging="187"/>
        <w:jc w:val="left"/>
        <w:rPr>
          <w:sz w:val="18"/>
        </w:rPr>
      </w:pPr>
      <w:r>
        <w:rPr>
          <w:w w:val="105"/>
          <w:sz w:val="18"/>
        </w:rPr>
        <w:t>Nominating</w:t>
      </w:r>
      <w:r>
        <w:rPr>
          <w:spacing w:val="15"/>
          <w:w w:val="105"/>
          <w:sz w:val="18"/>
        </w:rPr>
        <w:t> </w:t>
      </w:r>
      <w:r>
        <w:rPr>
          <w:w w:val="105"/>
          <w:sz w:val="18"/>
        </w:rPr>
        <w:t>Committee</w:t>
      </w:r>
      <w:r>
        <w:rPr>
          <w:spacing w:val="16"/>
          <w:w w:val="105"/>
          <w:sz w:val="18"/>
        </w:rPr>
        <w:t> </w:t>
      </w:r>
      <w:r>
        <w:rPr>
          <w:spacing w:val="-2"/>
          <w:w w:val="105"/>
          <w:sz w:val="18"/>
        </w:rPr>
        <w:t>(Chair)</w:t>
      </w:r>
    </w:p>
    <w:p>
      <w:pPr>
        <w:spacing w:before="70"/>
        <w:ind w:left="305"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11"/>
        </w:numPr>
        <w:tabs>
          <w:tab w:pos="492" w:val="left" w:leader="none"/>
        </w:tabs>
        <w:spacing w:line="240" w:lineRule="auto" w:before="129" w:after="0"/>
        <w:ind w:left="491" w:right="0" w:hanging="187"/>
        <w:jc w:val="left"/>
        <w:rPr>
          <w:sz w:val="18"/>
        </w:rPr>
      </w:pPr>
      <w:r>
        <w:rPr>
          <w:w w:val="105"/>
          <w:sz w:val="18"/>
        </w:rPr>
        <w:t>Positions</w:t>
      </w:r>
      <w:r>
        <w:rPr>
          <w:spacing w:val="13"/>
          <w:w w:val="105"/>
          <w:sz w:val="18"/>
        </w:rPr>
        <w:t> </w:t>
      </w:r>
      <w:r>
        <w:rPr>
          <w:w w:val="105"/>
          <w:sz w:val="18"/>
        </w:rPr>
        <w:t>at</w:t>
      </w:r>
      <w:r>
        <w:rPr>
          <w:spacing w:val="14"/>
          <w:w w:val="105"/>
          <w:sz w:val="18"/>
        </w:rPr>
        <w:t> </w:t>
      </w:r>
      <w:r>
        <w:rPr>
          <w:w w:val="105"/>
          <w:sz w:val="18"/>
        </w:rPr>
        <w:t>Dartmouth</w:t>
      </w:r>
      <w:r>
        <w:rPr>
          <w:spacing w:val="14"/>
          <w:w w:val="105"/>
          <w:sz w:val="18"/>
        </w:rPr>
        <w:t> </w:t>
      </w:r>
      <w:r>
        <w:rPr>
          <w:w w:val="105"/>
          <w:sz w:val="18"/>
        </w:rPr>
        <w:t>Hitchcock</w:t>
      </w:r>
      <w:r>
        <w:rPr>
          <w:spacing w:val="14"/>
          <w:w w:val="105"/>
          <w:sz w:val="18"/>
        </w:rPr>
        <w:t> </w:t>
      </w:r>
      <w:r>
        <w:rPr>
          <w:w w:val="105"/>
          <w:sz w:val="18"/>
        </w:rPr>
        <w:t>Medical</w:t>
      </w:r>
      <w:r>
        <w:rPr>
          <w:spacing w:val="13"/>
          <w:w w:val="105"/>
          <w:sz w:val="18"/>
        </w:rPr>
        <w:t> </w:t>
      </w:r>
      <w:r>
        <w:rPr>
          <w:spacing w:val="-2"/>
          <w:w w:val="105"/>
          <w:sz w:val="18"/>
        </w:rPr>
        <w:t>Center</w:t>
      </w:r>
    </w:p>
    <w:p>
      <w:pPr>
        <w:pStyle w:val="ListParagraph"/>
        <w:numPr>
          <w:ilvl w:val="1"/>
          <w:numId w:val="11"/>
        </w:numPr>
        <w:tabs>
          <w:tab w:pos="679" w:val="left" w:leader="none"/>
        </w:tabs>
        <w:spacing w:line="259" w:lineRule="auto" w:before="114" w:after="0"/>
        <w:ind w:left="678" w:right="1943" w:hanging="187"/>
        <w:jc w:val="left"/>
        <w:rPr>
          <w:sz w:val="18"/>
        </w:rPr>
      </w:pPr>
      <w:r>
        <w:rPr>
          <w:w w:val="105"/>
          <w:sz w:val="18"/>
        </w:rPr>
        <w:t>Chair of the Department of Diagnostic Radiology and Vice President of the Regional Radiology Service Line (2015 – </w:t>
      </w:r>
      <w:r>
        <w:rPr>
          <w:spacing w:val="-2"/>
          <w:w w:val="105"/>
          <w:sz w:val="18"/>
        </w:rPr>
        <w:t>Present)</w:t>
      </w:r>
    </w:p>
    <w:p>
      <w:pPr>
        <w:pStyle w:val="ListParagraph"/>
        <w:numPr>
          <w:ilvl w:val="1"/>
          <w:numId w:val="11"/>
        </w:numPr>
        <w:tabs>
          <w:tab w:pos="679" w:val="left" w:leader="none"/>
        </w:tabs>
        <w:spacing w:line="259" w:lineRule="auto" w:before="112" w:after="0"/>
        <w:ind w:left="678" w:right="2051" w:hanging="187"/>
        <w:jc w:val="left"/>
        <w:rPr>
          <w:sz w:val="18"/>
        </w:rPr>
      </w:pPr>
      <w:r>
        <w:rPr>
          <w:w w:val="105"/>
          <w:sz w:val="18"/>
        </w:rPr>
        <w:t>Interim Chair of the Department of Diagnostic Radiology (2014 – 2015)</w:t>
      </w:r>
    </w:p>
    <w:p>
      <w:pPr>
        <w:pStyle w:val="ListParagraph"/>
        <w:numPr>
          <w:ilvl w:val="1"/>
          <w:numId w:val="11"/>
        </w:numPr>
        <w:tabs>
          <w:tab w:pos="679" w:val="left" w:leader="none"/>
        </w:tabs>
        <w:spacing w:line="259" w:lineRule="auto" w:before="112" w:after="0"/>
        <w:ind w:left="678" w:right="1628" w:hanging="187"/>
        <w:jc w:val="left"/>
        <w:rPr>
          <w:sz w:val="18"/>
        </w:rPr>
      </w:pPr>
      <w:r>
        <w:rPr>
          <w:w w:val="105"/>
          <w:sz w:val="18"/>
        </w:rPr>
        <w:t>Vice Chair of the Department of Diagnostic Radiology (2004 – </w:t>
      </w:r>
      <w:r>
        <w:rPr>
          <w:spacing w:val="-2"/>
          <w:w w:val="105"/>
          <w:sz w:val="18"/>
        </w:rPr>
        <w:t>2012)</w:t>
      </w:r>
    </w:p>
    <w:p>
      <w:pPr>
        <w:spacing w:after="0" w:line="259" w:lineRule="auto"/>
        <w:jc w:val="left"/>
        <w:rPr>
          <w:sz w:val="18"/>
        </w:rPr>
        <w:sectPr>
          <w:type w:val="continuous"/>
          <w:pgSz w:w="12240" w:h="15840"/>
          <w:pgMar w:header="0" w:footer="617" w:top="600" w:bottom="960" w:left="480" w:right="460"/>
          <w:cols w:num="2" w:equalWidth="0">
            <w:col w:w="4037" w:space="40"/>
            <w:col w:w="7223"/>
          </w:cols>
        </w:sectPr>
      </w:pPr>
    </w:p>
    <w:p>
      <w:pPr>
        <w:pStyle w:val="ListParagraph"/>
        <w:numPr>
          <w:ilvl w:val="2"/>
          <w:numId w:val="11"/>
        </w:numPr>
        <w:tabs>
          <w:tab w:pos="4569" w:val="left" w:leader="none"/>
        </w:tabs>
        <w:spacing w:line="240" w:lineRule="auto" w:before="127" w:after="0"/>
        <w:ind w:left="4568" w:right="0" w:hanging="187"/>
        <w:jc w:val="left"/>
        <w:rPr>
          <w:sz w:val="18"/>
        </w:rPr>
      </w:pPr>
      <w:r>
        <w:rPr>
          <w:w w:val="105"/>
          <w:sz w:val="18"/>
        </w:rPr>
        <w:t>Practicing</w:t>
      </w:r>
      <w:r>
        <w:rPr>
          <w:spacing w:val="16"/>
          <w:w w:val="105"/>
          <w:sz w:val="18"/>
        </w:rPr>
        <w:t> </w:t>
      </w:r>
      <w:r>
        <w:rPr>
          <w:w w:val="105"/>
          <w:sz w:val="18"/>
        </w:rPr>
        <w:t>Radiologist</w:t>
      </w:r>
      <w:r>
        <w:rPr>
          <w:spacing w:val="17"/>
          <w:w w:val="105"/>
          <w:sz w:val="18"/>
        </w:rPr>
        <w:t> </w:t>
      </w:r>
      <w:r>
        <w:rPr>
          <w:w w:val="105"/>
          <w:sz w:val="18"/>
        </w:rPr>
        <w:t>since</w:t>
      </w:r>
      <w:r>
        <w:rPr>
          <w:spacing w:val="17"/>
          <w:w w:val="105"/>
          <w:sz w:val="18"/>
        </w:rPr>
        <w:t> </w:t>
      </w:r>
      <w:r>
        <w:rPr>
          <w:spacing w:val="-4"/>
          <w:w w:val="105"/>
          <w:sz w:val="18"/>
        </w:rPr>
        <w:t>1991</w:t>
      </w:r>
    </w:p>
    <w:p>
      <w:pPr>
        <w:spacing w:line="228" w:lineRule="auto" w:before="81"/>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2"/>
          <w:numId w:val="11"/>
        </w:numPr>
        <w:tabs>
          <w:tab w:pos="4569" w:val="left" w:leader="none"/>
        </w:tabs>
        <w:spacing w:line="240" w:lineRule="auto" w:before="129" w:after="0"/>
        <w:ind w:left="4568" w:right="0" w:hanging="187"/>
        <w:jc w:val="left"/>
        <w:rPr>
          <w:sz w:val="18"/>
        </w:rPr>
      </w:pPr>
      <w:r>
        <w:rPr>
          <w:w w:val="105"/>
          <w:sz w:val="18"/>
        </w:rPr>
        <w:t>Deep</w:t>
      </w:r>
      <w:r>
        <w:rPr>
          <w:spacing w:val="11"/>
          <w:w w:val="105"/>
          <w:sz w:val="18"/>
        </w:rPr>
        <w:t> </w:t>
      </w:r>
      <w:r>
        <w:rPr>
          <w:w w:val="105"/>
          <w:sz w:val="18"/>
        </w:rPr>
        <w:t>knowledge</w:t>
      </w:r>
      <w:r>
        <w:rPr>
          <w:spacing w:val="11"/>
          <w:w w:val="105"/>
          <w:sz w:val="18"/>
        </w:rPr>
        <w:t> </w:t>
      </w:r>
      <w:r>
        <w:rPr>
          <w:w w:val="105"/>
          <w:sz w:val="18"/>
        </w:rPr>
        <w:t>and</w:t>
      </w:r>
      <w:r>
        <w:rPr>
          <w:spacing w:val="11"/>
          <w:w w:val="105"/>
          <w:sz w:val="18"/>
        </w:rPr>
        <w:t> </w:t>
      </w:r>
      <w:r>
        <w:rPr>
          <w:w w:val="105"/>
          <w:sz w:val="18"/>
        </w:rPr>
        <w:t>experience</w:t>
      </w:r>
      <w:r>
        <w:rPr>
          <w:spacing w:val="11"/>
          <w:w w:val="105"/>
          <w:sz w:val="18"/>
        </w:rPr>
        <w:t> </w:t>
      </w:r>
      <w:r>
        <w:rPr>
          <w:w w:val="105"/>
          <w:sz w:val="18"/>
        </w:rPr>
        <w:t>in</w:t>
      </w:r>
      <w:r>
        <w:rPr>
          <w:spacing w:val="11"/>
          <w:w w:val="105"/>
          <w:sz w:val="18"/>
        </w:rPr>
        <w:t> </w:t>
      </w:r>
      <w:r>
        <w:rPr>
          <w:spacing w:val="-2"/>
          <w:w w:val="105"/>
          <w:sz w:val="18"/>
        </w:rPr>
        <w:t>radiology;</w:t>
      </w:r>
    </w:p>
    <w:p>
      <w:pPr>
        <w:pStyle w:val="ListParagraph"/>
        <w:numPr>
          <w:ilvl w:val="2"/>
          <w:numId w:val="11"/>
        </w:numPr>
        <w:tabs>
          <w:tab w:pos="4569" w:val="left" w:leader="none"/>
        </w:tabs>
        <w:spacing w:line="259" w:lineRule="auto" w:before="101" w:after="0"/>
        <w:ind w:left="4568" w:right="1790" w:hanging="187"/>
        <w:jc w:val="left"/>
        <w:rPr>
          <w:sz w:val="18"/>
        </w:rPr>
      </w:pPr>
      <w:r>
        <w:rPr>
          <w:w w:val="105"/>
          <w:sz w:val="18"/>
        </w:rPr>
        <w:t>Provides significant end-user perspective to assist with product development as well as with relationships with existing and prospective X-ray imaging system manufacturers; and</w:t>
      </w:r>
    </w:p>
    <w:p>
      <w:pPr>
        <w:pStyle w:val="ListParagraph"/>
        <w:numPr>
          <w:ilvl w:val="2"/>
          <w:numId w:val="11"/>
        </w:numPr>
        <w:tabs>
          <w:tab w:pos="4569" w:val="left" w:leader="none"/>
        </w:tabs>
        <w:spacing w:line="259" w:lineRule="auto" w:before="112" w:after="0"/>
        <w:ind w:left="4568" w:right="2253" w:hanging="187"/>
        <w:jc w:val="left"/>
        <w:rPr>
          <w:sz w:val="18"/>
        </w:rPr>
      </w:pPr>
      <w:r>
        <w:rPr>
          <w:w w:val="105"/>
          <w:sz w:val="18"/>
        </w:rPr>
        <w:t>Experience serving on a number of non-profit boards and </w:t>
      </w:r>
      <w:r>
        <w:rPr>
          <w:spacing w:val="-2"/>
          <w:w w:val="105"/>
          <w:sz w:val="18"/>
        </w:rPr>
        <w:t>committees.</w:t>
      </w:r>
    </w:p>
    <w:p>
      <w:pPr>
        <w:spacing w:after="0" w:line="259" w:lineRule="auto"/>
        <w:jc w:val="left"/>
        <w:rPr>
          <w:sz w:val="18"/>
        </w:rPr>
        <w:sectPr>
          <w:type w:val="continuous"/>
          <w:pgSz w:w="12240" w:h="15840"/>
          <w:pgMar w:header="0" w:footer="617" w:top="600" w:bottom="96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101" coordorigin="0,0" coordsize="11100,28">
            <v:rect style="position:absolute;left:0;top:0;width:11100;height:14" id="docshape102" filled="true" fillcolor="#999999" stroked="false">
              <v:fill type="solid"/>
            </v:rect>
            <v:shape style="position:absolute;left:-1;top:0;width:11100;height:28" id="docshape103" coordorigin="0,0" coordsize="11100,28" path="m11100,0l11086,14,0,14,0,28,11086,28,11100,28,11100,14,11100,0xe" filled="true" fillcolor="#ededed" stroked="false">
              <v:path arrowok="t"/>
              <v:fill type="solid"/>
            </v:shape>
            <v:shape style="position:absolute;left:0;top:0;width:14;height:28" id="docshape104"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47"/>
          <w:footerReference w:type="default" r:id="rId48"/>
          <w:pgSz w:w="12240" w:h="15840"/>
          <w:pgMar w:header="0" w:footer="0" w:top="58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1"/>
        <w:rPr>
          <w:rFonts w:ascii="Calibri"/>
          <w:sz w:val="21"/>
        </w:rPr>
      </w:pPr>
    </w:p>
    <w:p>
      <w:pPr>
        <w:spacing w:after="0"/>
        <w:rPr>
          <w:rFonts w:ascii="Calibri"/>
          <w:sz w:val="21"/>
        </w:rPr>
        <w:sectPr>
          <w:headerReference w:type="default" r:id="rId49"/>
          <w:footerReference w:type="default" r:id="rId50"/>
          <w:pgSz w:w="12240" w:h="15840"/>
          <w:pgMar w:header="0" w:footer="897" w:top="500" w:bottom="1080" w:left="480" w:right="460"/>
        </w:sectPr>
      </w:pPr>
    </w:p>
    <w:p>
      <w:pPr>
        <w:pStyle w:val="Heading2"/>
        <w:spacing w:before="112"/>
      </w:pPr>
      <w:r>
        <w:rPr/>
        <w:t>Timothy</w:t>
      </w:r>
      <w:r>
        <w:rPr>
          <w:spacing w:val="-10"/>
        </w:rPr>
        <w:t> </w:t>
      </w:r>
      <w:r>
        <w:rPr/>
        <w:t>E.</w:t>
      </w:r>
      <w:r>
        <w:rPr>
          <w:spacing w:val="-10"/>
        </w:rPr>
        <w:t> </w:t>
      </w:r>
      <w:r>
        <w:rPr>
          <w:spacing w:val="-2"/>
        </w:rPr>
        <w:t>Guertin</w:t>
      </w:r>
    </w:p>
    <w:p>
      <w:pPr>
        <w:pStyle w:val="BodyText"/>
        <w:spacing w:before="17"/>
        <w:ind w:left="1400"/>
      </w:pPr>
      <w:r>
        <w:rPr>
          <w:w w:val="105"/>
        </w:rPr>
        <w:t>Age:</w:t>
      </w:r>
      <w:r>
        <w:rPr>
          <w:spacing w:val="8"/>
          <w:w w:val="105"/>
        </w:rPr>
        <w:t> </w:t>
      </w:r>
      <w:r>
        <w:rPr>
          <w:spacing w:val="-5"/>
          <w:w w:val="105"/>
        </w:rPr>
        <w:t>73</w:t>
      </w:r>
    </w:p>
    <w:p>
      <w:pPr>
        <w:pStyle w:val="BodyText"/>
        <w:spacing w:line="259" w:lineRule="auto" w:before="17"/>
        <w:ind w:left="1400"/>
      </w:pPr>
      <w:r>
        <w:rPr>
          <w:w w:val="105"/>
        </w:rPr>
        <w:t>Director Since: 2020 </w:t>
      </w:r>
      <w:r>
        <w:rPr>
          <w:spacing w:val="-2"/>
          <w:w w:val="105"/>
        </w:rPr>
        <w:t>Independent</w:t>
      </w:r>
    </w:p>
    <w:p>
      <w:pPr>
        <w:pStyle w:val="BodyText"/>
        <w:rPr>
          <w:sz w:val="20"/>
        </w:rPr>
      </w:pPr>
    </w:p>
    <w:p>
      <w:pPr>
        <w:pStyle w:val="BodyText"/>
        <w:spacing w:before="4"/>
        <w:rPr>
          <w:sz w:val="21"/>
        </w:rPr>
      </w:pPr>
    </w:p>
    <w:p>
      <w:pPr>
        <w:spacing w:before="0"/>
        <w:ind w:left="1400" w:right="0" w:firstLine="0"/>
        <w:jc w:val="left"/>
        <w:rPr>
          <w:i/>
          <w:sz w:val="18"/>
        </w:rPr>
      </w:pPr>
      <w:r>
        <w:rPr>
          <w:i/>
          <w:w w:val="105"/>
          <w:sz w:val="18"/>
          <w:u w:val="single"/>
        </w:rPr>
        <w:t>Varex</w:t>
      </w:r>
      <w:r>
        <w:rPr>
          <w:i/>
          <w:spacing w:val="-1"/>
          <w:w w:val="105"/>
          <w:sz w:val="18"/>
          <w:u w:val="single"/>
        </w:rPr>
        <w:t> </w:t>
      </w:r>
      <w:r>
        <w:rPr>
          <w:i/>
          <w:w w:val="105"/>
          <w:sz w:val="18"/>
          <w:u w:val="single"/>
        </w:rPr>
        <w:t>Committee</w:t>
      </w:r>
      <w:r>
        <w:rPr>
          <w:i/>
          <w:spacing w:val="-1"/>
          <w:w w:val="105"/>
          <w:sz w:val="18"/>
          <w:u w:val="single"/>
        </w:rPr>
        <w:t> </w:t>
      </w:r>
      <w:r>
        <w:rPr>
          <w:i/>
          <w:spacing w:val="-2"/>
          <w:w w:val="105"/>
          <w:sz w:val="18"/>
          <w:u w:val="single"/>
        </w:rPr>
        <w:t>Memberships</w:t>
      </w:r>
    </w:p>
    <w:p>
      <w:pPr>
        <w:pStyle w:val="ListParagraph"/>
        <w:numPr>
          <w:ilvl w:val="0"/>
          <w:numId w:val="12"/>
        </w:numPr>
        <w:tabs>
          <w:tab w:pos="1587" w:val="left" w:leader="none"/>
        </w:tabs>
        <w:spacing w:line="240" w:lineRule="auto" w:before="16" w:after="0"/>
        <w:ind w:left="1586" w:right="0" w:hanging="187"/>
        <w:jc w:val="left"/>
        <w:rPr>
          <w:sz w:val="18"/>
        </w:rPr>
      </w:pPr>
      <w:r>
        <w:rPr>
          <w:sz w:val="18"/>
        </w:rPr>
        <w:t>Compensation</w:t>
      </w:r>
      <w:r>
        <w:rPr>
          <w:spacing w:val="73"/>
          <w:sz w:val="18"/>
        </w:rPr>
        <w:t> </w:t>
      </w:r>
      <w:r>
        <w:rPr>
          <w:spacing w:val="-2"/>
          <w:sz w:val="18"/>
        </w:rPr>
        <w:t>Committee</w:t>
      </w:r>
    </w:p>
    <w:p>
      <w:pPr>
        <w:pStyle w:val="ListParagraph"/>
        <w:numPr>
          <w:ilvl w:val="0"/>
          <w:numId w:val="12"/>
        </w:numPr>
        <w:tabs>
          <w:tab w:pos="1587" w:val="left" w:leader="none"/>
        </w:tabs>
        <w:spacing w:line="240" w:lineRule="auto" w:before="17" w:after="0"/>
        <w:ind w:left="1586" w:right="0" w:hanging="187"/>
        <w:jc w:val="left"/>
        <w:rPr>
          <w:sz w:val="18"/>
        </w:rPr>
      </w:pPr>
      <w:r>
        <w:rPr>
          <w:w w:val="105"/>
          <w:sz w:val="18"/>
        </w:rPr>
        <w:t>Nominating</w:t>
      </w:r>
      <w:r>
        <w:rPr>
          <w:spacing w:val="16"/>
          <w:w w:val="105"/>
          <w:sz w:val="18"/>
        </w:rPr>
        <w:t> </w:t>
      </w:r>
      <w:r>
        <w:rPr>
          <w:spacing w:val="-2"/>
          <w:w w:val="105"/>
          <w:sz w:val="18"/>
        </w:rPr>
        <w:t>Committee</w:t>
      </w:r>
    </w:p>
    <w:p>
      <w:pPr>
        <w:spacing w:before="98"/>
        <w:ind w:left="523"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13"/>
        </w:numPr>
        <w:tabs>
          <w:tab w:pos="187" w:val="left" w:leader="none"/>
        </w:tabs>
        <w:spacing w:line="240" w:lineRule="auto" w:before="129" w:after="0"/>
        <w:ind w:left="186" w:right="3483" w:hanging="187"/>
        <w:jc w:val="right"/>
        <w:rPr>
          <w:sz w:val="18"/>
        </w:rPr>
      </w:pPr>
      <w:r>
        <w:rPr>
          <w:w w:val="105"/>
          <w:sz w:val="18"/>
        </w:rPr>
        <w:t>Positions</w:t>
      </w:r>
      <w:r>
        <w:rPr>
          <w:spacing w:val="8"/>
          <w:w w:val="105"/>
          <w:sz w:val="18"/>
        </w:rPr>
        <w:t> </w:t>
      </w:r>
      <w:r>
        <w:rPr>
          <w:w w:val="105"/>
          <w:sz w:val="18"/>
        </w:rPr>
        <w:t>at</w:t>
      </w:r>
      <w:r>
        <w:rPr>
          <w:spacing w:val="5"/>
          <w:w w:val="105"/>
          <w:sz w:val="18"/>
        </w:rPr>
        <w:t> </w:t>
      </w:r>
      <w:r>
        <w:rPr>
          <w:w w:val="105"/>
          <w:sz w:val="18"/>
        </w:rPr>
        <w:t>Varian</w:t>
      </w:r>
      <w:r>
        <w:rPr>
          <w:spacing w:val="9"/>
          <w:w w:val="105"/>
          <w:sz w:val="18"/>
        </w:rPr>
        <w:t> </w:t>
      </w:r>
      <w:r>
        <w:rPr>
          <w:w w:val="105"/>
          <w:sz w:val="18"/>
        </w:rPr>
        <w:t>Medical</w:t>
      </w:r>
      <w:r>
        <w:rPr>
          <w:spacing w:val="9"/>
          <w:w w:val="105"/>
          <w:sz w:val="18"/>
        </w:rPr>
        <w:t> </w:t>
      </w:r>
      <w:r>
        <w:rPr>
          <w:w w:val="105"/>
          <w:sz w:val="18"/>
        </w:rPr>
        <w:t>Systems,</w:t>
      </w:r>
      <w:r>
        <w:rPr>
          <w:spacing w:val="9"/>
          <w:w w:val="105"/>
          <w:sz w:val="18"/>
        </w:rPr>
        <w:t> </w:t>
      </w:r>
      <w:r>
        <w:rPr>
          <w:spacing w:val="-4"/>
          <w:w w:val="105"/>
          <w:sz w:val="18"/>
        </w:rPr>
        <w:t>Inc.</w:t>
      </w:r>
    </w:p>
    <w:p>
      <w:pPr>
        <w:pStyle w:val="ListParagraph"/>
        <w:numPr>
          <w:ilvl w:val="1"/>
          <w:numId w:val="13"/>
        </w:numPr>
        <w:tabs>
          <w:tab w:pos="187" w:val="left" w:leader="none"/>
        </w:tabs>
        <w:spacing w:line="240" w:lineRule="auto" w:before="128" w:after="0"/>
        <w:ind w:left="186" w:right="3538" w:hanging="187"/>
        <w:jc w:val="right"/>
        <w:rPr>
          <w:sz w:val="18"/>
        </w:rPr>
      </w:pPr>
      <w:r>
        <w:rPr>
          <w:w w:val="105"/>
          <w:sz w:val="18"/>
        </w:rPr>
        <w:t>Chief</w:t>
      </w:r>
      <w:r>
        <w:rPr>
          <w:spacing w:val="11"/>
          <w:w w:val="105"/>
          <w:sz w:val="18"/>
        </w:rPr>
        <w:t> </w:t>
      </w:r>
      <w:r>
        <w:rPr>
          <w:w w:val="105"/>
          <w:sz w:val="18"/>
        </w:rPr>
        <w:t>Executive</w:t>
      </w:r>
      <w:r>
        <w:rPr>
          <w:spacing w:val="11"/>
          <w:w w:val="105"/>
          <w:sz w:val="18"/>
        </w:rPr>
        <w:t> </w:t>
      </w:r>
      <w:r>
        <w:rPr>
          <w:w w:val="105"/>
          <w:sz w:val="18"/>
        </w:rPr>
        <w:t>Officer</w:t>
      </w:r>
      <w:r>
        <w:rPr>
          <w:spacing w:val="11"/>
          <w:w w:val="105"/>
          <w:sz w:val="18"/>
        </w:rPr>
        <w:t> </w:t>
      </w:r>
      <w:r>
        <w:rPr>
          <w:w w:val="105"/>
          <w:sz w:val="18"/>
        </w:rPr>
        <w:t>(2006 – </w:t>
      </w:r>
      <w:r>
        <w:rPr>
          <w:spacing w:val="-4"/>
          <w:w w:val="105"/>
          <w:sz w:val="18"/>
        </w:rPr>
        <w:t>2012)</w:t>
      </w:r>
    </w:p>
    <w:p>
      <w:pPr>
        <w:pStyle w:val="ListParagraph"/>
        <w:numPr>
          <w:ilvl w:val="1"/>
          <w:numId w:val="13"/>
        </w:numPr>
        <w:tabs>
          <w:tab w:pos="896" w:val="left" w:leader="none"/>
        </w:tabs>
        <w:spacing w:line="240" w:lineRule="auto" w:before="129" w:after="0"/>
        <w:ind w:left="896" w:right="0" w:hanging="187"/>
        <w:jc w:val="left"/>
        <w:rPr>
          <w:sz w:val="18"/>
        </w:rPr>
      </w:pPr>
      <w:r>
        <w:rPr>
          <w:w w:val="105"/>
          <w:sz w:val="18"/>
        </w:rPr>
        <w:t>President</w:t>
      </w:r>
      <w:r>
        <w:rPr>
          <w:spacing w:val="11"/>
          <w:w w:val="105"/>
          <w:sz w:val="18"/>
        </w:rPr>
        <w:t> </w:t>
      </w:r>
      <w:r>
        <w:rPr>
          <w:w w:val="105"/>
          <w:sz w:val="18"/>
        </w:rPr>
        <w:t>(2005</w:t>
      </w:r>
      <w:r>
        <w:rPr>
          <w:spacing w:val="1"/>
          <w:w w:val="105"/>
          <w:sz w:val="18"/>
        </w:rPr>
        <w:t> </w:t>
      </w:r>
      <w:r>
        <w:rPr>
          <w:w w:val="105"/>
          <w:sz w:val="18"/>
        </w:rPr>
        <w:t>– </w:t>
      </w:r>
      <w:r>
        <w:rPr>
          <w:spacing w:val="-4"/>
          <w:w w:val="105"/>
          <w:sz w:val="18"/>
        </w:rPr>
        <w:t>2012)</w:t>
      </w:r>
    </w:p>
    <w:p>
      <w:pPr>
        <w:pStyle w:val="ListParagraph"/>
        <w:numPr>
          <w:ilvl w:val="1"/>
          <w:numId w:val="13"/>
        </w:numPr>
        <w:tabs>
          <w:tab w:pos="896" w:val="left" w:leader="none"/>
        </w:tabs>
        <w:spacing w:line="240" w:lineRule="auto" w:before="128" w:after="0"/>
        <w:ind w:left="896" w:right="0" w:hanging="187"/>
        <w:jc w:val="left"/>
        <w:rPr>
          <w:sz w:val="18"/>
        </w:rPr>
      </w:pPr>
      <w:r>
        <w:rPr>
          <w:w w:val="105"/>
          <w:sz w:val="18"/>
        </w:rPr>
        <w:t>Chief</w:t>
      </w:r>
      <w:r>
        <w:rPr>
          <w:spacing w:val="11"/>
          <w:w w:val="105"/>
          <w:sz w:val="18"/>
        </w:rPr>
        <w:t> </w:t>
      </w:r>
      <w:r>
        <w:rPr>
          <w:w w:val="105"/>
          <w:sz w:val="18"/>
        </w:rPr>
        <w:t>Operating</w:t>
      </w:r>
      <w:r>
        <w:rPr>
          <w:spacing w:val="11"/>
          <w:w w:val="105"/>
          <w:sz w:val="18"/>
        </w:rPr>
        <w:t> </w:t>
      </w:r>
      <w:r>
        <w:rPr>
          <w:w w:val="105"/>
          <w:sz w:val="18"/>
        </w:rPr>
        <w:t>Officer</w:t>
      </w:r>
      <w:r>
        <w:rPr>
          <w:spacing w:val="11"/>
          <w:w w:val="105"/>
          <w:sz w:val="18"/>
        </w:rPr>
        <w:t> </w:t>
      </w:r>
      <w:r>
        <w:rPr>
          <w:w w:val="105"/>
          <w:sz w:val="18"/>
        </w:rPr>
        <w:t>(2004 – </w:t>
      </w:r>
      <w:r>
        <w:rPr>
          <w:spacing w:val="-2"/>
          <w:w w:val="105"/>
          <w:sz w:val="18"/>
        </w:rPr>
        <w:t>2006)</w:t>
      </w:r>
    </w:p>
    <w:p>
      <w:pPr>
        <w:pStyle w:val="ListParagraph"/>
        <w:numPr>
          <w:ilvl w:val="1"/>
          <w:numId w:val="13"/>
        </w:numPr>
        <w:tabs>
          <w:tab w:pos="896" w:val="left" w:leader="none"/>
        </w:tabs>
        <w:spacing w:line="240" w:lineRule="auto" w:before="129" w:after="0"/>
        <w:ind w:left="896" w:right="0" w:hanging="187"/>
        <w:jc w:val="left"/>
        <w:rPr>
          <w:sz w:val="18"/>
        </w:rPr>
      </w:pPr>
      <w:r>
        <w:rPr>
          <w:w w:val="105"/>
          <w:sz w:val="18"/>
        </w:rPr>
        <w:t>Corporate</w:t>
      </w:r>
      <w:r>
        <w:rPr>
          <w:spacing w:val="10"/>
          <w:w w:val="105"/>
          <w:sz w:val="18"/>
        </w:rPr>
        <w:t> </w:t>
      </w:r>
      <w:r>
        <w:rPr>
          <w:w w:val="105"/>
          <w:sz w:val="18"/>
        </w:rPr>
        <w:t>Executive</w:t>
      </w:r>
      <w:r>
        <w:rPr>
          <w:spacing w:val="7"/>
          <w:w w:val="105"/>
          <w:sz w:val="18"/>
        </w:rPr>
        <w:t> </w:t>
      </w:r>
      <w:r>
        <w:rPr>
          <w:w w:val="105"/>
          <w:sz w:val="18"/>
        </w:rPr>
        <w:t>Vice</w:t>
      </w:r>
      <w:r>
        <w:rPr>
          <w:spacing w:val="11"/>
          <w:w w:val="105"/>
          <w:sz w:val="18"/>
        </w:rPr>
        <w:t> </w:t>
      </w:r>
      <w:r>
        <w:rPr>
          <w:w w:val="105"/>
          <w:sz w:val="18"/>
        </w:rPr>
        <w:t>President</w:t>
      </w:r>
      <w:r>
        <w:rPr>
          <w:spacing w:val="11"/>
          <w:w w:val="105"/>
          <w:sz w:val="18"/>
        </w:rPr>
        <w:t> </w:t>
      </w:r>
      <w:r>
        <w:rPr>
          <w:w w:val="105"/>
          <w:sz w:val="18"/>
        </w:rPr>
        <w:t>(2002 – </w:t>
      </w:r>
      <w:r>
        <w:rPr>
          <w:spacing w:val="-2"/>
          <w:w w:val="105"/>
          <w:sz w:val="18"/>
        </w:rPr>
        <w:t>2005)</w:t>
      </w:r>
    </w:p>
    <w:p>
      <w:pPr>
        <w:pStyle w:val="ListParagraph"/>
        <w:numPr>
          <w:ilvl w:val="1"/>
          <w:numId w:val="13"/>
        </w:numPr>
        <w:tabs>
          <w:tab w:pos="896" w:val="left" w:leader="none"/>
        </w:tabs>
        <w:spacing w:line="240" w:lineRule="auto" w:before="128" w:after="0"/>
        <w:ind w:left="896" w:right="0" w:hanging="187"/>
        <w:jc w:val="left"/>
        <w:rPr>
          <w:sz w:val="18"/>
        </w:rPr>
      </w:pPr>
      <w:r>
        <w:rPr>
          <w:w w:val="105"/>
          <w:sz w:val="18"/>
        </w:rPr>
        <w:t>President,</w:t>
      </w:r>
      <w:r>
        <w:rPr>
          <w:spacing w:val="12"/>
          <w:w w:val="105"/>
          <w:sz w:val="18"/>
        </w:rPr>
        <w:t> </w:t>
      </w:r>
      <w:r>
        <w:rPr>
          <w:w w:val="105"/>
          <w:sz w:val="18"/>
        </w:rPr>
        <w:t>Oncology</w:t>
      </w:r>
      <w:r>
        <w:rPr>
          <w:spacing w:val="13"/>
          <w:w w:val="105"/>
          <w:sz w:val="18"/>
        </w:rPr>
        <w:t> </w:t>
      </w:r>
      <w:r>
        <w:rPr>
          <w:w w:val="105"/>
          <w:sz w:val="18"/>
        </w:rPr>
        <w:t>Systems</w:t>
      </w:r>
      <w:r>
        <w:rPr>
          <w:spacing w:val="12"/>
          <w:w w:val="105"/>
          <w:sz w:val="18"/>
        </w:rPr>
        <w:t> </w:t>
      </w:r>
      <w:r>
        <w:rPr>
          <w:w w:val="105"/>
          <w:sz w:val="18"/>
        </w:rPr>
        <w:t>(1992</w:t>
      </w:r>
      <w:r>
        <w:rPr>
          <w:spacing w:val="2"/>
          <w:w w:val="105"/>
          <w:sz w:val="18"/>
        </w:rPr>
        <w:t> </w:t>
      </w:r>
      <w:r>
        <w:rPr>
          <w:w w:val="105"/>
          <w:sz w:val="18"/>
        </w:rPr>
        <w:t>–</w:t>
      </w:r>
      <w:r>
        <w:rPr>
          <w:spacing w:val="2"/>
          <w:w w:val="105"/>
          <w:sz w:val="18"/>
        </w:rPr>
        <w:t> </w:t>
      </w:r>
      <w:r>
        <w:rPr>
          <w:spacing w:val="-2"/>
          <w:w w:val="105"/>
          <w:sz w:val="18"/>
        </w:rPr>
        <w:t>2005)</w:t>
      </w:r>
    </w:p>
    <w:p>
      <w:pPr>
        <w:spacing w:after="0" w:line="240" w:lineRule="auto"/>
        <w:jc w:val="left"/>
        <w:rPr>
          <w:sz w:val="18"/>
        </w:rPr>
        <w:sectPr>
          <w:type w:val="continuous"/>
          <w:pgSz w:w="12240" w:h="15840"/>
          <w:pgMar w:header="0" w:footer="897" w:top="600" w:bottom="960" w:left="480" w:right="460"/>
          <w:cols w:num="2" w:equalWidth="0">
            <w:col w:w="3820" w:space="40"/>
            <w:col w:w="7440"/>
          </w:cols>
        </w:sectPr>
      </w:pPr>
    </w:p>
    <w:p>
      <w:pPr>
        <w:pStyle w:val="ListParagraph"/>
        <w:numPr>
          <w:ilvl w:val="2"/>
          <w:numId w:val="13"/>
        </w:numPr>
        <w:tabs>
          <w:tab w:pos="4569" w:val="left" w:leader="none"/>
        </w:tabs>
        <w:spacing w:line="259" w:lineRule="auto" w:before="115" w:after="0"/>
        <w:ind w:left="4568" w:right="1791" w:hanging="187"/>
        <w:jc w:val="left"/>
        <w:rPr>
          <w:sz w:val="18"/>
        </w:rPr>
      </w:pPr>
      <w:r>
        <w:rPr>
          <w:w w:val="105"/>
          <w:sz w:val="18"/>
        </w:rPr>
        <w:t>Other Current Public Company Board Memberships: Teradyne, Inc., a supplier of automatic test equipment.</w:t>
      </w:r>
    </w:p>
    <w:p>
      <w:pPr>
        <w:pStyle w:val="ListParagraph"/>
        <w:numPr>
          <w:ilvl w:val="2"/>
          <w:numId w:val="13"/>
        </w:numPr>
        <w:tabs>
          <w:tab w:pos="4569" w:val="left" w:leader="none"/>
        </w:tabs>
        <w:spacing w:line="259" w:lineRule="auto" w:before="112" w:after="0"/>
        <w:ind w:left="4568" w:right="1852" w:hanging="187"/>
        <w:jc w:val="left"/>
        <w:rPr>
          <w:sz w:val="18"/>
        </w:rPr>
      </w:pPr>
      <w:r>
        <w:rPr>
          <w:w w:val="105"/>
          <w:sz w:val="18"/>
        </w:rPr>
        <w:t>Prior Public Company Board Memberships in Past Five Years: Varian Medical Systems, Inc</w:t>
      </w:r>
    </w:p>
    <w:p>
      <w:pPr>
        <w:spacing w:line="228" w:lineRule="auto" w:before="79"/>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2"/>
          <w:numId w:val="13"/>
        </w:numPr>
        <w:tabs>
          <w:tab w:pos="4569" w:val="left" w:leader="none"/>
        </w:tabs>
        <w:spacing w:line="259" w:lineRule="auto" w:before="143" w:after="0"/>
        <w:ind w:left="4568" w:right="1713" w:hanging="187"/>
        <w:jc w:val="left"/>
        <w:rPr>
          <w:sz w:val="18"/>
        </w:rPr>
      </w:pPr>
      <w:r>
        <w:rPr>
          <w:w w:val="105"/>
          <w:sz w:val="18"/>
        </w:rPr>
        <w:t>Deep knowledge of Varex’s management structure, strategy, and users of Varex’s technology, which he gained over more than</w:t>
      </w:r>
    </w:p>
    <w:p>
      <w:pPr>
        <w:pStyle w:val="BodyText"/>
        <w:ind w:left="4568"/>
      </w:pPr>
      <w:r>
        <w:rPr>
          <w:w w:val="105"/>
        </w:rPr>
        <w:t>30</w:t>
      </w:r>
      <w:r>
        <w:rPr>
          <w:spacing w:val="9"/>
          <w:w w:val="105"/>
        </w:rPr>
        <w:t> </w:t>
      </w:r>
      <w:r>
        <w:rPr>
          <w:w w:val="105"/>
        </w:rPr>
        <w:t>years</w:t>
      </w:r>
      <w:r>
        <w:rPr>
          <w:spacing w:val="10"/>
          <w:w w:val="105"/>
        </w:rPr>
        <w:t> </w:t>
      </w:r>
      <w:r>
        <w:rPr>
          <w:w w:val="105"/>
        </w:rPr>
        <w:t>with</w:t>
      </w:r>
      <w:r>
        <w:rPr>
          <w:spacing w:val="10"/>
          <w:w w:val="105"/>
        </w:rPr>
        <w:t> </w:t>
      </w:r>
      <w:r>
        <w:rPr>
          <w:w w:val="105"/>
        </w:rPr>
        <w:t>the</w:t>
      </w:r>
      <w:r>
        <w:rPr>
          <w:spacing w:val="10"/>
          <w:w w:val="105"/>
        </w:rPr>
        <w:t> </w:t>
      </w:r>
      <w:r>
        <w:rPr>
          <w:w w:val="105"/>
        </w:rPr>
        <w:t>former</w:t>
      </w:r>
      <w:r>
        <w:rPr>
          <w:spacing w:val="9"/>
          <w:w w:val="105"/>
        </w:rPr>
        <w:t> </w:t>
      </w:r>
      <w:r>
        <w:rPr>
          <w:w w:val="105"/>
        </w:rPr>
        <w:t>parent</w:t>
      </w:r>
      <w:r>
        <w:rPr>
          <w:spacing w:val="10"/>
          <w:w w:val="105"/>
        </w:rPr>
        <w:t> </w:t>
      </w:r>
      <w:r>
        <w:rPr>
          <w:w w:val="105"/>
        </w:rPr>
        <w:t>company</w:t>
      </w:r>
      <w:r>
        <w:rPr>
          <w:spacing w:val="10"/>
          <w:w w:val="105"/>
        </w:rPr>
        <w:t> </w:t>
      </w:r>
      <w:r>
        <w:rPr>
          <w:w w:val="105"/>
        </w:rPr>
        <w:t>of</w:t>
      </w:r>
      <w:r>
        <w:rPr>
          <w:spacing w:val="6"/>
          <w:w w:val="105"/>
        </w:rPr>
        <w:t> </w:t>
      </w:r>
      <w:r>
        <w:rPr>
          <w:spacing w:val="-2"/>
          <w:w w:val="105"/>
        </w:rPr>
        <w:t>Varex;</w:t>
      </w:r>
    </w:p>
    <w:p>
      <w:pPr>
        <w:pStyle w:val="ListParagraph"/>
        <w:numPr>
          <w:ilvl w:val="2"/>
          <w:numId w:val="13"/>
        </w:numPr>
        <w:tabs>
          <w:tab w:pos="4569" w:val="left" w:leader="none"/>
        </w:tabs>
        <w:spacing w:line="259" w:lineRule="auto" w:before="129" w:after="0"/>
        <w:ind w:left="4568" w:right="1630" w:hanging="187"/>
        <w:jc w:val="left"/>
        <w:rPr>
          <w:sz w:val="18"/>
        </w:rPr>
      </w:pPr>
      <w:r>
        <w:rPr>
          <w:w w:val="105"/>
          <w:sz w:val="18"/>
        </w:rPr>
        <w:t>Broad experience in product development, regulatory, marketing, financial and operational matters;</w:t>
      </w:r>
    </w:p>
    <w:p>
      <w:pPr>
        <w:pStyle w:val="ListParagraph"/>
        <w:numPr>
          <w:ilvl w:val="2"/>
          <w:numId w:val="13"/>
        </w:numPr>
        <w:tabs>
          <w:tab w:pos="4569" w:val="left" w:leader="none"/>
        </w:tabs>
        <w:spacing w:line="259" w:lineRule="auto" w:before="112" w:after="0"/>
        <w:ind w:left="4568" w:right="2059" w:hanging="187"/>
        <w:jc w:val="left"/>
        <w:rPr>
          <w:sz w:val="18"/>
        </w:rPr>
      </w:pPr>
      <w:r>
        <w:rPr>
          <w:w w:val="105"/>
          <w:sz w:val="18"/>
        </w:rPr>
        <w:t>Past service on the board of directors of</w:t>
      </w:r>
      <w:r>
        <w:rPr>
          <w:spacing w:val="-2"/>
          <w:w w:val="105"/>
          <w:sz w:val="18"/>
        </w:rPr>
        <w:t> </w:t>
      </w:r>
      <w:r>
        <w:rPr>
          <w:w w:val="105"/>
          <w:sz w:val="18"/>
        </w:rPr>
        <w:t>Acelity L.P., Inc., a privately held global advanced wound care company;</w:t>
      </w:r>
    </w:p>
    <w:p>
      <w:pPr>
        <w:pStyle w:val="ListParagraph"/>
        <w:numPr>
          <w:ilvl w:val="2"/>
          <w:numId w:val="13"/>
        </w:numPr>
        <w:tabs>
          <w:tab w:pos="4569" w:val="left" w:leader="none"/>
        </w:tabs>
        <w:spacing w:line="259" w:lineRule="auto" w:before="112" w:after="0"/>
        <w:ind w:left="4568" w:right="1554" w:hanging="187"/>
        <w:jc w:val="left"/>
        <w:rPr>
          <w:sz w:val="18"/>
        </w:rPr>
      </w:pPr>
      <w:r>
        <w:rPr>
          <w:w w:val="105"/>
          <w:sz w:val="18"/>
        </w:rPr>
        <w:t>Service on the board of healthcare and technology industry organizations and service as a former director and chairman of the board of directors of TechAmerica (a nationwide technology trade association); and</w:t>
      </w:r>
    </w:p>
    <w:p>
      <w:pPr>
        <w:pStyle w:val="ListParagraph"/>
        <w:numPr>
          <w:ilvl w:val="2"/>
          <w:numId w:val="13"/>
        </w:numPr>
        <w:tabs>
          <w:tab w:pos="4569" w:val="left" w:leader="none"/>
        </w:tabs>
        <w:spacing w:line="259" w:lineRule="auto" w:before="113" w:after="0"/>
        <w:ind w:left="4568" w:right="1669" w:hanging="187"/>
        <w:jc w:val="left"/>
        <w:rPr>
          <w:sz w:val="18"/>
        </w:rPr>
      </w:pPr>
      <w:r>
        <w:rPr>
          <w:w w:val="105"/>
          <w:sz w:val="18"/>
        </w:rPr>
        <w:t>Service on the board of trustees and as treasurer of the Radiation Oncology Institute, a non-profit organization engaged in cancer treatment research.</w:t>
      </w:r>
    </w:p>
    <w:p>
      <w:pPr>
        <w:spacing w:after="0" w:line="259" w:lineRule="auto"/>
        <w:jc w:val="left"/>
        <w:rPr>
          <w:sz w:val="18"/>
        </w:rPr>
        <w:sectPr>
          <w:type w:val="continuous"/>
          <w:pgSz w:w="12240" w:h="15840"/>
          <w:pgMar w:header="0" w:footer="897" w:top="600" w:bottom="960" w:left="480" w:right="460"/>
        </w:sectPr>
      </w:pPr>
    </w:p>
    <w:p>
      <w:pPr>
        <w:pStyle w:val="Heading2"/>
        <w:spacing w:before="84"/>
      </w:pPr>
      <w:r>
        <w:rPr/>
        <w:t>Jay</w:t>
      </w:r>
      <w:r>
        <w:rPr>
          <w:spacing w:val="-6"/>
        </w:rPr>
        <w:t> </w:t>
      </w:r>
      <w:r>
        <w:rPr/>
        <w:t>K.</w:t>
      </w:r>
      <w:r>
        <w:rPr>
          <w:spacing w:val="-5"/>
        </w:rPr>
        <w:t> </w:t>
      </w:r>
      <w:r>
        <w:rPr>
          <w:spacing w:val="-2"/>
        </w:rPr>
        <w:t>Kunkel</w:t>
      </w:r>
    </w:p>
    <w:p>
      <w:pPr>
        <w:pStyle w:val="BodyText"/>
        <w:spacing w:before="17"/>
        <w:ind w:left="1400"/>
      </w:pPr>
      <w:r>
        <w:rPr>
          <w:w w:val="105"/>
        </w:rPr>
        <w:t>Age:</w:t>
      </w:r>
      <w:r>
        <w:rPr>
          <w:spacing w:val="8"/>
          <w:w w:val="105"/>
        </w:rPr>
        <w:t> </w:t>
      </w:r>
      <w:r>
        <w:rPr>
          <w:spacing w:val="-5"/>
          <w:w w:val="105"/>
        </w:rPr>
        <w:t>63</w:t>
      </w:r>
    </w:p>
    <w:p>
      <w:pPr>
        <w:pStyle w:val="BodyText"/>
        <w:spacing w:line="259" w:lineRule="auto" w:before="16"/>
        <w:ind w:left="1400"/>
      </w:pPr>
      <w:r>
        <w:rPr>
          <w:w w:val="105"/>
        </w:rPr>
        <w:t>Director Since: 2017 </w:t>
      </w:r>
      <w:r>
        <w:rPr>
          <w:spacing w:val="-2"/>
          <w:w w:val="105"/>
        </w:rPr>
        <w:t>Independent</w:t>
      </w:r>
    </w:p>
    <w:p>
      <w:pPr>
        <w:pStyle w:val="BodyText"/>
        <w:rPr>
          <w:sz w:val="20"/>
        </w:rPr>
      </w:pPr>
    </w:p>
    <w:p>
      <w:pPr>
        <w:pStyle w:val="BodyText"/>
        <w:spacing w:before="4"/>
        <w:rPr>
          <w:sz w:val="21"/>
        </w:rPr>
      </w:pPr>
    </w:p>
    <w:p>
      <w:pPr>
        <w:spacing w:before="0"/>
        <w:ind w:left="1400" w:right="0" w:firstLine="0"/>
        <w:jc w:val="left"/>
        <w:rPr>
          <w:i/>
          <w:sz w:val="18"/>
        </w:rPr>
      </w:pPr>
      <w:r>
        <w:rPr>
          <w:i/>
          <w:w w:val="105"/>
          <w:sz w:val="18"/>
          <w:u w:val="single"/>
        </w:rPr>
        <w:t>Varex</w:t>
      </w:r>
      <w:r>
        <w:rPr>
          <w:i/>
          <w:spacing w:val="-1"/>
          <w:w w:val="105"/>
          <w:sz w:val="18"/>
          <w:u w:val="single"/>
        </w:rPr>
        <w:t> </w:t>
      </w:r>
      <w:r>
        <w:rPr>
          <w:i/>
          <w:w w:val="105"/>
          <w:sz w:val="18"/>
          <w:u w:val="single"/>
        </w:rPr>
        <w:t>Committee</w:t>
      </w:r>
      <w:r>
        <w:rPr>
          <w:i/>
          <w:spacing w:val="-1"/>
          <w:w w:val="105"/>
          <w:sz w:val="18"/>
          <w:u w:val="single"/>
        </w:rPr>
        <w:t> </w:t>
      </w:r>
      <w:r>
        <w:rPr>
          <w:i/>
          <w:spacing w:val="-2"/>
          <w:w w:val="105"/>
          <w:sz w:val="18"/>
          <w:u w:val="single"/>
        </w:rPr>
        <w:t>Memberships</w:t>
      </w:r>
    </w:p>
    <w:p>
      <w:pPr>
        <w:pStyle w:val="ListParagraph"/>
        <w:numPr>
          <w:ilvl w:val="0"/>
          <w:numId w:val="14"/>
        </w:numPr>
        <w:tabs>
          <w:tab w:pos="1587" w:val="left" w:leader="none"/>
        </w:tabs>
        <w:spacing w:line="240" w:lineRule="auto" w:before="17" w:after="0"/>
        <w:ind w:left="1586" w:right="0" w:hanging="187"/>
        <w:jc w:val="left"/>
        <w:rPr>
          <w:sz w:val="18"/>
        </w:rPr>
      </w:pPr>
      <w:r>
        <w:rPr>
          <w:w w:val="105"/>
          <w:sz w:val="18"/>
        </w:rPr>
        <w:t>Audit</w:t>
      </w:r>
      <w:r>
        <w:rPr>
          <w:spacing w:val="10"/>
          <w:w w:val="105"/>
          <w:sz w:val="18"/>
        </w:rPr>
        <w:t> </w:t>
      </w:r>
      <w:r>
        <w:rPr>
          <w:spacing w:val="-2"/>
          <w:w w:val="105"/>
          <w:sz w:val="18"/>
        </w:rPr>
        <w:t>Committee</w:t>
      </w:r>
    </w:p>
    <w:p>
      <w:pPr>
        <w:pStyle w:val="ListParagraph"/>
        <w:numPr>
          <w:ilvl w:val="0"/>
          <w:numId w:val="14"/>
        </w:numPr>
        <w:tabs>
          <w:tab w:pos="1587" w:val="left" w:leader="none"/>
        </w:tabs>
        <w:spacing w:line="240" w:lineRule="auto" w:before="17" w:after="0"/>
        <w:ind w:left="1586" w:right="0" w:hanging="187"/>
        <w:jc w:val="left"/>
        <w:rPr>
          <w:sz w:val="18"/>
        </w:rPr>
      </w:pPr>
      <w:r>
        <w:rPr>
          <w:sz w:val="18"/>
        </w:rPr>
        <w:t>Compensation</w:t>
      </w:r>
      <w:r>
        <w:rPr>
          <w:spacing w:val="73"/>
          <w:sz w:val="18"/>
        </w:rPr>
        <w:t> </w:t>
      </w:r>
      <w:r>
        <w:rPr>
          <w:spacing w:val="-2"/>
          <w:sz w:val="18"/>
        </w:rPr>
        <w:t>Committee</w:t>
      </w:r>
    </w:p>
    <w:p>
      <w:pPr>
        <w:spacing w:before="70"/>
        <w:ind w:left="523"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13"/>
        </w:numPr>
        <w:tabs>
          <w:tab w:pos="710" w:val="left" w:leader="none"/>
        </w:tabs>
        <w:spacing w:line="259" w:lineRule="auto" w:before="142" w:after="0"/>
        <w:ind w:left="709" w:right="1565" w:hanging="187"/>
        <w:jc w:val="left"/>
        <w:rPr>
          <w:sz w:val="18"/>
        </w:rPr>
      </w:pPr>
      <w:r>
        <w:rPr>
          <w:w w:val="105"/>
          <w:sz w:val="18"/>
        </w:rPr>
        <w:t>President Asia, Executive Vice President, Tenneco Inc., one of the world’s largest manufacturers of ride performance and clean air products and systems for automotive and commercial vehicles (November 2018 – November 2020)</w:t>
      </w:r>
    </w:p>
    <w:p>
      <w:pPr>
        <w:pStyle w:val="ListParagraph"/>
        <w:numPr>
          <w:ilvl w:val="0"/>
          <w:numId w:val="13"/>
        </w:numPr>
        <w:tabs>
          <w:tab w:pos="710" w:val="left" w:leader="none"/>
        </w:tabs>
        <w:spacing w:line="259" w:lineRule="auto" w:before="113" w:after="0"/>
        <w:ind w:left="709" w:right="1547" w:hanging="187"/>
        <w:jc w:val="left"/>
        <w:rPr>
          <w:sz w:val="18"/>
        </w:rPr>
      </w:pPr>
      <w:r>
        <w:rPr>
          <w:w w:val="105"/>
          <w:sz w:val="18"/>
        </w:rPr>
        <w:t>President Asia Pacific, Member of the Executive Counsel, and Company Officer, Lear Corporation, a global leader in automotive and e-systems (2013 – May 2018)</w:t>
      </w:r>
    </w:p>
    <w:p>
      <w:pPr>
        <w:pStyle w:val="ListParagraph"/>
        <w:numPr>
          <w:ilvl w:val="0"/>
          <w:numId w:val="13"/>
        </w:numPr>
        <w:tabs>
          <w:tab w:pos="710" w:val="left" w:leader="none"/>
        </w:tabs>
        <w:spacing w:line="259" w:lineRule="auto" w:before="112" w:after="0"/>
        <w:ind w:left="709" w:right="2150" w:hanging="187"/>
        <w:jc w:val="left"/>
        <w:rPr>
          <w:sz w:val="18"/>
        </w:rPr>
      </w:pPr>
      <w:r>
        <w:rPr>
          <w:w w:val="105"/>
          <w:sz w:val="18"/>
        </w:rPr>
        <w:t>Positions at Continental AG, an automotive manufacturing </w:t>
      </w:r>
      <w:r>
        <w:rPr>
          <w:spacing w:val="-2"/>
          <w:w w:val="105"/>
          <w:sz w:val="18"/>
        </w:rPr>
        <w:t>company</w:t>
      </w:r>
    </w:p>
    <w:p>
      <w:pPr>
        <w:spacing w:after="0" w:line="259" w:lineRule="auto"/>
        <w:jc w:val="left"/>
        <w:rPr>
          <w:sz w:val="18"/>
        </w:rPr>
        <w:sectPr>
          <w:type w:val="continuous"/>
          <w:pgSz w:w="12240" w:h="15840"/>
          <w:pgMar w:header="0" w:footer="897" w:top="600" w:bottom="960" w:left="480" w:right="460"/>
          <w:cols w:num="2" w:equalWidth="0">
            <w:col w:w="3820" w:space="40"/>
            <w:col w:w="7440"/>
          </w:cols>
        </w:sectPr>
      </w:pPr>
    </w:p>
    <w:p>
      <w:pPr>
        <w:pStyle w:val="ListParagraph"/>
        <w:numPr>
          <w:ilvl w:val="1"/>
          <w:numId w:val="13"/>
        </w:numPr>
        <w:tabs>
          <w:tab w:pos="4756" w:val="left" w:leader="none"/>
        </w:tabs>
        <w:spacing w:line="240" w:lineRule="auto" w:before="112" w:after="0"/>
        <w:ind w:left="4755" w:right="0" w:hanging="188"/>
        <w:jc w:val="left"/>
        <w:rPr>
          <w:sz w:val="18"/>
        </w:rPr>
      </w:pPr>
      <w:r>
        <w:rPr>
          <w:w w:val="105"/>
          <w:sz w:val="18"/>
        </w:rPr>
        <w:t>President</w:t>
      </w:r>
      <w:r>
        <w:rPr>
          <w:spacing w:val="-2"/>
          <w:w w:val="105"/>
          <w:sz w:val="18"/>
        </w:rPr>
        <w:t> </w:t>
      </w:r>
      <w:r>
        <w:rPr>
          <w:w w:val="105"/>
          <w:sz w:val="18"/>
        </w:rPr>
        <w:t>Asia,</w:t>
      </w:r>
      <w:r>
        <w:rPr>
          <w:spacing w:val="11"/>
          <w:w w:val="105"/>
          <w:sz w:val="18"/>
        </w:rPr>
        <w:t> </w:t>
      </w:r>
      <w:r>
        <w:rPr>
          <w:w w:val="105"/>
          <w:sz w:val="18"/>
        </w:rPr>
        <w:t>Member</w:t>
      </w:r>
      <w:r>
        <w:rPr>
          <w:spacing w:val="11"/>
          <w:w w:val="105"/>
          <w:sz w:val="18"/>
        </w:rPr>
        <w:t> </w:t>
      </w:r>
      <w:r>
        <w:rPr>
          <w:w w:val="105"/>
          <w:sz w:val="18"/>
        </w:rPr>
        <w:t>of</w:t>
      </w:r>
      <w:r>
        <w:rPr>
          <w:spacing w:val="10"/>
          <w:w w:val="105"/>
          <w:sz w:val="18"/>
        </w:rPr>
        <w:t> </w:t>
      </w:r>
      <w:r>
        <w:rPr>
          <w:w w:val="105"/>
          <w:sz w:val="18"/>
        </w:rPr>
        <w:t>the</w:t>
      </w:r>
      <w:r>
        <w:rPr>
          <w:spacing w:val="11"/>
          <w:w w:val="105"/>
          <w:sz w:val="18"/>
        </w:rPr>
        <w:t> </w:t>
      </w:r>
      <w:r>
        <w:rPr>
          <w:w w:val="105"/>
          <w:sz w:val="18"/>
        </w:rPr>
        <w:t>Management</w:t>
      </w:r>
      <w:r>
        <w:rPr>
          <w:spacing w:val="11"/>
          <w:w w:val="105"/>
          <w:sz w:val="18"/>
        </w:rPr>
        <w:t> </w:t>
      </w:r>
      <w:r>
        <w:rPr>
          <w:w w:val="105"/>
          <w:sz w:val="18"/>
        </w:rPr>
        <w:t>Board</w:t>
      </w:r>
      <w:r>
        <w:rPr>
          <w:spacing w:val="10"/>
          <w:w w:val="105"/>
          <w:sz w:val="18"/>
        </w:rPr>
        <w:t> </w:t>
      </w:r>
      <w:r>
        <w:rPr>
          <w:w w:val="105"/>
          <w:sz w:val="18"/>
        </w:rPr>
        <w:t>(2007 – </w:t>
      </w:r>
      <w:r>
        <w:rPr>
          <w:spacing w:val="-2"/>
          <w:w w:val="105"/>
          <w:sz w:val="18"/>
        </w:rPr>
        <w:t>2013)</w:t>
      </w:r>
    </w:p>
    <w:p>
      <w:pPr>
        <w:pStyle w:val="ListParagraph"/>
        <w:numPr>
          <w:ilvl w:val="1"/>
          <w:numId w:val="13"/>
        </w:numPr>
        <w:tabs>
          <w:tab w:pos="4756" w:val="left" w:leader="none"/>
        </w:tabs>
        <w:spacing w:line="259" w:lineRule="auto" w:before="129" w:after="0"/>
        <w:ind w:left="4755" w:right="1728" w:hanging="187"/>
        <w:jc w:val="left"/>
        <w:rPr>
          <w:sz w:val="18"/>
        </w:rPr>
      </w:pPr>
      <w:r>
        <w:rPr>
          <w:w w:val="105"/>
          <w:sz w:val="18"/>
        </w:rPr>
        <w:t>President Asia, Automotive Systems Division, Member of the Management Board (2005 – 2007)</w:t>
      </w:r>
    </w:p>
    <w:p>
      <w:pPr>
        <w:pStyle w:val="ListParagraph"/>
        <w:numPr>
          <w:ilvl w:val="0"/>
          <w:numId w:val="13"/>
        </w:numPr>
        <w:tabs>
          <w:tab w:pos="4569" w:val="left" w:leader="none"/>
        </w:tabs>
        <w:spacing w:line="240" w:lineRule="auto" w:before="140" w:after="0"/>
        <w:ind w:left="4568" w:right="0" w:hanging="187"/>
        <w:jc w:val="left"/>
        <w:rPr>
          <w:sz w:val="18"/>
        </w:rPr>
      </w:pPr>
      <w:r>
        <w:rPr>
          <w:w w:val="105"/>
          <w:sz w:val="18"/>
        </w:rPr>
        <w:t>Positions</w:t>
      </w:r>
      <w:r>
        <w:rPr>
          <w:spacing w:val="12"/>
          <w:w w:val="105"/>
          <w:sz w:val="18"/>
        </w:rPr>
        <w:t> </w:t>
      </w:r>
      <w:r>
        <w:rPr>
          <w:w w:val="105"/>
          <w:sz w:val="18"/>
        </w:rPr>
        <w:t>at</w:t>
      </w:r>
      <w:r>
        <w:rPr>
          <w:spacing w:val="13"/>
          <w:w w:val="105"/>
          <w:sz w:val="18"/>
        </w:rPr>
        <w:t> </w:t>
      </w:r>
      <w:r>
        <w:rPr>
          <w:w w:val="105"/>
          <w:sz w:val="18"/>
        </w:rPr>
        <w:t>PwC</w:t>
      </w:r>
      <w:r>
        <w:rPr>
          <w:spacing w:val="13"/>
          <w:w w:val="105"/>
          <w:sz w:val="18"/>
        </w:rPr>
        <w:t> </w:t>
      </w:r>
      <w:r>
        <w:rPr>
          <w:w w:val="105"/>
          <w:sz w:val="18"/>
        </w:rPr>
        <w:t>Financial Advisory</w:t>
      </w:r>
      <w:r>
        <w:rPr>
          <w:spacing w:val="13"/>
          <w:w w:val="105"/>
          <w:sz w:val="18"/>
        </w:rPr>
        <w:t> </w:t>
      </w:r>
      <w:r>
        <w:rPr>
          <w:spacing w:val="-2"/>
          <w:w w:val="105"/>
          <w:sz w:val="18"/>
        </w:rPr>
        <w:t>Services</w:t>
      </w:r>
    </w:p>
    <w:p>
      <w:pPr>
        <w:pStyle w:val="ListParagraph"/>
        <w:numPr>
          <w:ilvl w:val="1"/>
          <w:numId w:val="13"/>
        </w:numPr>
        <w:tabs>
          <w:tab w:pos="4756" w:val="left" w:leader="none"/>
        </w:tabs>
        <w:spacing w:line="240" w:lineRule="auto" w:before="128" w:after="0"/>
        <w:ind w:left="4755" w:right="0" w:hanging="188"/>
        <w:jc w:val="left"/>
        <w:rPr>
          <w:sz w:val="18"/>
        </w:rPr>
      </w:pPr>
      <w:r>
        <w:rPr>
          <w:w w:val="105"/>
          <w:sz w:val="18"/>
        </w:rPr>
        <w:t>Head</w:t>
      </w:r>
      <w:r>
        <w:rPr>
          <w:spacing w:val="9"/>
          <w:w w:val="105"/>
          <w:sz w:val="18"/>
        </w:rPr>
        <w:t> </w:t>
      </w:r>
      <w:r>
        <w:rPr>
          <w:w w:val="105"/>
          <w:sz w:val="18"/>
        </w:rPr>
        <w:t>of</w:t>
      </w:r>
      <w:r>
        <w:rPr>
          <w:spacing w:val="10"/>
          <w:w w:val="105"/>
          <w:sz w:val="18"/>
        </w:rPr>
        <w:t> </w:t>
      </w:r>
      <w:r>
        <w:rPr>
          <w:w w:val="105"/>
          <w:sz w:val="18"/>
        </w:rPr>
        <w:t>Corporate</w:t>
      </w:r>
      <w:r>
        <w:rPr>
          <w:spacing w:val="9"/>
          <w:w w:val="105"/>
          <w:sz w:val="18"/>
        </w:rPr>
        <w:t> </w:t>
      </w:r>
      <w:r>
        <w:rPr>
          <w:w w:val="105"/>
          <w:sz w:val="18"/>
        </w:rPr>
        <w:t>Finance</w:t>
      </w:r>
      <w:r>
        <w:rPr>
          <w:spacing w:val="10"/>
          <w:w w:val="105"/>
          <w:sz w:val="18"/>
        </w:rPr>
        <w:t> </w:t>
      </w:r>
      <w:r>
        <w:rPr>
          <w:w w:val="105"/>
          <w:sz w:val="18"/>
        </w:rPr>
        <w:t>and</w:t>
      </w:r>
      <w:r>
        <w:rPr>
          <w:spacing w:val="9"/>
          <w:w w:val="105"/>
          <w:sz w:val="18"/>
        </w:rPr>
        <w:t> </w:t>
      </w:r>
      <w:r>
        <w:rPr>
          <w:w w:val="105"/>
          <w:sz w:val="18"/>
        </w:rPr>
        <w:t>M&amp;A</w:t>
      </w:r>
      <w:r>
        <w:rPr>
          <w:spacing w:val="-12"/>
          <w:w w:val="105"/>
          <w:sz w:val="18"/>
        </w:rPr>
        <w:t> </w:t>
      </w:r>
      <w:r>
        <w:rPr>
          <w:spacing w:val="-2"/>
          <w:w w:val="105"/>
          <w:sz w:val="18"/>
        </w:rPr>
        <w:t>Advisory</w:t>
      </w:r>
    </w:p>
    <w:p>
      <w:pPr>
        <w:pStyle w:val="ListParagraph"/>
        <w:numPr>
          <w:ilvl w:val="1"/>
          <w:numId w:val="13"/>
        </w:numPr>
        <w:tabs>
          <w:tab w:pos="4756" w:val="left" w:leader="none"/>
        </w:tabs>
        <w:spacing w:line="259" w:lineRule="auto" w:before="45" w:after="0"/>
        <w:ind w:left="4755" w:right="2007" w:hanging="187"/>
        <w:jc w:val="left"/>
        <w:rPr>
          <w:sz w:val="18"/>
        </w:rPr>
      </w:pPr>
      <w:r>
        <w:rPr>
          <w:w w:val="105"/>
          <w:sz w:val="18"/>
        </w:rPr>
        <w:t>Managing Director and Regional Leader of Automotive &amp; Manufacturing Practice</w:t>
      </w:r>
    </w:p>
    <w:p>
      <w:pPr>
        <w:spacing w:after="0" w:line="259" w:lineRule="auto"/>
        <w:jc w:val="left"/>
        <w:rPr>
          <w:sz w:val="18"/>
        </w:rPr>
        <w:sectPr>
          <w:type w:val="continuous"/>
          <w:pgSz w:w="12240" w:h="15840"/>
          <w:pgMar w:header="0" w:footer="897" w:top="600" w:bottom="96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106" coordorigin="0,0" coordsize="11100,28">
            <v:rect style="position:absolute;left:0;top:0;width:11100;height:14" id="docshape107" filled="true" fillcolor="#999999" stroked="false">
              <v:fill type="solid"/>
            </v:rect>
            <v:shape style="position:absolute;left:-1;top:0;width:11100;height:28" id="docshape108" coordorigin="0,0" coordsize="11100,28" path="m11100,0l11086,14,0,14,0,28,11086,28,11100,28,11100,14,11100,0xe" filled="true" fillcolor="#ededed" stroked="false">
              <v:path arrowok="t"/>
              <v:fill type="solid"/>
            </v:shape>
            <v:shape style="position:absolute;left:0;top:0;width:14;height:28" id="docshape109"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51"/>
          <w:footerReference w:type="default" r:id="rId52"/>
          <w:pgSz w:w="12240" w:h="15840"/>
          <w:pgMar w:header="0" w:footer="0" w:top="58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ListParagraph"/>
        <w:numPr>
          <w:ilvl w:val="0"/>
          <w:numId w:val="13"/>
        </w:numPr>
        <w:tabs>
          <w:tab w:pos="4569" w:val="left" w:leader="none"/>
        </w:tabs>
        <w:spacing w:line="259" w:lineRule="auto" w:before="98" w:after="0"/>
        <w:ind w:left="4568" w:right="1490" w:hanging="187"/>
        <w:jc w:val="left"/>
        <w:rPr>
          <w:sz w:val="18"/>
        </w:rPr>
      </w:pPr>
      <w:r>
        <w:rPr>
          <w:w w:val="105"/>
          <w:sz w:val="18"/>
        </w:rPr>
        <w:t>Prior to joining PwC, held various positions at Visteon Automotive Systems, Mitsubishi Motor Sales of America, and Chrysler </w:t>
      </w:r>
      <w:r>
        <w:rPr>
          <w:spacing w:val="-2"/>
          <w:w w:val="105"/>
          <w:sz w:val="18"/>
        </w:rPr>
        <w:t>Corporation</w:t>
      </w:r>
    </w:p>
    <w:p>
      <w:pPr>
        <w:spacing w:line="211" w:lineRule="auto" w:before="62"/>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0"/>
          <w:numId w:val="13"/>
        </w:numPr>
        <w:tabs>
          <w:tab w:pos="4569" w:val="left" w:leader="none"/>
        </w:tabs>
        <w:spacing w:line="259" w:lineRule="auto" w:before="147" w:after="0"/>
        <w:ind w:left="4568" w:right="1406" w:hanging="187"/>
        <w:jc w:val="left"/>
        <w:rPr>
          <w:sz w:val="18"/>
        </w:rPr>
      </w:pPr>
      <w:r>
        <w:rPr>
          <w:w w:val="105"/>
          <w:sz w:val="18"/>
        </w:rPr>
        <w:t>Extensive experience in manufacturing operations and the industrial </w:t>
      </w:r>
      <w:r>
        <w:rPr>
          <w:spacing w:val="-2"/>
          <w:w w:val="105"/>
          <w:sz w:val="18"/>
        </w:rPr>
        <w:t>market;</w:t>
      </w:r>
    </w:p>
    <w:p>
      <w:pPr>
        <w:pStyle w:val="ListParagraph"/>
        <w:numPr>
          <w:ilvl w:val="0"/>
          <w:numId w:val="13"/>
        </w:numPr>
        <w:tabs>
          <w:tab w:pos="4569" w:val="left" w:leader="none"/>
        </w:tabs>
        <w:spacing w:line="240" w:lineRule="auto" w:before="140" w:after="0"/>
        <w:ind w:left="4568" w:right="0" w:hanging="187"/>
        <w:jc w:val="left"/>
        <w:rPr>
          <w:sz w:val="18"/>
        </w:rPr>
      </w:pPr>
      <w:r>
        <w:rPr>
          <w:w w:val="105"/>
          <w:sz w:val="18"/>
        </w:rPr>
        <w:t>International</w:t>
      </w:r>
      <w:r>
        <w:rPr>
          <w:spacing w:val="14"/>
          <w:w w:val="105"/>
          <w:sz w:val="18"/>
        </w:rPr>
        <w:t> </w:t>
      </w:r>
      <w:r>
        <w:rPr>
          <w:w w:val="105"/>
          <w:sz w:val="18"/>
        </w:rPr>
        <w:t>experience,</w:t>
      </w:r>
      <w:r>
        <w:rPr>
          <w:spacing w:val="14"/>
          <w:w w:val="105"/>
          <w:sz w:val="18"/>
        </w:rPr>
        <w:t> </w:t>
      </w:r>
      <w:r>
        <w:rPr>
          <w:w w:val="105"/>
          <w:sz w:val="18"/>
        </w:rPr>
        <w:t>including</w:t>
      </w:r>
      <w:r>
        <w:rPr>
          <w:spacing w:val="14"/>
          <w:w w:val="105"/>
          <w:sz w:val="18"/>
        </w:rPr>
        <w:t> </w:t>
      </w:r>
      <w:r>
        <w:rPr>
          <w:w w:val="105"/>
          <w:sz w:val="18"/>
        </w:rPr>
        <w:t>in</w:t>
      </w:r>
      <w:r>
        <w:rPr>
          <w:spacing w:val="14"/>
          <w:w w:val="105"/>
          <w:sz w:val="18"/>
        </w:rPr>
        <w:t> </w:t>
      </w:r>
      <w:r>
        <w:rPr>
          <w:w w:val="105"/>
          <w:sz w:val="18"/>
        </w:rPr>
        <w:t>key</w:t>
      </w:r>
      <w:r>
        <w:rPr>
          <w:spacing w:val="14"/>
          <w:w w:val="105"/>
          <w:sz w:val="18"/>
        </w:rPr>
        <w:t> </w:t>
      </w:r>
      <w:r>
        <w:rPr>
          <w:w w:val="105"/>
          <w:sz w:val="18"/>
        </w:rPr>
        <w:t>markets</w:t>
      </w:r>
      <w:r>
        <w:rPr>
          <w:spacing w:val="14"/>
          <w:w w:val="105"/>
          <w:sz w:val="18"/>
        </w:rPr>
        <w:t> </w:t>
      </w:r>
      <w:r>
        <w:rPr>
          <w:w w:val="105"/>
          <w:sz w:val="18"/>
        </w:rPr>
        <w:t>in</w:t>
      </w:r>
      <w:r>
        <w:rPr>
          <w:spacing w:val="1"/>
          <w:w w:val="105"/>
          <w:sz w:val="18"/>
        </w:rPr>
        <w:t> </w:t>
      </w:r>
      <w:r>
        <w:rPr>
          <w:spacing w:val="-2"/>
          <w:w w:val="105"/>
          <w:sz w:val="18"/>
        </w:rPr>
        <w:t>Asia;</w:t>
      </w:r>
    </w:p>
    <w:p>
      <w:pPr>
        <w:pStyle w:val="ListParagraph"/>
        <w:numPr>
          <w:ilvl w:val="0"/>
          <w:numId w:val="13"/>
        </w:numPr>
        <w:tabs>
          <w:tab w:pos="4569" w:val="left" w:leader="none"/>
        </w:tabs>
        <w:spacing w:line="259" w:lineRule="auto" w:before="143" w:after="0"/>
        <w:ind w:left="4568" w:right="1866" w:hanging="187"/>
        <w:jc w:val="left"/>
        <w:rPr>
          <w:sz w:val="18"/>
        </w:rPr>
      </w:pPr>
      <w:r>
        <w:rPr>
          <w:w w:val="105"/>
          <w:sz w:val="18"/>
        </w:rPr>
        <w:t>Deep knowledge and core skills in corporate development and mergers and acquisitions; and</w:t>
      </w:r>
    </w:p>
    <w:p>
      <w:pPr>
        <w:pStyle w:val="ListParagraph"/>
        <w:numPr>
          <w:ilvl w:val="0"/>
          <w:numId w:val="13"/>
        </w:numPr>
        <w:tabs>
          <w:tab w:pos="4569" w:val="left" w:leader="none"/>
        </w:tabs>
        <w:spacing w:line="240" w:lineRule="auto" w:before="126" w:after="0"/>
        <w:ind w:left="4568" w:right="0" w:hanging="187"/>
        <w:jc w:val="left"/>
        <w:rPr>
          <w:sz w:val="18"/>
        </w:rPr>
      </w:pPr>
      <w:r>
        <w:rPr>
          <w:w w:val="105"/>
          <w:sz w:val="18"/>
        </w:rPr>
        <w:t>Expertise</w:t>
      </w:r>
      <w:r>
        <w:rPr>
          <w:spacing w:val="14"/>
          <w:w w:val="105"/>
          <w:sz w:val="18"/>
        </w:rPr>
        <w:t> </w:t>
      </w:r>
      <w:r>
        <w:rPr>
          <w:w w:val="105"/>
          <w:sz w:val="18"/>
        </w:rPr>
        <w:t>in</w:t>
      </w:r>
      <w:r>
        <w:rPr>
          <w:spacing w:val="14"/>
          <w:w w:val="105"/>
          <w:sz w:val="18"/>
        </w:rPr>
        <w:t> </w:t>
      </w:r>
      <w:r>
        <w:rPr>
          <w:w w:val="105"/>
          <w:sz w:val="18"/>
        </w:rPr>
        <w:t>project</w:t>
      </w:r>
      <w:r>
        <w:rPr>
          <w:spacing w:val="15"/>
          <w:w w:val="105"/>
          <w:sz w:val="18"/>
        </w:rPr>
        <w:t> </w:t>
      </w:r>
      <w:r>
        <w:rPr>
          <w:w w:val="105"/>
          <w:sz w:val="18"/>
        </w:rPr>
        <w:t>management</w:t>
      </w:r>
      <w:r>
        <w:rPr>
          <w:spacing w:val="14"/>
          <w:w w:val="105"/>
          <w:sz w:val="18"/>
        </w:rPr>
        <w:t> </w:t>
      </w:r>
      <w:r>
        <w:rPr>
          <w:w w:val="105"/>
          <w:sz w:val="18"/>
        </w:rPr>
        <w:t>and</w:t>
      </w:r>
      <w:r>
        <w:rPr>
          <w:spacing w:val="14"/>
          <w:w w:val="105"/>
          <w:sz w:val="18"/>
        </w:rPr>
        <w:t> </w:t>
      </w:r>
      <w:r>
        <w:rPr>
          <w:w w:val="105"/>
          <w:sz w:val="18"/>
        </w:rPr>
        <w:t>restructuring</w:t>
      </w:r>
      <w:r>
        <w:rPr>
          <w:spacing w:val="15"/>
          <w:w w:val="105"/>
          <w:sz w:val="18"/>
        </w:rPr>
        <w:t> </w:t>
      </w:r>
      <w:r>
        <w:rPr>
          <w:spacing w:val="-2"/>
          <w:w w:val="105"/>
          <w:sz w:val="18"/>
        </w:rPr>
        <w:t>operations.</w:t>
      </w:r>
    </w:p>
    <w:p>
      <w:pPr>
        <w:spacing w:after="0" w:line="240" w:lineRule="auto"/>
        <w:jc w:val="left"/>
        <w:rPr>
          <w:sz w:val="18"/>
        </w:rPr>
        <w:sectPr>
          <w:headerReference w:type="default" r:id="rId53"/>
          <w:footerReference w:type="default" r:id="rId54"/>
          <w:pgSz w:w="12240" w:h="15840"/>
          <w:pgMar w:header="0" w:footer="0" w:top="500" w:bottom="280" w:left="480" w:right="460"/>
        </w:sectPr>
      </w:pPr>
    </w:p>
    <w:p>
      <w:pPr>
        <w:pStyle w:val="Heading2"/>
        <w:spacing w:before="86"/>
      </w:pPr>
      <w:r>
        <w:rPr>
          <w:spacing w:val="-2"/>
        </w:rPr>
        <w:t>Walter</w:t>
      </w:r>
      <w:r>
        <w:rPr>
          <w:spacing w:val="-7"/>
        </w:rPr>
        <w:t> </w:t>
      </w:r>
      <w:r>
        <w:rPr>
          <w:spacing w:val="-2"/>
        </w:rPr>
        <w:t>M Rosebrough, </w:t>
      </w:r>
      <w:r>
        <w:rPr>
          <w:spacing w:val="-5"/>
        </w:rPr>
        <w:t>Jr.</w:t>
      </w:r>
    </w:p>
    <w:p>
      <w:pPr>
        <w:pStyle w:val="BodyText"/>
        <w:spacing w:before="17"/>
        <w:ind w:left="1400"/>
      </w:pPr>
      <w:r>
        <w:rPr>
          <w:w w:val="105"/>
        </w:rPr>
        <w:t>Age:</w:t>
      </w:r>
      <w:r>
        <w:rPr>
          <w:spacing w:val="8"/>
          <w:w w:val="105"/>
        </w:rPr>
        <w:t> </w:t>
      </w:r>
      <w:r>
        <w:rPr>
          <w:spacing w:val="-5"/>
          <w:w w:val="105"/>
        </w:rPr>
        <w:t>68</w:t>
      </w:r>
    </w:p>
    <w:p>
      <w:pPr>
        <w:pStyle w:val="BodyText"/>
        <w:spacing w:line="259" w:lineRule="auto" w:before="17"/>
        <w:ind w:left="1400"/>
      </w:pPr>
      <w:r>
        <w:rPr>
          <w:w w:val="105"/>
        </w:rPr>
        <w:t>Director Since: 2018 </w:t>
      </w:r>
      <w:r>
        <w:rPr>
          <w:spacing w:val="-2"/>
          <w:w w:val="105"/>
        </w:rPr>
        <w:t>Independent</w:t>
      </w:r>
    </w:p>
    <w:p>
      <w:pPr>
        <w:pStyle w:val="BodyText"/>
        <w:rPr>
          <w:sz w:val="20"/>
        </w:rPr>
      </w:pPr>
    </w:p>
    <w:p>
      <w:pPr>
        <w:pStyle w:val="BodyText"/>
        <w:spacing w:before="4"/>
        <w:rPr>
          <w:sz w:val="21"/>
        </w:rPr>
      </w:pPr>
    </w:p>
    <w:p>
      <w:pPr>
        <w:spacing w:before="0"/>
        <w:ind w:left="1400" w:right="0" w:firstLine="0"/>
        <w:jc w:val="left"/>
        <w:rPr>
          <w:i/>
          <w:sz w:val="18"/>
        </w:rPr>
      </w:pPr>
      <w:r>
        <w:rPr>
          <w:i/>
          <w:w w:val="105"/>
          <w:sz w:val="18"/>
          <w:u w:val="single"/>
        </w:rPr>
        <w:t>Varex</w:t>
      </w:r>
      <w:r>
        <w:rPr>
          <w:i/>
          <w:spacing w:val="-1"/>
          <w:w w:val="105"/>
          <w:sz w:val="18"/>
          <w:u w:val="single"/>
        </w:rPr>
        <w:t> </w:t>
      </w:r>
      <w:r>
        <w:rPr>
          <w:i/>
          <w:w w:val="105"/>
          <w:sz w:val="18"/>
          <w:u w:val="single"/>
        </w:rPr>
        <w:t>Committee</w:t>
      </w:r>
      <w:r>
        <w:rPr>
          <w:i/>
          <w:spacing w:val="-1"/>
          <w:w w:val="105"/>
          <w:sz w:val="18"/>
          <w:u w:val="single"/>
        </w:rPr>
        <w:t> </w:t>
      </w:r>
      <w:r>
        <w:rPr>
          <w:i/>
          <w:spacing w:val="-2"/>
          <w:w w:val="105"/>
          <w:sz w:val="18"/>
          <w:u w:val="single"/>
        </w:rPr>
        <w:t>Memberships</w:t>
      </w:r>
    </w:p>
    <w:p>
      <w:pPr>
        <w:pStyle w:val="ListParagraph"/>
        <w:numPr>
          <w:ilvl w:val="0"/>
          <w:numId w:val="15"/>
        </w:numPr>
        <w:tabs>
          <w:tab w:pos="1587" w:val="left" w:leader="none"/>
        </w:tabs>
        <w:spacing w:line="259" w:lineRule="auto" w:before="31" w:after="0"/>
        <w:ind w:left="1586" w:right="201" w:hanging="187"/>
        <w:jc w:val="left"/>
        <w:rPr>
          <w:sz w:val="18"/>
        </w:rPr>
      </w:pPr>
      <w:r>
        <w:rPr>
          <w:w w:val="105"/>
          <w:sz w:val="18"/>
        </w:rPr>
        <w:t>Compensation Committee </w:t>
      </w:r>
      <w:r>
        <w:rPr>
          <w:spacing w:val="-2"/>
          <w:w w:val="105"/>
          <w:sz w:val="18"/>
        </w:rPr>
        <w:t>(Chair)</w:t>
      </w:r>
    </w:p>
    <w:p>
      <w:pPr>
        <w:pStyle w:val="ListParagraph"/>
        <w:numPr>
          <w:ilvl w:val="0"/>
          <w:numId w:val="15"/>
        </w:numPr>
        <w:tabs>
          <w:tab w:pos="1587" w:val="left" w:leader="none"/>
        </w:tabs>
        <w:spacing w:line="240" w:lineRule="auto" w:before="28" w:after="0"/>
        <w:ind w:left="1586" w:right="0" w:hanging="187"/>
        <w:jc w:val="left"/>
        <w:rPr>
          <w:sz w:val="18"/>
        </w:rPr>
      </w:pPr>
      <w:r>
        <w:rPr>
          <w:w w:val="105"/>
          <w:sz w:val="18"/>
        </w:rPr>
        <w:t>Nominating</w:t>
      </w:r>
      <w:r>
        <w:rPr>
          <w:spacing w:val="16"/>
          <w:w w:val="105"/>
          <w:sz w:val="18"/>
        </w:rPr>
        <w:t> </w:t>
      </w:r>
      <w:r>
        <w:rPr>
          <w:spacing w:val="-2"/>
          <w:w w:val="105"/>
          <w:sz w:val="18"/>
        </w:rPr>
        <w:t>Committee</w:t>
      </w:r>
    </w:p>
    <w:p>
      <w:pPr>
        <w:spacing w:before="72"/>
        <w:ind w:left="523"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16"/>
        </w:numPr>
        <w:tabs>
          <w:tab w:pos="710" w:val="left" w:leader="none"/>
        </w:tabs>
        <w:spacing w:line="259" w:lineRule="auto" w:before="143" w:after="0"/>
        <w:ind w:left="709" w:right="1753" w:hanging="187"/>
        <w:jc w:val="left"/>
        <w:rPr>
          <w:sz w:val="18"/>
        </w:rPr>
      </w:pPr>
      <w:r>
        <w:rPr>
          <w:w w:val="105"/>
          <w:sz w:val="18"/>
        </w:rPr>
        <w:t>CEO Emeritus and Senior Advisor, STERIS plc, a provider of infection prevention and other procedural products and services (2021 – present)</w:t>
      </w:r>
    </w:p>
    <w:p>
      <w:pPr>
        <w:pStyle w:val="ListParagraph"/>
        <w:numPr>
          <w:ilvl w:val="0"/>
          <w:numId w:val="16"/>
        </w:numPr>
        <w:tabs>
          <w:tab w:pos="710" w:val="left" w:leader="none"/>
        </w:tabs>
        <w:spacing w:line="240" w:lineRule="auto" w:before="140" w:after="0"/>
        <w:ind w:left="709" w:right="0" w:hanging="187"/>
        <w:jc w:val="left"/>
        <w:rPr>
          <w:sz w:val="18"/>
        </w:rPr>
      </w:pPr>
      <w:r>
        <w:rPr>
          <w:w w:val="105"/>
          <w:sz w:val="18"/>
        </w:rPr>
        <w:t>President</w:t>
      </w:r>
      <w:r>
        <w:rPr>
          <w:spacing w:val="10"/>
          <w:w w:val="105"/>
          <w:sz w:val="18"/>
        </w:rPr>
        <w:t> </w:t>
      </w:r>
      <w:r>
        <w:rPr>
          <w:w w:val="105"/>
          <w:sz w:val="18"/>
        </w:rPr>
        <w:t>and</w:t>
      </w:r>
      <w:r>
        <w:rPr>
          <w:spacing w:val="10"/>
          <w:w w:val="105"/>
          <w:sz w:val="18"/>
        </w:rPr>
        <w:t> </w:t>
      </w:r>
      <w:r>
        <w:rPr>
          <w:w w:val="105"/>
          <w:sz w:val="18"/>
        </w:rPr>
        <w:t>Chief</w:t>
      </w:r>
      <w:r>
        <w:rPr>
          <w:spacing w:val="11"/>
          <w:w w:val="105"/>
          <w:sz w:val="18"/>
        </w:rPr>
        <w:t> </w:t>
      </w:r>
      <w:r>
        <w:rPr>
          <w:w w:val="105"/>
          <w:sz w:val="18"/>
        </w:rPr>
        <w:t>Executive</w:t>
      </w:r>
      <w:r>
        <w:rPr>
          <w:spacing w:val="10"/>
          <w:w w:val="105"/>
          <w:sz w:val="18"/>
        </w:rPr>
        <w:t> </w:t>
      </w:r>
      <w:r>
        <w:rPr>
          <w:w w:val="105"/>
          <w:sz w:val="18"/>
        </w:rPr>
        <w:t>Officer,</w:t>
      </w:r>
      <w:r>
        <w:rPr>
          <w:spacing w:val="10"/>
          <w:w w:val="105"/>
          <w:sz w:val="18"/>
        </w:rPr>
        <w:t> </w:t>
      </w:r>
      <w:r>
        <w:rPr>
          <w:w w:val="105"/>
          <w:sz w:val="18"/>
        </w:rPr>
        <w:t>STERIS</w:t>
      </w:r>
      <w:r>
        <w:rPr>
          <w:spacing w:val="11"/>
          <w:w w:val="105"/>
          <w:sz w:val="18"/>
        </w:rPr>
        <w:t> </w:t>
      </w:r>
      <w:r>
        <w:rPr>
          <w:w w:val="105"/>
          <w:sz w:val="18"/>
        </w:rPr>
        <w:t>plc</w:t>
      </w:r>
      <w:r>
        <w:rPr>
          <w:spacing w:val="10"/>
          <w:w w:val="105"/>
          <w:sz w:val="18"/>
        </w:rPr>
        <w:t> </w:t>
      </w:r>
      <w:r>
        <w:rPr>
          <w:w w:val="105"/>
          <w:sz w:val="18"/>
        </w:rPr>
        <w:t>(2007 –</w:t>
      </w:r>
      <w:r>
        <w:rPr>
          <w:spacing w:val="-1"/>
          <w:w w:val="105"/>
          <w:sz w:val="18"/>
        </w:rPr>
        <w:t> </w:t>
      </w:r>
      <w:r>
        <w:rPr>
          <w:spacing w:val="-2"/>
          <w:w w:val="105"/>
          <w:sz w:val="18"/>
        </w:rPr>
        <w:t>2021)</w:t>
      </w:r>
    </w:p>
    <w:p>
      <w:pPr>
        <w:pStyle w:val="ListParagraph"/>
        <w:numPr>
          <w:ilvl w:val="0"/>
          <w:numId w:val="16"/>
        </w:numPr>
        <w:tabs>
          <w:tab w:pos="710" w:val="left" w:leader="none"/>
        </w:tabs>
        <w:spacing w:line="259" w:lineRule="auto" w:before="143" w:after="0"/>
        <w:ind w:left="709" w:right="1413" w:hanging="187"/>
        <w:jc w:val="left"/>
        <w:rPr>
          <w:sz w:val="18"/>
        </w:rPr>
      </w:pPr>
      <w:r>
        <w:rPr>
          <w:w w:val="105"/>
          <w:sz w:val="18"/>
        </w:rPr>
        <w:t>Prior to joining STERIS, served as President and Chief Executive Officer of Coastal Hydraulics, Inc.; also served in various executive positions in medical device and service businesses, including Chief Executive Officer, at Hill-Rom (recently purchased by Baxter), a global leader in patient support systems, therapeutic products, and workflow information technology</w:t>
      </w:r>
    </w:p>
    <w:p>
      <w:pPr>
        <w:pStyle w:val="ListParagraph"/>
        <w:numPr>
          <w:ilvl w:val="0"/>
          <w:numId w:val="16"/>
        </w:numPr>
        <w:tabs>
          <w:tab w:pos="710" w:val="left" w:leader="none"/>
        </w:tabs>
        <w:spacing w:line="259" w:lineRule="auto" w:before="154" w:after="0"/>
        <w:ind w:left="709" w:right="1563" w:hanging="187"/>
        <w:jc w:val="left"/>
        <w:rPr>
          <w:sz w:val="18"/>
        </w:rPr>
      </w:pPr>
      <w:r>
        <w:rPr>
          <w:w w:val="105"/>
          <w:sz w:val="18"/>
        </w:rPr>
        <w:t>Prior Public Company Board Memberships in the Past Five Years: STERIS plc</w:t>
      </w:r>
    </w:p>
    <w:p>
      <w:pPr>
        <w:spacing w:after="0" w:line="259" w:lineRule="auto"/>
        <w:jc w:val="left"/>
        <w:rPr>
          <w:sz w:val="18"/>
        </w:rPr>
        <w:sectPr>
          <w:type w:val="continuous"/>
          <w:pgSz w:w="12240" w:h="15840"/>
          <w:pgMar w:header="0" w:footer="0" w:top="600" w:bottom="960" w:left="480" w:right="460"/>
          <w:cols w:num="2" w:equalWidth="0">
            <w:col w:w="3820" w:space="40"/>
            <w:col w:w="7440"/>
          </w:cols>
        </w:sectPr>
      </w:pPr>
    </w:p>
    <w:p>
      <w:pPr>
        <w:spacing w:line="228" w:lineRule="auto" w:before="79"/>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1"/>
          <w:numId w:val="16"/>
        </w:numPr>
        <w:tabs>
          <w:tab w:pos="4569" w:val="left" w:leader="none"/>
        </w:tabs>
        <w:spacing w:line="259" w:lineRule="auto" w:before="143" w:after="0"/>
        <w:ind w:left="4568" w:right="2111" w:hanging="187"/>
        <w:jc w:val="left"/>
        <w:rPr>
          <w:sz w:val="18"/>
        </w:rPr>
      </w:pPr>
      <w:r>
        <w:rPr>
          <w:w w:val="105"/>
          <w:sz w:val="18"/>
        </w:rPr>
        <w:t>Service as a director and chief executive officer of a public </w:t>
      </w:r>
      <w:r>
        <w:rPr>
          <w:spacing w:val="-2"/>
          <w:w w:val="105"/>
          <w:sz w:val="18"/>
        </w:rPr>
        <w:t>company;</w:t>
      </w:r>
    </w:p>
    <w:p>
      <w:pPr>
        <w:pStyle w:val="ListParagraph"/>
        <w:numPr>
          <w:ilvl w:val="1"/>
          <w:numId w:val="16"/>
        </w:numPr>
        <w:tabs>
          <w:tab w:pos="4569" w:val="left" w:leader="none"/>
        </w:tabs>
        <w:spacing w:line="259" w:lineRule="auto" w:before="140" w:after="0"/>
        <w:ind w:left="4568" w:right="1449" w:hanging="187"/>
        <w:jc w:val="left"/>
        <w:rPr>
          <w:sz w:val="18"/>
        </w:rPr>
      </w:pPr>
      <w:r>
        <w:rPr>
          <w:w w:val="105"/>
          <w:sz w:val="18"/>
        </w:rPr>
        <w:t>Over 35 years in the healthcare industry in various senior executive roles, including 25 years as chief executive officer;</w:t>
      </w:r>
    </w:p>
    <w:p>
      <w:pPr>
        <w:pStyle w:val="ListParagraph"/>
        <w:numPr>
          <w:ilvl w:val="1"/>
          <w:numId w:val="16"/>
        </w:numPr>
        <w:tabs>
          <w:tab w:pos="4569" w:val="left" w:leader="none"/>
        </w:tabs>
        <w:spacing w:line="259" w:lineRule="auto" w:before="154" w:after="0"/>
        <w:ind w:left="4568" w:right="1460" w:hanging="187"/>
        <w:jc w:val="left"/>
        <w:rPr>
          <w:sz w:val="18"/>
        </w:rPr>
      </w:pPr>
      <w:r>
        <w:rPr>
          <w:w w:val="105"/>
          <w:sz w:val="18"/>
        </w:rPr>
        <w:t>Leadership experience in many major business functions, including product development, business development, manufacturing,</w:t>
      </w:r>
      <w:r>
        <w:rPr>
          <w:spacing w:val="80"/>
          <w:w w:val="105"/>
          <w:sz w:val="18"/>
        </w:rPr>
        <w:t> </w:t>
      </w:r>
      <w:r>
        <w:rPr>
          <w:w w:val="105"/>
          <w:sz w:val="18"/>
        </w:rPr>
        <w:t>finance, and marketing;</w:t>
      </w:r>
    </w:p>
    <w:p>
      <w:pPr>
        <w:pStyle w:val="ListParagraph"/>
        <w:numPr>
          <w:ilvl w:val="1"/>
          <w:numId w:val="16"/>
        </w:numPr>
        <w:tabs>
          <w:tab w:pos="4569" w:val="left" w:leader="none"/>
        </w:tabs>
        <w:spacing w:line="259" w:lineRule="auto" w:before="155" w:after="0"/>
        <w:ind w:left="4568" w:right="1800" w:hanging="187"/>
        <w:jc w:val="left"/>
        <w:rPr>
          <w:sz w:val="18"/>
        </w:rPr>
      </w:pPr>
      <w:r>
        <w:rPr>
          <w:w w:val="105"/>
          <w:sz w:val="18"/>
        </w:rPr>
        <w:t>Experience leading ventures ranging in scale from start-up operations to multi-billion-dollar multinational businesses; and</w:t>
      </w:r>
    </w:p>
    <w:p>
      <w:pPr>
        <w:pStyle w:val="ListParagraph"/>
        <w:numPr>
          <w:ilvl w:val="1"/>
          <w:numId w:val="16"/>
        </w:numPr>
        <w:tabs>
          <w:tab w:pos="4569" w:val="left" w:leader="none"/>
        </w:tabs>
        <w:spacing w:line="259" w:lineRule="auto" w:before="140" w:after="0"/>
        <w:ind w:left="4568" w:right="1663" w:hanging="187"/>
        <w:jc w:val="left"/>
        <w:rPr>
          <w:sz w:val="18"/>
        </w:rPr>
      </w:pPr>
      <w:r>
        <w:rPr>
          <w:w w:val="105"/>
          <w:sz w:val="18"/>
        </w:rPr>
        <w:t>Service on the following healthcare industry boards: AAMI (Association for the Advancement of Medical Instrumentation – Chairman Elect), AdvaMed (Advanced Medical Technology Association – Former Executive Committee), MDMA (Medical Device Manufacturers Association), and Health Insights (Former </w:t>
      </w:r>
      <w:r>
        <w:rPr>
          <w:spacing w:val="-2"/>
          <w:w w:val="105"/>
          <w:sz w:val="18"/>
        </w:rPr>
        <w:t>Chairman).</w:t>
      </w:r>
    </w:p>
    <w:p>
      <w:pPr>
        <w:spacing w:after="0" w:line="259" w:lineRule="auto"/>
        <w:jc w:val="left"/>
        <w:rPr>
          <w:sz w:val="18"/>
        </w:rPr>
        <w:sectPr>
          <w:type w:val="continuous"/>
          <w:pgSz w:w="12240" w:h="15840"/>
          <w:pgMar w:header="0" w:footer="0" w:top="600" w:bottom="960" w:left="480" w:right="460"/>
        </w:sectPr>
      </w:pPr>
    </w:p>
    <w:p>
      <w:pPr>
        <w:pStyle w:val="Heading2"/>
        <w:spacing w:before="98"/>
      </w:pPr>
      <w:r>
        <w:rPr/>
        <w:t>Sunny</w:t>
      </w:r>
      <w:r>
        <w:rPr>
          <w:spacing w:val="-7"/>
        </w:rPr>
        <w:t> </w:t>
      </w:r>
      <w:r>
        <w:rPr/>
        <w:t>S.</w:t>
      </w:r>
      <w:r>
        <w:rPr>
          <w:spacing w:val="-6"/>
        </w:rPr>
        <w:t> </w:t>
      </w:r>
      <w:r>
        <w:rPr>
          <w:spacing w:val="-2"/>
        </w:rPr>
        <w:t>Sanyal</w:t>
      </w:r>
    </w:p>
    <w:p>
      <w:pPr>
        <w:pStyle w:val="BodyText"/>
        <w:spacing w:before="17"/>
        <w:ind w:left="1400"/>
      </w:pPr>
      <w:r>
        <w:rPr>
          <w:w w:val="105"/>
        </w:rPr>
        <w:t>Age:</w:t>
      </w:r>
      <w:r>
        <w:rPr>
          <w:spacing w:val="8"/>
          <w:w w:val="105"/>
        </w:rPr>
        <w:t> </w:t>
      </w:r>
      <w:r>
        <w:rPr>
          <w:spacing w:val="-5"/>
          <w:w w:val="105"/>
        </w:rPr>
        <w:t>58</w:t>
      </w:r>
    </w:p>
    <w:p>
      <w:pPr>
        <w:pStyle w:val="BodyText"/>
        <w:spacing w:before="17"/>
        <w:ind w:left="1400"/>
      </w:pPr>
      <w:r>
        <w:rPr>
          <w:w w:val="105"/>
        </w:rPr>
        <w:t>Director</w:t>
      </w:r>
      <w:r>
        <w:rPr>
          <w:spacing w:val="14"/>
          <w:w w:val="105"/>
        </w:rPr>
        <w:t> </w:t>
      </w:r>
      <w:r>
        <w:rPr>
          <w:w w:val="105"/>
        </w:rPr>
        <w:t>Since:</w:t>
      </w:r>
      <w:r>
        <w:rPr>
          <w:spacing w:val="14"/>
          <w:w w:val="105"/>
        </w:rPr>
        <w:t> </w:t>
      </w:r>
      <w:r>
        <w:rPr>
          <w:spacing w:val="-4"/>
          <w:w w:val="105"/>
        </w:rPr>
        <w:t>2017</w:t>
      </w:r>
    </w:p>
    <w:p>
      <w:pPr>
        <w:spacing w:before="84"/>
        <w:ind w:left="1318"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17"/>
        </w:numPr>
        <w:tabs>
          <w:tab w:pos="1506" w:val="left" w:leader="none"/>
        </w:tabs>
        <w:spacing w:line="259" w:lineRule="auto" w:before="143" w:after="0"/>
        <w:ind w:left="1505" w:right="1520" w:hanging="187"/>
        <w:jc w:val="left"/>
        <w:rPr>
          <w:sz w:val="18"/>
        </w:rPr>
      </w:pPr>
      <w:r>
        <w:rPr>
          <w:w w:val="105"/>
          <w:sz w:val="18"/>
        </w:rPr>
        <w:t>President and Chief Executive Officer, Varex Imaging Corporation (January 2017 – Present)</w:t>
      </w:r>
    </w:p>
    <w:p>
      <w:pPr>
        <w:pStyle w:val="ListParagraph"/>
        <w:numPr>
          <w:ilvl w:val="0"/>
          <w:numId w:val="17"/>
        </w:numPr>
        <w:tabs>
          <w:tab w:pos="1506" w:val="left" w:leader="none"/>
        </w:tabs>
        <w:spacing w:line="259" w:lineRule="auto" w:before="154" w:after="0"/>
        <w:ind w:left="1505" w:right="1552" w:hanging="187"/>
        <w:jc w:val="left"/>
        <w:rPr>
          <w:sz w:val="18"/>
        </w:rPr>
      </w:pPr>
      <w:r>
        <w:rPr>
          <w:w w:val="105"/>
          <w:sz w:val="18"/>
        </w:rPr>
        <w:t>Senior Vice President and President, Imaging Components, Varian Medical Systems, Inc. (2014 – 2017)</w:t>
      </w:r>
    </w:p>
    <w:p>
      <w:pPr>
        <w:pStyle w:val="ListParagraph"/>
        <w:numPr>
          <w:ilvl w:val="0"/>
          <w:numId w:val="17"/>
        </w:numPr>
        <w:tabs>
          <w:tab w:pos="1506" w:val="left" w:leader="none"/>
        </w:tabs>
        <w:spacing w:line="259" w:lineRule="auto" w:before="84" w:after="0"/>
        <w:ind w:left="1505" w:right="1512" w:hanging="187"/>
        <w:jc w:val="left"/>
        <w:rPr>
          <w:sz w:val="18"/>
        </w:rPr>
      </w:pPr>
      <w:r>
        <w:rPr>
          <w:w w:val="105"/>
          <w:sz w:val="18"/>
        </w:rPr>
        <w:t>Chief Executive Officer, T-System Inc., an information technology solutions and services provider (2010 – 2014)</w:t>
      </w:r>
    </w:p>
    <w:p>
      <w:pPr>
        <w:spacing w:after="0" w:line="259" w:lineRule="auto"/>
        <w:jc w:val="left"/>
        <w:rPr>
          <w:sz w:val="18"/>
        </w:rPr>
        <w:sectPr>
          <w:type w:val="continuous"/>
          <w:pgSz w:w="12240" w:h="15840"/>
          <w:pgMar w:header="0" w:footer="0" w:top="600" w:bottom="960" w:left="480" w:right="460"/>
          <w:cols w:num="2" w:equalWidth="0">
            <w:col w:w="3024" w:space="40"/>
            <w:col w:w="8236"/>
          </w:cols>
        </w:sectPr>
      </w:pPr>
    </w:p>
    <w:p>
      <w:pPr>
        <w:pStyle w:val="BodyText"/>
        <w:spacing w:before="81"/>
        <w:ind w:left="142" w:right="143"/>
        <w:jc w:val="center"/>
      </w:pPr>
      <w:r>
        <w:rPr>
          <w:spacing w:val="-5"/>
          <w:w w:val="105"/>
        </w:rPr>
        <w:t>14</w:t>
      </w:r>
    </w:p>
    <w:p>
      <w:pPr>
        <w:pStyle w:val="BodyText"/>
        <w:rPr>
          <w:sz w:val="20"/>
        </w:rPr>
      </w:pPr>
    </w:p>
    <w:p>
      <w:pPr>
        <w:pStyle w:val="BodyText"/>
        <w:spacing w:before="7"/>
        <w:rPr>
          <w:sz w:val="14"/>
        </w:rPr>
      </w:pPr>
      <w:r>
        <w:rPr/>
        <w:pict>
          <v:group style="position:absolute;margin-left:28.999998pt;margin-top:9.599317pt;width:555pt;height:1.4pt;mso-position-horizontal-relative:page;mso-position-vertical-relative:paragraph;z-index:-15715328;mso-wrap-distance-left:0;mso-wrap-distance-right:0" id="docshapegroup110" coordorigin="580,192" coordsize="11100,28">
            <v:rect style="position:absolute;left:580;top:191;width:11100;height:14" id="docshape111" filled="true" fillcolor="#999999" stroked="false">
              <v:fill type="solid"/>
            </v:rect>
            <v:shape style="position:absolute;left:579;top:191;width:11100;height:28" id="docshape112" coordorigin="580,192" coordsize="11100,28" path="m11680,192l11666,206,580,206,580,220,11666,220,11680,220,11680,206,11680,192xe" filled="true" fillcolor="#ededed" stroked="false">
              <v:path arrowok="t"/>
              <v:fill type="solid"/>
            </v:shape>
            <v:shape style="position:absolute;left:580;top:191;width:14;height:28" id="docshape113" coordorigin="580,192" coordsize="14,28" path="m580,220l580,192,594,192,594,206,580,220xe" filled="true" fillcolor="#999999" stroked="false">
              <v:path arrowok="t"/>
              <v:fill type="solid"/>
            </v:shape>
            <w10:wrap type="topAndBottom"/>
          </v:group>
        </w:pict>
      </w:r>
    </w:p>
    <w:p>
      <w:pPr>
        <w:spacing w:after="0"/>
        <w:rPr>
          <w:sz w:val="14"/>
        </w:rPr>
        <w:sectPr>
          <w:headerReference w:type="default" r:id="rId55"/>
          <w:footerReference w:type="default" r:id="rId56"/>
          <w:pgSz w:w="12240" w:h="15840"/>
          <w:pgMar w:header="0" w:footer="0" w:top="82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ListParagraph"/>
        <w:numPr>
          <w:ilvl w:val="1"/>
          <w:numId w:val="17"/>
        </w:numPr>
        <w:tabs>
          <w:tab w:pos="4569" w:val="left" w:leader="none"/>
        </w:tabs>
        <w:spacing w:line="259" w:lineRule="auto" w:before="98" w:after="0"/>
        <w:ind w:left="4568" w:right="1903" w:hanging="187"/>
        <w:jc w:val="left"/>
        <w:rPr>
          <w:sz w:val="18"/>
        </w:rPr>
      </w:pPr>
      <w:r>
        <w:rPr>
          <w:w w:val="105"/>
          <w:sz w:val="18"/>
        </w:rPr>
        <w:t>Positions at McKesson Corporation, a healthcare services and information technology company</w:t>
      </w:r>
    </w:p>
    <w:p>
      <w:pPr>
        <w:pStyle w:val="ListParagraph"/>
        <w:numPr>
          <w:ilvl w:val="1"/>
          <w:numId w:val="17"/>
        </w:numPr>
        <w:tabs>
          <w:tab w:pos="4569" w:val="left" w:leader="none"/>
        </w:tabs>
        <w:spacing w:line="259" w:lineRule="auto" w:before="154" w:after="0"/>
        <w:ind w:left="4568" w:right="1494" w:hanging="187"/>
        <w:jc w:val="left"/>
        <w:rPr>
          <w:sz w:val="18"/>
        </w:rPr>
      </w:pPr>
      <w:r>
        <w:rPr>
          <w:w w:val="105"/>
          <w:sz w:val="18"/>
        </w:rPr>
        <w:t>Chief Operating Officer, McKesson Provider Technologies (2006 – </w:t>
      </w:r>
      <w:r>
        <w:rPr>
          <w:spacing w:val="-2"/>
          <w:w w:val="105"/>
          <w:sz w:val="18"/>
        </w:rPr>
        <w:t>2010)</w:t>
      </w:r>
    </w:p>
    <w:p>
      <w:pPr>
        <w:pStyle w:val="ListParagraph"/>
        <w:numPr>
          <w:ilvl w:val="1"/>
          <w:numId w:val="17"/>
        </w:numPr>
        <w:tabs>
          <w:tab w:pos="4569" w:val="left" w:leader="none"/>
        </w:tabs>
        <w:spacing w:line="259" w:lineRule="auto" w:before="154" w:after="0"/>
        <w:ind w:left="4568" w:right="1738" w:hanging="187"/>
        <w:jc w:val="left"/>
        <w:rPr>
          <w:sz w:val="18"/>
        </w:rPr>
      </w:pPr>
      <w:r>
        <w:rPr>
          <w:w w:val="105"/>
          <w:sz w:val="18"/>
        </w:rPr>
        <w:t>Group President, Clinical Information Systems division (2004 – </w:t>
      </w:r>
      <w:r>
        <w:rPr>
          <w:spacing w:val="-2"/>
          <w:w w:val="105"/>
          <w:sz w:val="18"/>
        </w:rPr>
        <w:t>2006)</w:t>
      </w:r>
    </w:p>
    <w:p>
      <w:pPr>
        <w:pStyle w:val="ListParagraph"/>
        <w:numPr>
          <w:ilvl w:val="1"/>
          <w:numId w:val="17"/>
        </w:numPr>
        <w:tabs>
          <w:tab w:pos="4569" w:val="left" w:leader="none"/>
        </w:tabs>
        <w:spacing w:line="259" w:lineRule="auto" w:before="140" w:after="0"/>
        <w:ind w:left="4568" w:right="1717" w:hanging="187"/>
        <w:jc w:val="left"/>
        <w:rPr>
          <w:sz w:val="18"/>
        </w:rPr>
      </w:pPr>
      <w:r>
        <w:rPr>
          <w:w w:val="105"/>
          <w:sz w:val="18"/>
        </w:rPr>
        <w:t>Previous management positions with GE Healthcare, Accenture, and IDX Systems Corporation</w:t>
      </w:r>
    </w:p>
    <w:p>
      <w:pPr>
        <w:spacing w:line="211" w:lineRule="auto" w:before="104"/>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1"/>
          <w:numId w:val="17"/>
        </w:numPr>
        <w:tabs>
          <w:tab w:pos="4569" w:val="left" w:leader="none"/>
        </w:tabs>
        <w:spacing w:line="240" w:lineRule="auto" w:before="133" w:after="0"/>
        <w:ind w:left="4568" w:right="0" w:hanging="187"/>
        <w:jc w:val="left"/>
        <w:rPr>
          <w:sz w:val="18"/>
        </w:rPr>
      </w:pPr>
      <w:r>
        <w:rPr>
          <w:w w:val="105"/>
          <w:sz w:val="18"/>
        </w:rPr>
        <w:t>Extensive</w:t>
      </w:r>
      <w:r>
        <w:rPr>
          <w:spacing w:val="13"/>
          <w:w w:val="105"/>
          <w:sz w:val="18"/>
        </w:rPr>
        <w:t> </w:t>
      </w:r>
      <w:r>
        <w:rPr>
          <w:w w:val="105"/>
          <w:sz w:val="18"/>
        </w:rPr>
        <w:t>experience</w:t>
      </w:r>
      <w:r>
        <w:rPr>
          <w:spacing w:val="13"/>
          <w:w w:val="105"/>
          <w:sz w:val="18"/>
        </w:rPr>
        <w:t> </w:t>
      </w:r>
      <w:r>
        <w:rPr>
          <w:w w:val="105"/>
          <w:sz w:val="18"/>
        </w:rPr>
        <w:t>in</w:t>
      </w:r>
      <w:r>
        <w:rPr>
          <w:spacing w:val="14"/>
          <w:w w:val="105"/>
          <w:sz w:val="18"/>
        </w:rPr>
        <w:t> </w:t>
      </w:r>
      <w:r>
        <w:rPr>
          <w:w w:val="105"/>
          <w:sz w:val="18"/>
        </w:rPr>
        <w:t>medical</w:t>
      </w:r>
      <w:r>
        <w:rPr>
          <w:spacing w:val="13"/>
          <w:w w:val="105"/>
          <w:sz w:val="18"/>
        </w:rPr>
        <w:t> </w:t>
      </w:r>
      <w:r>
        <w:rPr>
          <w:w w:val="105"/>
          <w:sz w:val="18"/>
        </w:rPr>
        <w:t>device</w:t>
      </w:r>
      <w:r>
        <w:rPr>
          <w:spacing w:val="14"/>
          <w:w w:val="105"/>
          <w:sz w:val="18"/>
        </w:rPr>
        <w:t> </w:t>
      </w:r>
      <w:r>
        <w:rPr>
          <w:w w:val="105"/>
          <w:sz w:val="18"/>
        </w:rPr>
        <w:t>and</w:t>
      </w:r>
      <w:r>
        <w:rPr>
          <w:spacing w:val="13"/>
          <w:w w:val="105"/>
          <w:sz w:val="18"/>
        </w:rPr>
        <w:t> </w:t>
      </w:r>
      <w:r>
        <w:rPr>
          <w:w w:val="105"/>
          <w:sz w:val="18"/>
        </w:rPr>
        <w:t>healthcare</w:t>
      </w:r>
      <w:r>
        <w:rPr>
          <w:spacing w:val="13"/>
          <w:w w:val="105"/>
          <w:sz w:val="18"/>
        </w:rPr>
        <w:t> </w:t>
      </w:r>
      <w:r>
        <w:rPr>
          <w:spacing w:val="-2"/>
          <w:w w:val="105"/>
          <w:sz w:val="18"/>
        </w:rPr>
        <w:t>industry;</w:t>
      </w:r>
    </w:p>
    <w:p>
      <w:pPr>
        <w:pStyle w:val="ListParagraph"/>
        <w:numPr>
          <w:ilvl w:val="1"/>
          <w:numId w:val="17"/>
        </w:numPr>
        <w:tabs>
          <w:tab w:pos="4569" w:val="left" w:leader="none"/>
        </w:tabs>
        <w:spacing w:line="259" w:lineRule="auto" w:before="143" w:after="0"/>
        <w:ind w:left="4568" w:right="1954" w:hanging="187"/>
        <w:jc w:val="both"/>
        <w:rPr>
          <w:sz w:val="18"/>
        </w:rPr>
      </w:pPr>
      <w:r>
        <w:rPr>
          <w:w w:val="105"/>
          <w:sz w:val="18"/>
        </w:rPr>
        <w:t>Key insight into Varex through his leadership position within Varian’s Imaging Components business before becoming our President and Chief Executive Officer; and</w:t>
      </w:r>
    </w:p>
    <w:p>
      <w:pPr>
        <w:pStyle w:val="ListParagraph"/>
        <w:numPr>
          <w:ilvl w:val="1"/>
          <w:numId w:val="17"/>
        </w:numPr>
        <w:tabs>
          <w:tab w:pos="4569" w:val="left" w:leader="none"/>
        </w:tabs>
        <w:spacing w:line="240" w:lineRule="auto" w:before="140" w:after="0"/>
        <w:ind w:left="4568" w:right="0" w:hanging="187"/>
        <w:jc w:val="left"/>
        <w:rPr>
          <w:sz w:val="18"/>
        </w:rPr>
      </w:pPr>
      <w:r>
        <w:rPr>
          <w:w w:val="105"/>
          <w:sz w:val="18"/>
        </w:rPr>
        <w:t>Significant</w:t>
      </w:r>
      <w:r>
        <w:rPr>
          <w:spacing w:val="16"/>
          <w:w w:val="105"/>
          <w:sz w:val="18"/>
        </w:rPr>
        <w:t> </w:t>
      </w:r>
      <w:r>
        <w:rPr>
          <w:w w:val="105"/>
          <w:sz w:val="18"/>
        </w:rPr>
        <w:t>public</w:t>
      </w:r>
      <w:r>
        <w:rPr>
          <w:spacing w:val="16"/>
          <w:w w:val="105"/>
          <w:sz w:val="18"/>
        </w:rPr>
        <w:t> </w:t>
      </w:r>
      <w:r>
        <w:rPr>
          <w:w w:val="105"/>
          <w:sz w:val="18"/>
        </w:rPr>
        <w:t>company</w:t>
      </w:r>
      <w:r>
        <w:rPr>
          <w:spacing w:val="17"/>
          <w:w w:val="105"/>
          <w:sz w:val="18"/>
        </w:rPr>
        <w:t> </w:t>
      </w:r>
      <w:r>
        <w:rPr>
          <w:w w:val="105"/>
          <w:sz w:val="18"/>
        </w:rPr>
        <w:t>operational</w:t>
      </w:r>
      <w:r>
        <w:rPr>
          <w:spacing w:val="16"/>
          <w:w w:val="105"/>
          <w:sz w:val="18"/>
        </w:rPr>
        <w:t> </w:t>
      </w:r>
      <w:r>
        <w:rPr>
          <w:spacing w:val="-2"/>
          <w:w w:val="105"/>
          <w:sz w:val="18"/>
        </w:rPr>
        <w:t>experience.</w:t>
      </w:r>
    </w:p>
    <w:p>
      <w:pPr>
        <w:spacing w:after="0" w:line="240" w:lineRule="auto"/>
        <w:jc w:val="left"/>
        <w:rPr>
          <w:sz w:val="18"/>
        </w:rPr>
        <w:sectPr>
          <w:headerReference w:type="default" r:id="rId57"/>
          <w:footerReference w:type="default" r:id="rId58"/>
          <w:pgSz w:w="12240" w:h="15840"/>
          <w:pgMar w:header="0" w:footer="0" w:top="500" w:bottom="280" w:left="480" w:right="460"/>
        </w:sectPr>
      </w:pPr>
    </w:p>
    <w:p>
      <w:pPr>
        <w:pStyle w:val="Heading2"/>
        <w:spacing w:before="86"/>
      </w:pPr>
      <w:r>
        <w:rPr>
          <w:spacing w:val="-2"/>
        </w:rPr>
        <w:t>Christine</w:t>
      </w:r>
      <w:r>
        <w:rPr>
          <w:spacing w:val="-12"/>
        </w:rPr>
        <w:t> </w:t>
      </w:r>
      <w:r>
        <w:rPr>
          <w:spacing w:val="-2"/>
        </w:rPr>
        <w:t>A.</w:t>
      </w:r>
      <w:r>
        <w:rPr>
          <w:spacing w:val="-3"/>
        </w:rPr>
        <w:t> </w:t>
      </w:r>
      <w:r>
        <w:rPr>
          <w:spacing w:val="-2"/>
        </w:rPr>
        <w:t>Tsingos</w:t>
      </w:r>
    </w:p>
    <w:p>
      <w:pPr>
        <w:pStyle w:val="BodyText"/>
        <w:spacing w:before="17"/>
        <w:ind w:left="1400"/>
      </w:pPr>
      <w:r>
        <w:rPr>
          <w:w w:val="105"/>
        </w:rPr>
        <w:t>Age:</w:t>
      </w:r>
      <w:r>
        <w:rPr>
          <w:spacing w:val="8"/>
          <w:w w:val="105"/>
        </w:rPr>
        <w:t> </w:t>
      </w:r>
      <w:r>
        <w:rPr>
          <w:spacing w:val="-5"/>
          <w:w w:val="105"/>
        </w:rPr>
        <w:t>64</w:t>
      </w:r>
    </w:p>
    <w:p>
      <w:pPr>
        <w:pStyle w:val="BodyText"/>
        <w:spacing w:line="259" w:lineRule="auto" w:before="17"/>
        <w:ind w:left="1400"/>
      </w:pPr>
      <w:r>
        <w:rPr>
          <w:w w:val="105"/>
        </w:rPr>
        <w:t>Director Since: 2017 </w:t>
      </w:r>
      <w:r>
        <w:rPr>
          <w:spacing w:val="-2"/>
          <w:w w:val="105"/>
        </w:rPr>
        <w:t>Independent</w:t>
      </w:r>
    </w:p>
    <w:p>
      <w:pPr>
        <w:pStyle w:val="BodyText"/>
        <w:rPr>
          <w:sz w:val="20"/>
        </w:rPr>
      </w:pPr>
    </w:p>
    <w:p>
      <w:pPr>
        <w:pStyle w:val="BodyText"/>
        <w:spacing w:before="4"/>
        <w:rPr>
          <w:sz w:val="21"/>
        </w:rPr>
      </w:pPr>
    </w:p>
    <w:p>
      <w:pPr>
        <w:spacing w:before="0"/>
        <w:ind w:left="1400" w:right="0" w:firstLine="0"/>
        <w:jc w:val="left"/>
        <w:rPr>
          <w:i/>
          <w:sz w:val="18"/>
        </w:rPr>
      </w:pPr>
      <w:r>
        <w:rPr>
          <w:i/>
          <w:w w:val="105"/>
          <w:sz w:val="18"/>
          <w:u w:val="single"/>
        </w:rPr>
        <w:t>Varex</w:t>
      </w:r>
      <w:r>
        <w:rPr>
          <w:i/>
          <w:spacing w:val="-1"/>
          <w:w w:val="105"/>
          <w:sz w:val="18"/>
          <w:u w:val="single"/>
        </w:rPr>
        <w:t> </w:t>
      </w:r>
      <w:r>
        <w:rPr>
          <w:i/>
          <w:w w:val="105"/>
          <w:sz w:val="18"/>
          <w:u w:val="single"/>
        </w:rPr>
        <w:t>Committee</w:t>
      </w:r>
      <w:r>
        <w:rPr>
          <w:i/>
          <w:spacing w:val="-1"/>
          <w:w w:val="105"/>
          <w:sz w:val="18"/>
          <w:u w:val="single"/>
        </w:rPr>
        <w:t> </w:t>
      </w:r>
      <w:r>
        <w:rPr>
          <w:i/>
          <w:spacing w:val="-2"/>
          <w:w w:val="105"/>
          <w:sz w:val="18"/>
          <w:u w:val="single"/>
        </w:rPr>
        <w:t>Memberships</w:t>
      </w:r>
    </w:p>
    <w:p>
      <w:pPr>
        <w:pStyle w:val="ListParagraph"/>
        <w:numPr>
          <w:ilvl w:val="0"/>
          <w:numId w:val="18"/>
        </w:numPr>
        <w:tabs>
          <w:tab w:pos="1587" w:val="left" w:leader="none"/>
        </w:tabs>
        <w:spacing w:line="240" w:lineRule="auto" w:before="3" w:after="0"/>
        <w:ind w:left="1586" w:right="0" w:hanging="187"/>
        <w:jc w:val="left"/>
        <w:rPr>
          <w:sz w:val="18"/>
        </w:rPr>
      </w:pPr>
      <w:r>
        <w:rPr>
          <w:w w:val="105"/>
          <w:sz w:val="18"/>
        </w:rPr>
        <w:t>Audit</w:t>
      </w:r>
      <w:r>
        <w:rPr>
          <w:spacing w:val="12"/>
          <w:w w:val="105"/>
          <w:sz w:val="18"/>
        </w:rPr>
        <w:t> </w:t>
      </w:r>
      <w:r>
        <w:rPr>
          <w:w w:val="105"/>
          <w:sz w:val="18"/>
        </w:rPr>
        <w:t>Committee</w:t>
      </w:r>
      <w:r>
        <w:rPr>
          <w:spacing w:val="13"/>
          <w:w w:val="105"/>
          <w:sz w:val="18"/>
        </w:rPr>
        <w:t> </w:t>
      </w:r>
      <w:r>
        <w:rPr>
          <w:spacing w:val="-2"/>
          <w:w w:val="105"/>
          <w:sz w:val="18"/>
        </w:rPr>
        <w:t>(Chair)</w:t>
      </w:r>
    </w:p>
    <w:p>
      <w:pPr>
        <w:pStyle w:val="ListParagraph"/>
        <w:numPr>
          <w:ilvl w:val="0"/>
          <w:numId w:val="18"/>
        </w:numPr>
        <w:tabs>
          <w:tab w:pos="1587" w:val="left" w:leader="none"/>
        </w:tabs>
        <w:spacing w:line="240" w:lineRule="auto" w:before="16" w:after="0"/>
        <w:ind w:left="1586" w:right="0" w:hanging="187"/>
        <w:jc w:val="left"/>
        <w:rPr>
          <w:sz w:val="18"/>
        </w:rPr>
      </w:pPr>
      <w:r>
        <w:rPr>
          <w:w w:val="105"/>
          <w:sz w:val="18"/>
        </w:rPr>
        <w:t>Nominating</w:t>
      </w:r>
      <w:r>
        <w:rPr>
          <w:spacing w:val="16"/>
          <w:w w:val="105"/>
          <w:sz w:val="18"/>
        </w:rPr>
        <w:t> </w:t>
      </w:r>
      <w:r>
        <w:rPr>
          <w:spacing w:val="-2"/>
          <w:w w:val="105"/>
          <w:sz w:val="18"/>
        </w:rPr>
        <w:t>Committee</w:t>
      </w:r>
    </w:p>
    <w:p>
      <w:pPr>
        <w:spacing w:before="72"/>
        <w:ind w:left="523" w:right="0" w:firstLine="0"/>
        <w:jc w:val="left"/>
        <w:rPr>
          <w:i/>
          <w:sz w:val="18"/>
        </w:rPr>
      </w:pPr>
      <w:r>
        <w:rPr/>
        <w:br w:type="column"/>
      </w:r>
      <w:r>
        <w:rPr>
          <w:i/>
          <w:w w:val="105"/>
          <w:sz w:val="18"/>
          <w:u w:val="single"/>
        </w:rPr>
        <w:t>Principal</w:t>
      </w:r>
      <w:r>
        <w:rPr>
          <w:i/>
          <w:spacing w:val="15"/>
          <w:w w:val="105"/>
          <w:sz w:val="18"/>
          <w:u w:val="single"/>
        </w:rPr>
        <w:t> </w:t>
      </w:r>
      <w:r>
        <w:rPr>
          <w:i/>
          <w:w w:val="105"/>
          <w:sz w:val="18"/>
          <w:u w:val="single"/>
        </w:rPr>
        <w:t>occupation,</w:t>
      </w:r>
      <w:r>
        <w:rPr>
          <w:i/>
          <w:spacing w:val="16"/>
          <w:w w:val="105"/>
          <w:sz w:val="18"/>
          <w:u w:val="single"/>
        </w:rPr>
        <w:t> </w:t>
      </w:r>
      <w:r>
        <w:rPr>
          <w:i/>
          <w:w w:val="105"/>
          <w:sz w:val="18"/>
          <w:u w:val="single"/>
        </w:rPr>
        <w:t>business</w:t>
      </w:r>
      <w:r>
        <w:rPr>
          <w:i/>
          <w:spacing w:val="15"/>
          <w:w w:val="105"/>
          <w:sz w:val="18"/>
          <w:u w:val="single"/>
        </w:rPr>
        <w:t> </w:t>
      </w:r>
      <w:r>
        <w:rPr>
          <w:i/>
          <w:w w:val="105"/>
          <w:sz w:val="18"/>
          <w:u w:val="single"/>
        </w:rPr>
        <w:t>experience</w:t>
      </w:r>
      <w:r>
        <w:rPr>
          <w:i/>
          <w:spacing w:val="16"/>
          <w:w w:val="105"/>
          <w:sz w:val="18"/>
          <w:u w:val="single"/>
        </w:rPr>
        <w:t> </w:t>
      </w:r>
      <w:r>
        <w:rPr>
          <w:i/>
          <w:w w:val="105"/>
          <w:sz w:val="18"/>
          <w:u w:val="single"/>
        </w:rPr>
        <w:t>and</w:t>
      </w:r>
      <w:r>
        <w:rPr>
          <w:i/>
          <w:spacing w:val="16"/>
          <w:w w:val="105"/>
          <w:sz w:val="18"/>
          <w:u w:val="single"/>
        </w:rPr>
        <w:t> </w:t>
      </w:r>
      <w:r>
        <w:rPr>
          <w:i/>
          <w:spacing w:val="-2"/>
          <w:w w:val="105"/>
          <w:sz w:val="18"/>
          <w:u w:val="single"/>
        </w:rPr>
        <w:t>directorships</w:t>
      </w:r>
    </w:p>
    <w:p>
      <w:pPr>
        <w:pStyle w:val="ListParagraph"/>
        <w:numPr>
          <w:ilvl w:val="0"/>
          <w:numId w:val="19"/>
        </w:numPr>
        <w:tabs>
          <w:tab w:pos="710" w:val="left" w:leader="none"/>
        </w:tabs>
        <w:spacing w:line="259" w:lineRule="auto" w:before="143" w:after="0"/>
        <w:ind w:left="709" w:right="1821" w:hanging="187"/>
        <w:jc w:val="both"/>
        <w:rPr>
          <w:sz w:val="18"/>
        </w:rPr>
      </w:pPr>
      <w:r>
        <w:rPr>
          <w:w w:val="105"/>
          <w:sz w:val="18"/>
        </w:rPr>
        <w:t>Executive Vice President and Chief Financial Officer, Bio-Rad Laboratories, Inc., a leader in life science research and clinical diagnostics markets (2002 - 2019)</w:t>
      </w:r>
    </w:p>
    <w:p>
      <w:pPr>
        <w:pStyle w:val="ListParagraph"/>
        <w:numPr>
          <w:ilvl w:val="0"/>
          <w:numId w:val="19"/>
        </w:numPr>
        <w:tabs>
          <w:tab w:pos="710" w:val="left" w:leader="none"/>
        </w:tabs>
        <w:spacing w:line="259" w:lineRule="auto" w:before="140" w:after="0"/>
        <w:ind w:left="709" w:right="1711" w:hanging="187"/>
        <w:jc w:val="both"/>
        <w:rPr>
          <w:sz w:val="18"/>
        </w:rPr>
      </w:pPr>
      <w:r>
        <w:rPr>
          <w:w w:val="105"/>
          <w:sz w:val="18"/>
        </w:rPr>
        <w:t>Chief Operating Officer, Chief Financial Officer and consultant, Attest Systems, Inc., a leading software company in the IT asset management sector</w:t>
      </w:r>
    </w:p>
    <w:p>
      <w:pPr>
        <w:pStyle w:val="ListParagraph"/>
        <w:numPr>
          <w:ilvl w:val="0"/>
          <w:numId w:val="19"/>
        </w:numPr>
        <w:tabs>
          <w:tab w:pos="710" w:val="left" w:leader="none"/>
        </w:tabs>
        <w:spacing w:line="259" w:lineRule="auto" w:before="154" w:after="0"/>
        <w:ind w:left="709" w:right="1713" w:hanging="187"/>
        <w:jc w:val="both"/>
        <w:rPr>
          <w:sz w:val="18"/>
        </w:rPr>
      </w:pPr>
      <w:r>
        <w:rPr>
          <w:w w:val="105"/>
          <w:sz w:val="18"/>
        </w:rPr>
        <w:t>Chief Financial Officer, Tavolo, Inc., a leading online retailer of specialty food, cookware, and cooking-related content</w:t>
      </w:r>
    </w:p>
    <w:p>
      <w:pPr>
        <w:pStyle w:val="ListParagraph"/>
        <w:numPr>
          <w:ilvl w:val="0"/>
          <w:numId w:val="19"/>
        </w:numPr>
        <w:tabs>
          <w:tab w:pos="710" w:val="left" w:leader="none"/>
        </w:tabs>
        <w:spacing w:line="259" w:lineRule="auto" w:before="154" w:after="0"/>
        <w:ind w:left="709" w:right="1411" w:hanging="187"/>
        <w:jc w:val="left"/>
        <w:rPr>
          <w:sz w:val="18"/>
        </w:rPr>
      </w:pPr>
      <w:r>
        <w:rPr>
          <w:w w:val="105"/>
          <w:sz w:val="18"/>
        </w:rPr>
        <w:t>Vice President and Treasurer, Autodesk, Inc., a leading developer of design software</w:t>
      </w:r>
    </w:p>
    <w:p>
      <w:pPr>
        <w:pStyle w:val="ListParagraph"/>
        <w:numPr>
          <w:ilvl w:val="0"/>
          <w:numId w:val="19"/>
        </w:numPr>
        <w:tabs>
          <w:tab w:pos="710" w:val="left" w:leader="none"/>
        </w:tabs>
        <w:spacing w:line="259" w:lineRule="auto" w:before="140" w:after="0"/>
        <w:ind w:left="709" w:right="2168" w:hanging="187"/>
        <w:jc w:val="left"/>
        <w:rPr>
          <w:sz w:val="18"/>
        </w:rPr>
      </w:pPr>
      <w:r>
        <w:rPr>
          <w:w w:val="105"/>
          <w:sz w:val="18"/>
        </w:rPr>
        <w:t>Assistant Treasurer, The Cooper Companies, Inc., a global healthcare manufacturer of vision-related products</w:t>
      </w:r>
    </w:p>
    <w:p>
      <w:pPr>
        <w:pStyle w:val="ListParagraph"/>
        <w:numPr>
          <w:ilvl w:val="0"/>
          <w:numId w:val="19"/>
        </w:numPr>
        <w:tabs>
          <w:tab w:pos="710" w:val="left" w:leader="none"/>
        </w:tabs>
        <w:spacing w:line="259" w:lineRule="auto" w:before="155" w:after="0"/>
        <w:ind w:left="709" w:right="1718" w:hanging="187"/>
        <w:jc w:val="left"/>
        <w:rPr>
          <w:sz w:val="18"/>
        </w:rPr>
      </w:pPr>
      <w:r>
        <w:rPr>
          <w:w w:val="105"/>
          <w:sz w:val="18"/>
        </w:rPr>
        <w:t>Other Current Public Company Board Memberships: Onto Innovation Inc. (formerly Nanometrics Incorporated), a manufacturer of semiconductor equipment, Envista Holdings Corporation, a global dental products company, and Telesis Bio, Inc. (formerly Codex DNA, Inc.) a maker of synthetic biology </w:t>
      </w:r>
      <w:r>
        <w:rPr>
          <w:spacing w:val="-2"/>
          <w:w w:val="105"/>
          <w:sz w:val="18"/>
        </w:rPr>
        <w:t>products</w:t>
      </w:r>
    </w:p>
    <w:p>
      <w:pPr>
        <w:spacing w:after="0" w:line="259" w:lineRule="auto"/>
        <w:jc w:val="left"/>
        <w:rPr>
          <w:sz w:val="18"/>
        </w:rPr>
        <w:sectPr>
          <w:type w:val="continuous"/>
          <w:pgSz w:w="12240" w:h="15840"/>
          <w:pgMar w:header="0" w:footer="0" w:top="600" w:bottom="960" w:left="480" w:right="460"/>
          <w:cols w:num="2" w:equalWidth="0">
            <w:col w:w="3820" w:space="40"/>
            <w:col w:w="7440"/>
          </w:cols>
        </w:sectPr>
      </w:pPr>
    </w:p>
    <w:p>
      <w:pPr>
        <w:spacing w:line="211" w:lineRule="auto" w:before="104"/>
        <w:ind w:left="4382" w:right="2280" w:firstLine="0"/>
        <w:jc w:val="left"/>
        <w:rPr>
          <w:i/>
          <w:sz w:val="18"/>
        </w:rPr>
      </w:pPr>
      <w:r>
        <w:rPr>
          <w:i/>
          <w:w w:val="105"/>
          <w:sz w:val="18"/>
          <w:u w:val="single"/>
        </w:rPr>
        <w:t>Experience, qualifications, attributes, or skills supporting</w:t>
      </w:r>
      <w:r>
        <w:rPr>
          <w:i/>
          <w:w w:val="105"/>
          <w:sz w:val="18"/>
        </w:rPr>
        <w:t> </w:t>
      </w:r>
      <w:r>
        <w:rPr>
          <w:i/>
          <w:spacing w:val="-2"/>
          <w:w w:val="105"/>
          <w:sz w:val="18"/>
          <w:u w:val="single"/>
        </w:rPr>
        <w:t>directorship</w:t>
      </w:r>
    </w:p>
    <w:p>
      <w:pPr>
        <w:pStyle w:val="ListParagraph"/>
        <w:numPr>
          <w:ilvl w:val="1"/>
          <w:numId w:val="19"/>
        </w:numPr>
        <w:tabs>
          <w:tab w:pos="4569" w:val="left" w:leader="none"/>
        </w:tabs>
        <w:spacing w:line="240" w:lineRule="auto" w:before="133" w:after="0"/>
        <w:ind w:left="4568" w:right="0" w:hanging="187"/>
        <w:jc w:val="left"/>
        <w:rPr>
          <w:sz w:val="18"/>
        </w:rPr>
      </w:pPr>
      <w:r>
        <w:rPr>
          <w:w w:val="105"/>
          <w:sz w:val="18"/>
        </w:rPr>
        <w:t>Expertise</w:t>
      </w:r>
      <w:r>
        <w:rPr>
          <w:spacing w:val="14"/>
          <w:w w:val="105"/>
          <w:sz w:val="18"/>
        </w:rPr>
        <w:t> </w:t>
      </w:r>
      <w:r>
        <w:rPr>
          <w:w w:val="105"/>
          <w:sz w:val="18"/>
        </w:rPr>
        <w:t>in</w:t>
      </w:r>
      <w:r>
        <w:rPr>
          <w:spacing w:val="15"/>
          <w:w w:val="105"/>
          <w:sz w:val="18"/>
        </w:rPr>
        <w:t> </w:t>
      </w:r>
      <w:r>
        <w:rPr>
          <w:w w:val="105"/>
          <w:sz w:val="18"/>
        </w:rPr>
        <w:t>finance,</w:t>
      </w:r>
      <w:r>
        <w:rPr>
          <w:spacing w:val="15"/>
          <w:w w:val="105"/>
          <w:sz w:val="18"/>
        </w:rPr>
        <w:t> </w:t>
      </w:r>
      <w:r>
        <w:rPr>
          <w:w w:val="105"/>
          <w:sz w:val="18"/>
        </w:rPr>
        <w:t>operations,</w:t>
      </w:r>
      <w:r>
        <w:rPr>
          <w:spacing w:val="15"/>
          <w:w w:val="105"/>
          <w:sz w:val="18"/>
        </w:rPr>
        <w:t> </w:t>
      </w:r>
      <w:r>
        <w:rPr>
          <w:w w:val="105"/>
          <w:sz w:val="18"/>
        </w:rPr>
        <w:t>and</w:t>
      </w:r>
      <w:r>
        <w:rPr>
          <w:spacing w:val="15"/>
          <w:w w:val="105"/>
          <w:sz w:val="18"/>
        </w:rPr>
        <w:t> </w:t>
      </w:r>
      <w:r>
        <w:rPr>
          <w:w w:val="105"/>
          <w:sz w:val="18"/>
        </w:rPr>
        <w:t>financial</w:t>
      </w:r>
      <w:r>
        <w:rPr>
          <w:spacing w:val="15"/>
          <w:w w:val="105"/>
          <w:sz w:val="18"/>
        </w:rPr>
        <w:t> </w:t>
      </w:r>
      <w:r>
        <w:rPr>
          <w:w w:val="105"/>
          <w:sz w:val="18"/>
        </w:rPr>
        <w:t>reporting</w:t>
      </w:r>
      <w:r>
        <w:rPr>
          <w:spacing w:val="15"/>
          <w:w w:val="105"/>
          <w:sz w:val="18"/>
        </w:rPr>
        <w:t> </w:t>
      </w:r>
      <w:r>
        <w:rPr>
          <w:spacing w:val="-2"/>
          <w:w w:val="105"/>
          <w:sz w:val="18"/>
        </w:rPr>
        <w:t>matters;</w:t>
      </w:r>
    </w:p>
    <w:p>
      <w:pPr>
        <w:pStyle w:val="ListParagraph"/>
        <w:numPr>
          <w:ilvl w:val="1"/>
          <w:numId w:val="19"/>
        </w:numPr>
        <w:tabs>
          <w:tab w:pos="4569" w:val="left" w:leader="none"/>
        </w:tabs>
        <w:spacing w:line="259" w:lineRule="auto" w:before="143" w:after="0"/>
        <w:ind w:left="4568" w:right="1453" w:hanging="187"/>
        <w:jc w:val="left"/>
        <w:rPr>
          <w:sz w:val="18"/>
        </w:rPr>
      </w:pPr>
      <w:r>
        <w:rPr>
          <w:w w:val="105"/>
          <w:sz w:val="18"/>
        </w:rPr>
        <w:t>Extensive experience and critical insights in financial management, strategic planning, acquisitions, treasury, and investor relations;</w:t>
      </w:r>
    </w:p>
    <w:p>
      <w:pPr>
        <w:pStyle w:val="ListParagraph"/>
        <w:numPr>
          <w:ilvl w:val="1"/>
          <w:numId w:val="19"/>
        </w:numPr>
        <w:tabs>
          <w:tab w:pos="4569" w:val="left" w:leader="none"/>
        </w:tabs>
        <w:spacing w:line="259" w:lineRule="auto" w:before="154" w:after="0"/>
        <w:ind w:left="4568" w:right="1600" w:hanging="187"/>
        <w:jc w:val="left"/>
        <w:rPr>
          <w:sz w:val="18"/>
        </w:rPr>
      </w:pPr>
      <w:r>
        <w:rPr>
          <w:w w:val="105"/>
          <w:sz w:val="18"/>
        </w:rPr>
        <w:t>Over 25 years of public company experience and a proven track record, including being named Bay</w:t>
      </w:r>
      <w:r>
        <w:rPr>
          <w:spacing w:val="-3"/>
          <w:w w:val="105"/>
          <w:sz w:val="18"/>
        </w:rPr>
        <w:t> </w:t>
      </w:r>
      <w:r>
        <w:rPr>
          <w:w w:val="105"/>
          <w:sz w:val="18"/>
        </w:rPr>
        <w:t>Area CFO of the Year in 2010 and among the Most Influential Women in Business 2008 – 2012; </w:t>
      </w:r>
      <w:r>
        <w:rPr>
          <w:spacing w:val="-4"/>
          <w:w w:val="105"/>
          <w:sz w:val="18"/>
        </w:rPr>
        <w:t>and</w:t>
      </w:r>
    </w:p>
    <w:p>
      <w:pPr>
        <w:pStyle w:val="ListParagraph"/>
        <w:numPr>
          <w:ilvl w:val="1"/>
          <w:numId w:val="19"/>
        </w:numPr>
        <w:tabs>
          <w:tab w:pos="4569" w:val="left" w:leader="none"/>
        </w:tabs>
        <w:spacing w:line="259" w:lineRule="auto" w:before="140" w:after="0"/>
        <w:ind w:left="4568" w:right="1465" w:hanging="187"/>
        <w:jc w:val="left"/>
        <w:rPr>
          <w:sz w:val="18"/>
        </w:rPr>
      </w:pPr>
      <w:r>
        <w:rPr>
          <w:w w:val="105"/>
          <w:sz w:val="18"/>
        </w:rPr>
        <w:t>Board and committee service for other public companies, including service as audit chair.</w:t>
      </w:r>
    </w:p>
    <w:p>
      <w:pPr>
        <w:spacing w:after="0" w:line="259" w:lineRule="auto"/>
        <w:jc w:val="left"/>
        <w:rPr>
          <w:sz w:val="18"/>
        </w:rPr>
        <w:sectPr>
          <w:type w:val="continuous"/>
          <w:pgSz w:w="12240" w:h="15840"/>
          <w:pgMar w:header="0" w:footer="0" w:top="600" w:bottom="960" w:left="480" w:right="460"/>
        </w:sectPr>
      </w:pPr>
    </w:p>
    <w:p>
      <w:pPr>
        <w:pStyle w:val="BodyText"/>
        <w:spacing w:before="79"/>
        <w:ind w:left="142" w:right="143"/>
        <w:jc w:val="center"/>
      </w:pPr>
      <w:r>
        <w:rPr>
          <w:spacing w:val="-5"/>
          <w:w w:val="105"/>
        </w:rPr>
        <w:t>15</w:t>
      </w:r>
    </w:p>
    <w:p>
      <w:pPr>
        <w:pStyle w:val="BodyText"/>
        <w:rPr>
          <w:sz w:val="20"/>
        </w:rPr>
      </w:pPr>
    </w:p>
    <w:p>
      <w:pPr>
        <w:pStyle w:val="BodyText"/>
        <w:spacing w:before="8"/>
        <w:rPr>
          <w:sz w:val="14"/>
        </w:rPr>
      </w:pPr>
      <w:r>
        <w:rPr/>
        <w:pict>
          <v:group style="position:absolute;margin-left:28.999998pt;margin-top:9.656986pt;width:555pt;height:1.4pt;mso-position-horizontal-relative:page;mso-position-vertical-relative:paragraph;z-index:-15714816;mso-wrap-distance-left:0;mso-wrap-distance-right:0" id="docshapegroup114" coordorigin="580,193" coordsize="11100,28">
            <v:rect style="position:absolute;left:580;top:193;width:11100;height:14" id="docshape115" filled="true" fillcolor="#999999" stroked="false">
              <v:fill type="solid"/>
            </v:rect>
            <v:shape style="position:absolute;left:579;top:193;width:11100;height:28" id="docshape116" coordorigin="580,193" coordsize="11100,28" path="m11680,193l11666,207,580,207,580,221,11666,221,11680,221,11680,207,11680,193xe" filled="true" fillcolor="#ededed" stroked="false">
              <v:path arrowok="t"/>
              <v:fill type="solid"/>
            </v:shape>
            <v:shape style="position:absolute;left:580;top:193;width:14;height:28" id="docshape117" coordorigin="580,193" coordsize="14,28" path="m580,221l580,193,594,193,594,207,580,221xe" filled="true" fillcolor="#999999" stroked="false">
              <v:path arrowok="t"/>
              <v:fill type="solid"/>
            </v:shape>
            <w10:wrap type="topAndBottom"/>
          </v:group>
        </w:pict>
      </w:r>
    </w:p>
    <w:p>
      <w:pPr>
        <w:spacing w:after="0"/>
        <w:rPr>
          <w:sz w:val="14"/>
        </w:rPr>
        <w:sectPr>
          <w:headerReference w:type="default" r:id="rId59"/>
          <w:footerReference w:type="default" r:id="rId60"/>
          <w:pgSz w:w="12240" w:h="15840"/>
          <w:pgMar w:header="0" w:footer="0" w:top="50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Heading2"/>
        <w:spacing w:before="98"/>
      </w:pPr>
      <w:bookmarkStart w:name="_TOC_250037" w:id="6"/>
      <w:r>
        <w:rPr>
          <w:spacing w:val="-2"/>
        </w:rPr>
        <w:t>Director</w:t>
      </w:r>
      <w:r>
        <w:rPr>
          <w:spacing w:val="-5"/>
        </w:rPr>
        <w:t> </w:t>
      </w:r>
      <w:r>
        <w:rPr>
          <w:spacing w:val="-2"/>
        </w:rPr>
        <w:t>Qualifications</w:t>
      </w:r>
      <w:r>
        <w:rPr/>
        <w:t> </w:t>
      </w:r>
      <w:bookmarkEnd w:id="6"/>
      <w:r>
        <w:rPr>
          <w:spacing w:val="-2"/>
        </w:rPr>
        <w:t>Matrix</w:t>
      </w:r>
    </w:p>
    <w:p>
      <w:pPr>
        <w:pStyle w:val="BodyText"/>
        <w:spacing w:line="259" w:lineRule="auto" w:before="170"/>
        <w:ind w:left="1400" w:right="1551" w:firstLine="372"/>
      </w:pPr>
      <w:r>
        <w:rPr>
          <w:w w:val="105"/>
        </w:rPr>
        <w:t>The following matrix is provided to illustrate the skills and qualifications of the nominated members of</w:t>
      </w:r>
      <w:r>
        <w:rPr>
          <w:spacing w:val="40"/>
          <w:w w:val="105"/>
        </w:rPr>
        <w:t> </w:t>
      </w:r>
      <w:r>
        <w:rPr>
          <w:w w:val="105"/>
        </w:rPr>
        <w:t>our Board and demonstrate our commitment to inclusiveness and diversity.</w:t>
      </w:r>
    </w:p>
    <w:p>
      <w:pPr>
        <w:pStyle w:val="BodyText"/>
        <w:spacing w:after="1"/>
        <w:rPr>
          <w:sz w:val="14"/>
        </w:rPr>
      </w:pPr>
    </w:p>
    <w:tbl>
      <w:tblPr>
        <w:tblW w:w="0" w:type="auto"/>
        <w:jc w:val="left"/>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1"/>
        <w:gridCol w:w="657"/>
        <w:gridCol w:w="140"/>
        <w:gridCol w:w="643"/>
        <w:gridCol w:w="140"/>
        <w:gridCol w:w="587"/>
        <w:gridCol w:w="140"/>
        <w:gridCol w:w="545"/>
        <w:gridCol w:w="140"/>
        <w:gridCol w:w="839"/>
        <w:gridCol w:w="140"/>
        <w:gridCol w:w="531"/>
        <w:gridCol w:w="140"/>
        <w:gridCol w:w="587"/>
      </w:tblGrid>
      <w:tr>
        <w:trPr>
          <w:trHeight w:val="216" w:hRule="atLeast"/>
        </w:trPr>
        <w:tc>
          <w:tcPr>
            <w:tcW w:w="3321" w:type="dxa"/>
          </w:tcPr>
          <w:p>
            <w:pPr>
              <w:pStyle w:val="TableParagraph"/>
              <w:rPr>
                <w:sz w:val="14"/>
              </w:rPr>
            </w:pPr>
          </w:p>
        </w:tc>
        <w:tc>
          <w:tcPr>
            <w:tcW w:w="657" w:type="dxa"/>
            <w:tcBorders>
              <w:bottom w:val="single" w:sz="6" w:space="0" w:color="000000"/>
            </w:tcBorders>
          </w:tcPr>
          <w:p>
            <w:pPr>
              <w:pStyle w:val="TableParagraph"/>
              <w:spacing w:line="165" w:lineRule="exact"/>
              <w:ind w:left="30" w:right="19"/>
              <w:jc w:val="center"/>
              <w:rPr>
                <w:b/>
                <w:sz w:val="15"/>
              </w:rPr>
            </w:pPr>
            <w:r>
              <w:rPr>
                <w:b/>
                <w:spacing w:val="-2"/>
                <w:sz w:val="15"/>
              </w:rPr>
              <w:t>Bardwell</w:t>
            </w:r>
          </w:p>
        </w:tc>
        <w:tc>
          <w:tcPr>
            <w:tcW w:w="140" w:type="dxa"/>
          </w:tcPr>
          <w:p>
            <w:pPr>
              <w:pStyle w:val="TableParagraph"/>
              <w:rPr>
                <w:sz w:val="14"/>
              </w:rPr>
            </w:pPr>
          </w:p>
        </w:tc>
        <w:tc>
          <w:tcPr>
            <w:tcW w:w="643" w:type="dxa"/>
            <w:tcBorders>
              <w:bottom w:val="single" w:sz="6" w:space="0" w:color="000000"/>
            </w:tcBorders>
          </w:tcPr>
          <w:p>
            <w:pPr>
              <w:pStyle w:val="TableParagraph"/>
              <w:spacing w:line="165" w:lineRule="exact"/>
              <w:ind w:left="60"/>
              <w:rPr>
                <w:b/>
                <w:sz w:val="15"/>
              </w:rPr>
            </w:pPr>
            <w:r>
              <w:rPr>
                <w:b/>
                <w:spacing w:val="-2"/>
                <w:sz w:val="15"/>
              </w:rPr>
              <w:t>Chertoff</w:t>
            </w:r>
          </w:p>
        </w:tc>
        <w:tc>
          <w:tcPr>
            <w:tcW w:w="140" w:type="dxa"/>
          </w:tcPr>
          <w:p>
            <w:pPr>
              <w:pStyle w:val="TableParagraph"/>
              <w:rPr>
                <w:sz w:val="14"/>
              </w:rPr>
            </w:pPr>
          </w:p>
        </w:tc>
        <w:tc>
          <w:tcPr>
            <w:tcW w:w="587" w:type="dxa"/>
            <w:tcBorders>
              <w:bottom w:val="single" w:sz="6" w:space="0" w:color="000000"/>
            </w:tcBorders>
          </w:tcPr>
          <w:p>
            <w:pPr>
              <w:pStyle w:val="TableParagraph"/>
              <w:spacing w:line="165" w:lineRule="exact"/>
              <w:ind w:left="51"/>
              <w:rPr>
                <w:b/>
                <w:sz w:val="15"/>
              </w:rPr>
            </w:pPr>
            <w:r>
              <w:rPr>
                <w:b/>
                <w:spacing w:val="-2"/>
                <w:sz w:val="15"/>
              </w:rPr>
              <w:t>Guertin</w:t>
            </w:r>
          </w:p>
        </w:tc>
        <w:tc>
          <w:tcPr>
            <w:tcW w:w="140" w:type="dxa"/>
          </w:tcPr>
          <w:p>
            <w:pPr>
              <w:pStyle w:val="TableParagraph"/>
              <w:rPr>
                <w:sz w:val="14"/>
              </w:rPr>
            </w:pPr>
          </w:p>
        </w:tc>
        <w:tc>
          <w:tcPr>
            <w:tcW w:w="545" w:type="dxa"/>
            <w:tcBorders>
              <w:bottom w:val="single" w:sz="6" w:space="0" w:color="000000"/>
            </w:tcBorders>
          </w:tcPr>
          <w:p>
            <w:pPr>
              <w:pStyle w:val="TableParagraph"/>
              <w:spacing w:line="165" w:lineRule="exact"/>
              <w:ind w:left="24" w:right="16"/>
              <w:jc w:val="center"/>
              <w:rPr>
                <w:b/>
                <w:sz w:val="15"/>
              </w:rPr>
            </w:pPr>
            <w:r>
              <w:rPr>
                <w:b/>
                <w:spacing w:val="-2"/>
                <w:sz w:val="15"/>
              </w:rPr>
              <w:t>Kunkel</w:t>
            </w:r>
          </w:p>
        </w:tc>
        <w:tc>
          <w:tcPr>
            <w:tcW w:w="140" w:type="dxa"/>
          </w:tcPr>
          <w:p>
            <w:pPr>
              <w:pStyle w:val="TableParagraph"/>
              <w:rPr>
                <w:sz w:val="14"/>
              </w:rPr>
            </w:pPr>
          </w:p>
        </w:tc>
        <w:tc>
          <w:tcPr>
            <w:tcW w:w="839" w:type="dxa"/>
            <w:tcBorders>
              <w:bottom w:val="single" w:sz="6" w:space="0" w:color="000000"/>
            </w:tcBorders>
          </w:tcPr>
          <w:p>
            <w:pPr>
              <w:pStyle w:val="TableParagraph"/>
              <w:spacing w:line="165" w:lineRule="exact"/>
              <w:ind w:left="14" w:right="6"/>
              <w:jc w:val="center"/>
              <w:rPr>
                <w:b/>
                <w:sz w:val="15"/>
              </w:rPr>
            </w:pPr>
            <w:r>
              <w:rPr>
                <w:b/>
                <w:spacing w:val="-2"/>
                <w:sz w:val="15"/>
              </w:rPr>
              <w:t>Rosebrough</w:t>
            </w:r>
          </w:p>
        </w:tc>
        <w:tc>
          <w:tcPr>
            <w:tcW w:w="140" w:type="dxa"/>
          </w:tcPr>
          <w:p>
            <w:pPr>
              <w:pStyle w:val="TableParagraph"/>
              <w:rPr>
                <w:sz w:val="14"/>
              </w:rPr>
            </w:pPr>
          </w:p>
        </w:tc>
        <w:tc>
          <w:tcPr>
            <w:tcW w:w="531" w:type="dxa"/>
            <w:tcBorders>
              <w:bottom w:val="single" w:sz="6" w:space="0" w:color="000000"/>
            </w:tcBorders>
          </w:tcPr>
          <w:p>
            <w:pPr>
              <w:pStyle w:val="TableParagraph"/>
              <w:spacing w:line="165" w:lineRule="exact"/>
              <w:ind w:left="60"/>
              <w:rPr>
                <w:b/>
                <w:sz w:val="15"/>
              </w:rPr>
            </w:pPr>
            <w:r>
              <w:rPr>
                <w:b/>
                <w:spacing w:val="-2"/>
                <w:sz w:val="15"/>
              </w:rPr>
              <w:t>Sanyal</w:t>
            </w:r>
          </w:p>
        </w:tc>
        <w:tc>
          <w:tcPr>
            <w:tcW w:w="140" w:type="dxa"/>
          </w:tcPr>
          <w:p>
            <w:pPr>
              <w:pStyle w:val="TableParagraph"/>
              <w:rPr>
                <w:sz w:val="14"/>
              </w:rPr>
            </w:pPr>
          </w:p>
        </w:tc>
        <w:tc>
          <w:tcPr>
            <w:tcW w:w="587" w:type="dxa"/>
            <w:tcBorders>
              <w:bottom w:val="single" w:sz="6" w:space="0" w:color="000000"/>
            </w:tcBorders>
          </w:tcPr>
          <w:p>
            <w:pPr>
              <w:pStyle w:val="TableParagraph"/>
              <w:spacing w:line="165" w:lineRule="exact"/>
              <w:ind w:left="34" w:right="34"/>
              <w:jc w:val="center"/>
              <w:rPr>
                <w:b/>
                <w:sz w:val="15"/>
              </w:rPr>
            </w:pPr>
            <w:r>
              <w:rPr>
                <w:b/>
                <w:spacing w:val="-2"/>
                <w:sz w:val="15"/>
              </w:rPr>
              <w:t>Tsingos</w:t>
            </w:r>
          </w:p>
        </w:tc>
      </w:tr>
      <w:tr>
        <w:trPr>
          <w:trHeight w:val="358" w:hRule="atLeast"/>
        </w:trPr>
        <w:tc>
          <w:tcPr>
            <w:tcW w:w="3321" w:type="dxa"/>
          </w:tcPr>
          <w:p>
            <w:pPr>
              <w:pStyle w:val="TableParagraph"/>
              <w:spacing w:before="83"/>
              <w:ind w:left="50"/>
              <w:rPr>
                <w:b/>
                <w:sz w:val="18"/>
              </w:rPr>
            </w:pPr>
            <w:r>
              <w:rPr>
                <w:b/>
                <w:spacing w:val="-2"/>
                <w:w w:val="105"/>
                <w:sz w:val="18"/>
              </w:rPr>
              <w:t>Leadership</w:t>
            </w:r>
          </w:p>
        </w:tc>
        <w:tc>
          <w:tcPr>
            <w:tcW w:w="657" w:type="dxa"/>
            <w:tcBorders>
              <w:top w:val="single" w:sz="6" w:space="0" w:color="000000"/>
            </w:tcBorders>
          </w:tcPr>
          <w:p>
            <w:pPr>
              <w:pStyle w:val="TableParagraph"/>
              <w:spacing w:before="36"/>
              <w:ind w:left="126"/>
              <w:jc w:val="center"/>
              <w:rPr>
                <w:sz w:val="26"/>
              </w:rPr>
            </w:pPr>
            <w:r>
              <w:rPr>
                <w:w w:val="100"/>
                <w:sz w:val="26"/>
              </w:rPr>
              <w:t>•</w:t>
            </w:r>
          </w:p>
        </w:tc>
        <w:tc>
          <w:tcPr>
            <w:tcW w:w="140" w:type="dxa"/>
          </w:tcPr>
          <w:p>
            <w:pPr>
              <w:pStyle w:val="TableParagraph"/>
              <w:rPr>
                <w:sz w:val="18"/>
              </w:rPr>
            </w:pPr>
          </w:p>
        </w:tc>
        <w:tc>
          <w:tcPr>
            <w:tcW w:w="643" w:type="dxa"/>
            <w:tcBorders>
              <w:top w:val="single" w:sz="6" w:space="0" w:color="000000"/>
            </w:tcBorders>
          </w:tcPr>
          <w:p>
            <w:pPr>
              <w:pStyle w:val="TableParagraph"/>
              <w:spacing w:before="36"/>
              <w:ind w:left="119"/>
              <w:jc w:val="center"/>
              <w:rPr>
                <w:sz w:val="26"/>
              </w:rPr>
            </w:pPr>
            <w:r>
              <w:rPr>
                <w:w w:val="100"/>
                <w:sz w:val="26"/>
              </w:rPr>
              <w:t>•</w:t>
            </w:r>
          </w:p>
        </w:tc>
        <w:tc>
          <w:tcPr>
            <w:tcW w:w="140" w:type="dxa"/>
          </w:tcPr>
          <w:p>
            <w:pPr>
              <w:pStyle w:val="TableParagraph"/>
              <w:rPr>
                <w:sz w:val="18"/>
              </w:rPr>
            </w:pPr>
          </w:p>
        </w:tc>
        <w:tc>
          <w:tcPr>
            <w:tcW w:w="587" w:type="dxa"/>
            <w:tcBorders>
              <w:top w:val="single" w:sz="6" w:space="0" w:color="000000"/>
            </w:tcBorders>
          </w:tcPr>
          <w:p>
            <w:pPr>
              <w:pStyle w:val="TableParagraph"/>
              <w:spacing w:before="36"/>
              <w:ind w:left="307"/>
              <w:rPr>
                <w:sz w:val="26"/>
              </w:rPr>
            </w:pPr>
            <w:r>
              <w:rPr>
                <w:w w:val="100"/>
                <w:sz w:val="26"/>
              </w:rPr>
              <w:t>•</w:t>
            </w:r>
          </w:p>
        </w:tc>
        <w:tc>
          <w:tcPr>
            <w:tcW w:w="140" w:type="dxa"/>
          </w:tcPr>
          <w:p>
            <w:pPr>
              <w:pStyle w:val="TableParagraph"/>
              <w:rPr>
                <w:sz w:val="18"/>
              </w:rPr>
            </w:pPr>
          </w:p>
        </w:tc>
        <w:tc>
          <w:tcPr>
            <w:tcW w:w="545" w:type="dxa"/>
            <w:tcBorders>
              <w:top w:val="single" w:sz="6" w:space="0" w:color="000000"/>
            </w:tcBorders>
          </w:tcPr>
          <w:p>
            <w:pPr>
              <w:pStyle w:val="TableParagraph"/>
              <w:spacing w:before="36"/>
              <w:ind w:left="123"/>
              <w:jc w:val="center"/>
              <w:rPr>
                <w:sz w:val="26"/>
              </w:rPr>
            </w:pPr>
            <w:r>
              <w:rPr>
                <w:w w:val="100"/>
                <w:sz w:val="26"/>
              </w:rPr>
              <w:t>•</w:t>
            </w:r>
          </w:p>
        </w:tc>
        <w:tc>
          <w:tcPr>
            <w:tcW w:w="140" w:type="dxa"/>
          </w:tcPr>
          <w:p>
            <w:pPr>
              <w:pStyle w:val="TableParagraph"/>
              <w:rPr>
                <w:sz w:val="18"/>
              </w:rPr>
            </w:pPr>
          </w:p>
        </w:tc>
        <w:tc>
          <w:tcPr>
            <w:tcW w:w="839" w:type="dxa"/>
            <w:tcBorders>
              <w:top w:val="single" w:sz="6" w:space="0" w:color="000000"/>
            </w:tcBorders>
          </w:tcPr>
          <w:p>
            <w:pPr>
              <w:pStyle w:val="TableParagraph"/>
              <w:spacing w:before="36"/>
              <w:ind w:left="123"/>
              <w:jc w:val="center"/>
              <w:rPr>
                <w:sz w:val="26"/>
              </w:rPr>
            </w:pPr>
            <w:r>
              <w:rPr>
                <w:w w:val="100"/>
                <w:sz w:val="26"/>
              </w:rPr>
              <w:t>•</w:t>
            </w:r>
          </w:p>
        </w:tc>
        <w:tc>
          <w:tcPr>
            <w:tcW w:w="140" w:type="dxa"/>
          </w:tcPr>
          <w:p>
            <w:pPr>
              <w:pStyle w:val="TableParagraph"/>
              <w:rPr>
                <w:sz w:val="18"/>
              </w:rPr>
            </w:pPr>
          </w:p>
        </w:tc>
        <w:tc>
          <w:tcPr>
            <w:tcW w:w="531" w:type="dxa"/>
            <w:tcBorders>
              <w:top w:val="single" w:sz="6" w:space="0" w:color="000000"/>
            </w:tcBorders>
          </w:tcPr>
          <w:p>
            <w:pPr>
              <w:pStyle w:val="TableParagraph"/>
              <w:spacing w:before="36"/>
              <w:ind w:left="279"/>
              <w:rPr>
                <w:sz w:val="26"/>
              </w:rPr>
            </w:pPr>
            <w:r>
              <w:rPr>
                <w:w w:val="100"/>
                <w:sz w:val="26"/>
              </w:rPr>
              <w:t>•</w:t>
            </w:r>
          </w:p>
        </w:tc>
        <w:tc>
          <w:tcPr>
            <w:tcW w:w="140" w:type="dxa"/>
          </w:tcPr>
          <w:p>
            <w:pPr>
              <w:pStyle w:val="TableParagraph"/>
              <w:rPr>
                <w:sz w:val="18"/>
              </w:rPr>
            </w:pPr>
          </w:p>
        </w:tc>
        <w:tc>
          <w:tcPr>
            <w:tcW w:w="587" w:type="dxa"/>
            <w:tcBorders>
              <w:top w:val="single" w:sz="6" w:space="0" w:color="000000"/>
            </w:tcBorders>
          </w:tcPr>
          <w:p>
            <w:pPr>
              <w:pStyle w:val="TableParagraph"/>
              <w:spacing w:before="36"/>
              <w:ind w:left="114"/>
              <w:jc w:val="center"/>
              <w:rPr>
                <w:sz w:val="26"/>
              </w:rPr>
            </w:pPr>
            <w:r>
              <w:rPr>
                <w:w w:val="100"/>
                <w:sz w:val="26"/>
              </w:rPr>
              <w:t>•</w:t>
            </w:r>
          </w:p>
        </w:tc>
      </w:tr>
      <w:tr>
        <w:trPr>
          <w:trHeight w:val="335" w:hRule="atLeast"/>
        </w:trPr>
        <w:tc>
          <w:tcPr>
            <w:tcW w:w="3321" w:type="dxa"/>
          </w:tcPr>
          <w:p>
            <w:pPr>
              <w:pStyle w:val="TableParagraph"/>
              <w:spacing w:before="59"/>
              <w:ind w:left="50"/>
              <w:rPr>
                <w:b/>
                <w:sz w:val="18"/>
              </w:rPr>
            </w:pPr>
            <w:r>
              <w:rPr>
                <w:b/>
                <w:sz w:val="18"/>
              </w:rPr>
              <w:t>Component</w:t>
            </w:r>
            <w:r>
              <w:rPr>
                <w:b/>
                <w:spacing w:val="-11"/>
                <w:sz w:val="18"/>
              </w:rPr>
              <w:t> </w:t>
            </w:r>
            <w:r>
              <w:rPr>
                <w:b/>
                <w:spacing w:val="-2"/>
                <w:sz w:val="18"/>
              </w:rPr>
              <w:t>Manufacturing</w:t>
            </w:r>
          </w:p>
        </w:tc>
        <w:tc>
          <w:tcPr>
            <w:tcW w:w="657" w:type="dxa"/>
          </w:tcPr>
          <w:p>
            <w:pPr>
              <w:pStyle w:val="TableParagraph"/>
              <w:rPr>
                <w:sz w:val="18"/>
              </w:rPr>
            </w:pPr>
          </w:p>
        </w:tc>
        <w:tc>
          <w:tcPr>
            <w:tcW w:w="140" w:type="dxa"/>
          </w:tcPr>
          <w:p>
            <w:pPr>
              <w:pStyle w:val="TableParagraph"/>
              <w:rPr>
                <w:sz w:val="18"/>
              </w:rPr>
            </w:pPr>
          </w:p>
        </w:tc>
        <w:tc>
          <w:tcPr>
            <w:tcW w:w="643" w:type="dxa"/>
          </w:tcPr>
          <w:p>
            <w:pPr>
              <w:pStyle w:val="TableParagraph"/>
              <w:rPr>
                <w:sz w:val="18"/>
              </w:rPr>
            </w:pPr>
          </w:p>
        </w:tc>
        <w:tc>
          <w:tcPr>
            <w:tcW w:w="140" w:type="dxa"/>
          </w:tcPr>
          <w:p>
            <w:pPr>
              <w:pStyle w:val="TableParagraph"/>
              <w:rPr>
                <w:sz w:val="18"/>
              </w:rPr>
            </w:pPr>
          </w:p>
        </w:tc>
        <w:tc>
          <w:tcPr>
            <w:tcW w:w="587" w:type="dxa"/>
          </w:tcPr>
          <w:p>
            <w:pPr>
              <w:pStyle w:val="TableParagraph"/>
              <w:spacing w:before="13"/>
              <w:ind w:left="307"/>
              <w:rPr>
                <w:sz w:val="26"/>
              </w:rPr>
            </w:pPr>
            <w:r>
              <w:rPr>
                <w:w w:val="100"/>
                <w:sz w:val="26"/>
              </w:rPr>
              <w:t>•</w:t>
            </w:r>
          </w:p>
        </w:tc>
        <w:tc>
          <w:tcPr>
            <w:tcW w:w="140" w:type="dxa"/>
          </w:tcPr>
          <w:p>
            <w:pPr>
              <w:pStyle w:val="TableParagraph"/>
              <w:rPr>
                <w:sz w:val="18"/>
              </w:rPr>
            </w:pPr>
          </w:p>
        </w:tc>
        <w:tc>
          <w:tcPr>
            <w:tcW w:w="545" w:type="dxa"/>
          </w:tcPr>
          <w:p>
            <w:pPr>
              <w:pStyle w:val="TableParagraph"/>
              <w:spacing w:before="13"/>
              <w:ind w:left="123"/>
              <w:jc w:val="center"/>
              <w:rPr>
                <w:sz w:val="26"/>
              </w:rPr>
            </w:pPr>
            <w:r>
              <w:rPr>
                <w:w w:val="100"/>
                <w:sz w:val="26"/>
              </w:rPr>
              <w:t>•</w:t>
            </w:r>
          </w:p>
        </w:tc>
        <w:tc>
          <w:tcPr>
            <w:tcW w:w="140" w:type="dxa"/>
          </w:tcPr>
          <w:p>
            <w:pPr>
              <w:pStyle w:val="TableParagraph"/>
              <w:rPr>
                <w:sz w:val="18"/>
              </w:rPr>
            </w:pPr>
          </w:p>
        </w:tc>
        <w:tc>
          <w:tcPr>
            <w:tcW w:w="839" w:type="dxa"/>
          </w:tcPr>
          <w:p>
            <w:pPr>
              <w:pStyle w:val="TableParagraph"/>
              <w:spacing w:before="13"/>
              <w:ind w:left="123"/>
              <w:jc w:val="center"/>
              <w:rPr>
                <w:sz w:val="26"/>
              </w:rPr>
            </w:pPr>
            <w:r>
              <w:rPr>
                <w:w w:val="100"/>
                <w:sz w:val="26"/>
              </w:rPr>
              <w:t>•</w:t>
            </w:r>
          </w:p>
        </w:tc>
        <w:tc>
          <w:tcPr>
            <w:tcW w:w="140" w:type="dxa"/>
          </w:tcPr>
          <w:p>
            <w:pPr>
              <w:pStyle w:val="TableParagraph"/>
              <w:rPr>
                <w:sz w:val="18"/>
              </w:rPr>
            </w:pPr>
          </w:p>
        </w:tc>
        <w:tc>
          <w:tcPr>
            <w:tcW w:w="531" w:type="dxa"/>
          </w:tcPr>
          <w:p>
            <w:pPr>
              <w:pStyle w:val="TableParagraph"/>
              <w:spacing w:before="13"/>
              <w:ind w:left="279"/>
              <w:rPr>
                <w:sz w:val="26"/>
              </w:rPr>
            </w:pPr>
            <w:r>
              <w:rPr>
                <w:w w:val="100"/>
                <w:sz w:val="26"/>
              </w:rPr>
              <w:t>•</w:t>
            </w:r>
          </w:p>
        </w:tc>
        <w:tc>
          <w:tcPr>
            <w:tcW w:w="140" w:type="dxa"/>
          </w:tcPr>
          <w:p>
            <w:pPr>
              <w:pStyle w:val="TableParagraph"/>
              <w:rPr>
                <w:sz w:val="18"/>
              </w:rPr>
            </w:pPr>
          </w:p>
        </w:tc>
        <w:tc>
          <w:tcPr>
            <w:tcW w:w="587" w:type="dxa"/>
          </w:tcPr>
          <w:p>
            <w:pPr>
              <w:pStyle w:val="TableParagraph"/>
              <w:rPr>
                <w:sz w:val="18"/>
              </w:rPr>
            </w:pPr>
          </w:p>
        </w:tc>
      </w:tr>
      <w:tr>
        <w:trPr>
          <w:trHeight w:val="335" w:hRule="atLeast"/>
        </w:trPr>
        <w:tc>
          <w:tcPr>
            <w:tcW w:w="3321" w:type="dxa"/>
          </w:tcPr>
          <w:p>
            <w:pPr>
              <w:pStyle w:val="TableParagraph"/>
              <w:spacing w:before="59"/>
              <w:ind w:left="50"/>
              <w:rPr>
                <w:b/>
                <w:sz w:val="18"/>
              </w:rPr>
            </w:pPr>
            <w:r>
              <w:rPr>
                <w:b/>
                <w:spacing w:val="-2"/>
                <w:w w:val="105"/>
                <w:sz w:val="18"/>
              </w:rPr>
              <w:t>Medical</w:t>
            </w:r>
          </w:p>
        </w:tc>
        <w:tc>
          <w:tcPr>
            <w:tcW w:w="657" w:type="dxa"/>
          </w:tcPr>
          <w:p>
            <w:pPr>
              <w:pStyle w:val="TableParagraph"/>
              <w:spacing w:before="13"/>
              <w:ind w:left="126"/>
              <w:jc w:val="center"/>
              <w:rPr>
                <w:sz w:val="26"/>
              </w:rPr>
            </w:pPr>
            <w:r>
              <w:rPr>
                <w:w w:val="100"/>
                <w:sz w:val="26"/>
              </w:rPr>
              <w:t>•</w:t>
            </w:r>
          </w:p>
        </w:tc>
        <w:tc>
          <w:tcPr>
            <w:tcW w:w="140" w:type="dxa"/>
          </w:tcPr>
          <w:p>
            <w:pPr>
              <w:pStyle w:val="TableParagraph"/>
              <w:rPr>
                <w:sz w:val="18"/>
              </w:rPr>
            </w:pPr>
          </w:p>
        </w:tc>
        <w:tc>
          <w:tcPr>
            <w:tcW w:w="643" w:type="dxa"/>
          </w:tcPr>
          <w:p>
            <w:pPr>
              <w:pStyle w:val="TableParagraph"/>
              <w:spacing w:before="13"/>
              <w:ind w:left="119"/>
              <w:jc w:val="center"/>
              <w:rPr>
                <w:sz w:val="26"/>
              </w:rPr>
            </w:pPr>
            <w:r>
              <w:rPr>
                <w:w w:val="100"/>
                <w:sz w:val="26"/>
              </w:rPr>
              <w:t>•</w:t>
            </w:r>
          </w:p>
        </w:tc>
        <w:tc>
          <w:tcPr>
            <w:tcW w:w="140" w:type="dxa"/>
          </w:tcPr>
          <w:p>
            <w:pPr>
              <w:pStyle w:val="TableParagraph"/>
              <w:rPr>
                <w:sz w:val="18"/>
              </w:rPr>
            </w:pPr>
          </w:p>
        </w:tc>
        <w:tc>
          <w:tcPr>
            <w:tcW w:w="587" w:type="dxa"/>
          </w:tcPr>
          <w:p>
            <w:pPr>
              <w:pStyle w:val="TableParagraph"/>
              <w:spacing w:before="13"/>
              <w:ind w:left="307"/>
              <w:rPr>
                <w:sz w:val="26"/>
              </w:rPr>
            </w:pPr>
            <w:r>
              <w:rPr>
                <w:w w:val="100"/>
                <w:sz w:val="26"/>
              </w:rPr>
              <w:t>•</w:t>
            </w:r>
          </w:p>
        </w:tc>
        <w:tc>
          <w:tcPr>
            <w:tcW w:w="140" w:type="dxa"/>
          </w:tcPr>
          <w:p>
            <w:pPr>
              <w:pStyle w:val="TableParagraph"/>
              <w:rPr>
                <w:sz w:val="18"/>
              </w:rPr>
            </w:pPr>
          </w:p>
        </w:tc>
        <w:tc>
          <w:tcPr>
            <w:tcW w:w="545" w:type="dxa"/>
          </w:tcPr>
          <w:p>
            <w:pPr>
              <w:pStyle w:val="TableParagraph"/>
              <w:rPr>
                <w:sz w:val="18"/>
              </w:rPr>
            </w:pPr>
          </w:p>
        </w:tc>
        <w:tc>
          <w:tcPr>
            <w:tcW w:w="140" w:type="dxa"/>
          </w:tcPr>
          <w:p>
            <w:pPr>
              <w:pStyle w:val="TableParagraph"/>
              <w:rPr>
                <w:sz w:val="18"/>
              </w:rPr>
            </w:pPr>
          </w:p>
        </w:tc>
        <w:tc>
          <w:tcPr>
            <w:tcW w:w="839" w:type="dxa"/>
          </w:tcPr>
          <w:p>
            <w:pPr>
              <w:pStyle w:val="TableParagraph"/>
              <w:spacing w:before="13"/>
              <w:ind w:left="123"/>
              <w:jc w:val="center"/>
              <w:rPr>
                <w:sz w:val="26"/>
              </w:rPr>
            </w:pPr>
            <w:r>
              <w:rPr>
                <w:w w:val="100"/>
                <w:sz w:val="26"/>
              </w:rPr>
              <w:t>•</w:t>
            </w:r>
          </w:p>
        </w:tc>
        <w:tc>
          <w:tcPr>
            <w:tcW w:w="140" w:type="dxa"/>
          </w:tcPr>
          <w:p>
            <w:pPr>
              <w:pStyle w:val="TableParagraph"/>
              <w:rPr>
                <w:sz w:val="18"/>
              </w:rPr>
            </w:pPr>
          </w:p>
        </w:tc>
        <w:tc>
          <w:tcPr>
            <w:tcW w:w="531" w:type="dxa"/>
          </w:tcPr>
          <w:p>
            <w:pPr>
              <w:pStyle w:val="TableParagraph"/>
              <w:spacing w:before="13"/>
              <w:ind w:left="279"/>
              <w:rPr>
                <w:sz w:val="26"/>
              </w:rPr>
            </w:pPr>
            <w:r>
              <w:rPr>
                <w:w w:val="100"/>
                <w:sz w:val="26"/>
              </w:rPr>
              <w:t>•</w:t>
            </w:r>
          </w:p>
        </w:tc>
        <w:tc>
          <w:tcPr>
            <w:tcW w:w="140" w:type="dxa"/>
          </w:tcPr>
          <w:p>
            <w:pPr>
              <w:pStyle w:val="TableParagraph"/>
              <w:rPr>
                <w:sz w:val="18"/>
              </w:rPr>
            </w:pPr>
          </w:p>
        </w:tc>
        <w:tc>
          <w:tcPr>
            <w:tcW w:w="587" w:type="dxa"/>
          </w:tcPr>
          <w:p>
            <w:pPr>
              <w:pStyle w:val="TableParagraph"/>
              <w:spacing w:before="13"/>
              <w:ind w:left="114"/>
              <w:jc w:val="center"/>
              <w:rPr>
                <w:sz w:val="26"/>
              </w:rPr>
            </w:pPr>
            <w:r>
              <w:rPr>
                <w:w w:val="100"/>
                <w:sz w:val="26"/>
              </w:rPr>
              <w:t>•</w:t>
            </w:r>
          </w:p>
        </w:tc>
      </w:tr>
      <w:tr>
        <w:trPr>
          <w:trHeight w:val="657" w:hRule="atLeast"/>
        </w:trPr>
        <w:tc>
          <w:tcPr>
            <w:tcW w:w="3321" w:type="dxa"/>
          </w:tcPr>
          <w:p>
            <w:pPr>
              <w:pStyle w:val="TableParagraph"/>
              <w:spacing w:before="59"/>
              <w:ind w:left="50"/>
              <w:rPr>
                <w:b/>
                <w:sz w:val="18"/>
              </w:rPr>
            </w:pPr>
            <w:r>
              <w:rPr>
                <w:b/>
                <w:spacing w:val="-2"/>
                <w:w w:val="105"/>
                <w:sz w:val="18"/>
              </w:rPr>
              <w:t>Industrial/Security</w:t>
            </w:r>
          </w:p>
          <w:p>
            <w:pPr>
              <w:pStyle w:val="TableParagraph"/>
              <w:spacing w:before="115"/>
              <w:ind w:left="50"/>
              <w:rPr>
                <w:b/>
                <w:sz w:val="18"/>
              </w:rPr>
            </w:pPr>
            <w:r>
              <w:rPr>
                <w:b/>
                <w:spacing w:val="-2"/>
                <w:w w:val="105"/>
                <w:sz w:val="18"/>
              </w:rPr>
              <w:t>Financial</w:t>
            </w:r>
          </w:p>
        </w:tc>
        <w:tc>
          <w:tcPr>
            <w:tcW w:w="657" w:type="dxa"/>
          </w:tcPr>
          <w:p>
            <w:pPr>
              <w:pStyle w:val="TableParagraph"/>
              <w:spacing w:before="1"/>
              <w:rPr>
                <w:sz w:val="29"/>
              </w:rPr>
            </w:pPr>
          </w:p>
          <w:p>
            <w:pPr>
              <w:pStyle w:val="TableParagraph"/>
              <w:ind w:left="126"/>
              <w:jc w:val="center"/>
              <w:rPr>
                <w:sz w:val="26"/>
              </w:rPr>
            </w:pPr>
            <w:r>
              <w:rPr>
                <w:w w:val="100"/>
                <w:sz w:val="26"/>
              </w:rPr>
              <w:t>•</w:t>
            </w:r>
          </w:p>
        </w:tc>
        <w:tc>
          <w:tcPr>
            <w:tcW w:w="140" w:type="dxa"/>
          </w:tcPr>
          <w:p>
            <w:pPr>
              <w:pStyle w:val="TableParagraph"/>
              <w:rPr>
                <w:sz w:val="18"/>
              </w:rPr>
            </w:pPr>
          </w:p>
        </w:tc>
        <w:tc>
          <w:tcPr>
            <w:tcW w:w="643" w:type="dxa"/>
          </w:tcPr>
          <w:p>
            <w:pPr>
              <w:pStyle w:val="TableParagraph"/>
              <w:spacing w:before="1"/>
              <w:rPr>
                <w:sz w:val="29"/>
              </w:rPr>
            </w:pPr>
          </w:p>
          <w:p>
            <w:pPr>
              <w:pStyle w:val="TableParagraph"/>
              <w:ind w:left="119"/>
              <w:jc w:val="center"/>
              <w:rPr>
                <w:sz w:val="26"/>
              </w:rPr>
            </w:pPr>
            <w:r>
              <w:rPr>
                <w:w w:val="100"/>
                <w:sz w:val="26"/>
              </w:rPr>
              <w:t>•</w:t>
            </w:r>
          </w:p>
        </w:tc>
        <w:tc>
          <w:tcPr>
            <w:tcW w:w="140" w:type="dxa"/>
          </w:tcPr>
          <w:p>
            <w:pPr>
              <w:pStyle w:val="TableParagraph"/>
              <w:rPr>
                <w:sz w:val="18"/>
              </w:rPr>
            </w:pPr>
          </w:p>
        </w:tc>
        <w:tc>
          <w:tcPr>
            <w:tcW w:w="587" w:type="dxa"/>
          </w:tcPr>
          <w:p>
            <w:pPr>
              <w:pStyle w:val="TableParagraph"/>
              <w:spacing w:before="13"/>
              <w:ind w:left="307"/>
              <w:rPr>
                <w:sz w:val="26"/>
              </w:rPr>
            </w:pPr>
            <w:r>
              <w:rPr>
                <w:w w:val="100"/>
                <w:sz w:val="26"/>
              </w:rPr>
              <w:t>•</w:t>
            </w:r>
          </w:p>
          <w:p>
            <w:pPr>
              <w:pStyle w:val="TableParagraph"/>
              <w:spacing w:before="22"/>
              <w:ind w:left="307"/>
              <w:rPr>
                <w:sz w:val="26"/>
              </w:rPr>
            </w:pPr>
            <w:r>
              <w:rPr>
                <w:w w:val="100"/>
                <w:sz w:val="26"/>
              </w:rPr>
              <w:t>•</w:t>
            </w:r>
          </w:p>
        </w:tc>
        <w:tc>
          <w:tcPr>
            <w:tcW w:w="140" w:type="dxa"/>
          </w:tcPr>
          <w:p>
            <w:pPr>
              <w:pStyle w:val="TableParagraph"/>
              <w:rPr>
                <w:sz w:val="18"/>
              </w:rPr>
            </w:pPr>
          </w:p>
        </w:tc>
        <w:tc>
          <w:tcPr>
            <w:tcW w:w="545" w:type="dxa"/>
          </w:tcPr>
          <w:p>
            <w:pPr>
              <w:pStyle w:val="TableParagraph"/>
              <w:spacing w:before="13"/>
              <w:ind w:left="288"/>
              <w:rPr>
                <w:sz w:val="26"/>
              </w:rPr>
            </w:pPr>
            <w:r>
              <w:rPr>
                <w:w w:val="100"/>
                <w:sz w:val="26"/>
              </w:rPr>
              <w:t>•</w:t>
            </w:r>
          </w:p>
          <w:p>
            <w:pPr>
              <w:pStyle w:val="TableParagraph"/>
              <w:spacing w:before="22"/>
              <w:ind w:left="288"/>
              <w:rPr>
                <w:sz w:val="26"/>
              </w:rPr>
            </w:pPr>
            <w:r>
              <w:rPr>
                <w:w w:val="100"/>
                <w:sz w:val="26"/>
              </w:rPr>
              <w:t>•</w:t>
            </w:r>
          </w:p>
        </w:tc>
        <w:tc>
          <w:tcPr>
            <w:tcW w:w="140" w:type="dxa"/>
          </w:tcPr>
          <w:p>
            <w:pPr>
              <w:pStyle w:val="TableParagraph"/>
              <w:rPr>
                <w:sz w:val="18"/>
              </w:rPr>
            </w:pPr>
          </w:p>
        </w:tc>
        <w:tc>
          <w:tcPr>
            <w:tcW w:w="839" w:type="dxa"/>
          </w:tcPr>
          <w:p>
            <w:pPr>
              <w:pStyle w:val="TableParagraph"/>
              <w:spacing w:before="13"/>
              <w:ind w:left="123"/>
              <w:jc w:val="center"/>
              <w:rPr>
                <w:sz w:val="26"/>
              </w:rPr>
            </w:pPr>
            <w:r>
              <w:rPr>
                <w:w w:val="100"/>
                <w:sz w:val="26"/>
              </w:rPr>
              <w:t>•</w:t>
            </w:r>
          </w:p>
          <w:p>
            <w:pPr>
              <w:pStyle w:val="TableParagraph"/>
              <w:spacing w:before="22"/>
              <w:ind w:left="123"/>
              <w:jc w:val="center"/>
              <w:rPr>
                <w:sz w:val="26"/>
              </w:rPr>
            </w:pPr>
            <w:r>
              <w:rPr>
                <w:w w:val="100"/>
                <w:sz w:val="26"/>
              </w:rPr>
              <w:t>•</w:t>
            </w:r>
          </w:p>
        </w:tc>
        <w:tc>
          <w:tcPr>
            <w:tcW w:w="140" w:type="dxa"/>
          </w:tcPr>
          <w:p>
            <w:pPr>
              <w:pStyle w:val="TableParagraph"/>
              <w:rPr>
                <w:sz w:val="18"/>
              </w:rPr>
            </w:pPr>
          </w:p>
        </w:tc>
        <w:tc>
          <w:tcPr>
            <w:tcW w:w="531" w:type="dxa"/>
          </w:tcPr>
          <w:p>
            <w:pPr>
              <w:pStyle w:val="TableParagraph"/>
              <w:spacing w:before="13"/>
              <w:ind w:left="279"/>
              <w:rPr>
                <w:sz w:val="26"/>
              </w:rPr>
            </w:pPr>
            <w:r>
              <w:rPr>
                <w:w w:val="100"/>
                <w:sz w:val="26"/>
              </w:rPr>
              <w:t>•</w:t>
            </w:r>
          </w:p>
          <w:p>
            <w:pPr>
              <w:pStyle w:val="TableParagraph"/>
              <w:spacing w:before="22"/>
              <w:ind w:left="279"/>
              <w:rPr>
                <w:sz w:val="26"/>
              </w:rPr>
            </w:pPr>
            <w:r>
              <w:rPr>
                <w:w w:val="100"/>
                <w:sz w:val="26"/>
              </w:rPr>
              <w:t>•</w:t>
            </w:r>
          </w:p>
        </w:tc>
        <w:tc>
          <w:tcPr>
            <w:tcW w:w="140" w:type="dxa"/>
          </w:tcPr>
          <w:p>
            <w:pPr>
              <w:pStyle w:val="TableParagraph"/>
              <w:rPr>
                <w:sz w:val="18"/>
              </w:rPr>
            </w:pPr>
          </w:p>
        </w:tc>
        <w:tc>
          <w:tcPr>
            <w:tcW w:w="587" w:type="dxa"/>
          </w:tcPr>
          <w:p>
            <w:pPr>
              <w:pStyle w:val="TableParagraph"/>
              <w:spacing w:before="1"/>
              <w:rPr>
                <w:sz w:val="29"/>
              </w:rPr>
            </w:pPr>
          </w:p>
          <w:p>
            <w:pPr>
              <w:pStyle w:val="TableParagraph"/>
              <w:ind w:left="114"/>
              <w:jc w:val="center"/>
              <w:rPr>
                <w:sz w:val="26"/>
              </w:rPr>
            </w:pPr>
            <w:r>
              <w:rPr>
                <w:w w:val="100"/>
                <w:sz w:val="26"/>
              </w:rPr>
              <w:t>•</w:t>
            </w:r>
          </w:p>
        </w:tc>
      </w:tr>
      <w:tr>
        <w:trPr>
          <w:trHeight w:val="335" w:hRule="atLeast"/>
        </w:trPr>
        <w:tc>
          <w:tcPr>
            <w:tcW w:w="3321" w:type="dxa"/>
          </w:tcPr>
          <w:p>
            <w:pPr>
              <w:pStyle w:val="TableParagraph"/>
              <w:spacing w:before="59"/>
              <w:ind w:left="50"/>
              <w:rPr>
                <w:b/>
                <w:sz w:val="18"/>
              </w:rPr>
            </w:pPr>
            <w:r>
              <w:rPr>
                <w:b/>
                <w:spacing w:val="-2"/>
                <w:sz w:val="18"/>
              </w:rPr>
              <w:t>Gender,</w:t>
            </w:r>
            <w:r>
              <w:rPr>
                <w:b/>
                <w:spacing w:val="-4"/>
                <w:sz w:val="18"/>
              </w:rPr>
              <w:t> </w:t>
            </w:r>
            <w:r>
              <w:rPr>
                <w:b/>
                <w:spacing w:val="-2"/>
                <w:sz w:val="18"/>
              </w:rPr>
              <w:t>Ethnic,</w:t>
            </w:r>
            <w:r>
              <w:rPr>
                <w:b/>
                <w:spacing w:val="-3"/>
                <w:sz w:val="18"/>
              </w:rPr>
              <w:t> </w:t>
            </w:r>
            <w:r>
              <w:rPr>
                <w:b/>
                <w:spacing w:val="-2"/>
                <w:sz w:val="18"/>
              </w:rPr>
              <w:t>or</w:t>
            </w:r>
            <w:r>
              <w:rPr>
                <w:b/>
                <w:spacing w:val="-7"/>
                <w:sz w:val="18"/>
              </w:rPr>
              <w:t> </w:t>
            </w:r>
            <w:r>
              <w:rPr>
                <w:b/>
                <w:spacing w:val="-2"/>
                <w:sz w:val="18"/>
              </w:rPr>
              <w:t>National</w:t>
            </w:r>
            <w:r>
              <w:rPr>
                <w:b/>
                <w:spacing w:val="-3"/>
                <w:sz w:val="18"/>
              </w:rPr>
              <w:t> </w:t>
            </w:r>
            <w:r>
              <w:rPr>
                <w:b/>
                <w:spacing w:val="-2"/>
                <w:sz w:val="18"/>
              </w:rPr>
              <w:t>Diversity</w:t>
            </w:r>
          </w:p>
        </w:tc>
        <w:tc>
          <w:tcPr>
            <w:tcW w:w="657" w:type="dxa"/>
          </w:tcPr>
          <w:p>
            <w:pPr>
              <w:pStyle w:val="TableParagraph"/>
              <w:spacing w:before="13"/>
              <w:ind w:left="126"/>
              <w:jc w:val="center"/>
              <w:rPr>
                <w:sz w:val="26"/>
              </w:rPr>
            </w:pPr>
            <w:r>
              <w:rPr>
                <w:w w:val="100"/>
                <w:sz w:val="26"/>
              </w:rPr>
              <w:t>•</w:t>
            </w:r>
          </w:p>
        </w:tc>
        <w:tc>
          <w:tcPr>
            <w:tcW w:w="140" w:type="dxa"/>
          </w:tcPr>
          <w:p>
            <w:pPr>
              <w:pStyle w:val="TableParagraph"/>
              <w:rPr>
                <w:sz w:val="18"/>
              </w:rPr>
            </w:pPr>
          </w:p>
        </w:tc>
        <w:tc>
          <w:tcPr>
            <w:tcW w:w="643" w:type="dxa"/>
          </w:tcPr>
          <w:p>
            <w:pPr>
              <w:pStyle w:val="TableParagraph"/>
              <w:spacing w:before="13"/>
              <w:ind w:left="119"/>
              <w:jc w:val="center"/>
              <w:rPr>
                <w:sz w:val="26"/>
              </w:rPr>
            </w:pPr>
            <w:r>
              <w:rPr>
                <w:w w:val="100"/>
                <w:sz w:val="26"/>
              </w:rPr>
              <w:t>•</w:t>
            </w:r>
          </w:p>
        </w:tc>
        <w:tc>
          <w:tcPr>
            <w:tcW w:w="140" w:type="dxa"/>
          </w:tcPr>
          <w:p>
            <w:pPr>
              <w:pStyle w:val="TableParagraph"/>
              <w:rPr>
                <w:sz w:val="18"/>
              </w:rPr>
            </w:pPr>
          </w:p>
        </w:tc>
        <w:tc>
          <w:tcPr>
            <w:tcW w:w="587" w:type="dxa"/>
          </w:tcPr>
          <w:p>
            <w:pPr>
              <w:pStyle w:val="TableParagraph"/>
              <w:rPr>
                <w:sz w:val="18"/>
              </w:rPr>
            </w:pPr>
          </w:p>
        </w:tc>
        <w:tc>
          <w:tcPr>
            <w:tcW w:w="140" w:type="dxa"/>
          </w:tcPr>
          <w:p>
            <w:pPr>
              <w:pStyle w:val="TableParagraph"/>
              <w:rPr>
                <w:sz w:val="18"/>
              </w:rPr>
            </w:pPr>
          </w:p>
        </w:tc>
        <w:tc>
          <w:tcPr>
            <w:tcW w:w="545" w:type="dxa"/>
          </w:tcPr>
          <w:p>
            <w:pPr>
              <w:pStyle w:val="TableParagraph"/>
              <w:rPr>
                <w:sz w:val="18"/>
              </w:rPr>
            </w:pPr>
          </w:p>
        </w:tc>
        <w:tc>
          <w:tcPr>
            <w:tcW w:w="140" w:type="dxa"/>
          </w:tcPr>
          <w:p>
            <w:pPr>
              <w:pStyle w:val="TableParagraph"/>
              <w:rPr>
                <w:sz w:val="18"/>
              </w:rPr>
            </w:pPr>
          </w:p>
        </w:tc>
        <w:tc>
          <w:tcPr>
            <w:tcW w:w="839" w:type="dxa"/>
          </w:tcPr>
          <w:p>
            <w:pPr>
              <w:pStyle w:val="TableParagraph"/>
              <w:rPr>
                <w:sz w:val="18"/>
              </w:rPr>
            </w:pPr>
          </w:p>
        </w:tc>
        <w:tc>
          <w:tcPr>
            <w:tcW w:w="140" w:type="dxa"/>
          </w:tcPr>
          <w:p>
            <w:pPr>
              <w:pStyle w:val="TableParagraph"/>
              <w:rPr>
                <w:sz w:val="18"/>
              </w:rPr>
            </w:pPr>
          </w:p>
        </w:tc>
        <w:tc>
          <w:tcPr>
            <w:tcW w:w="531" w:type="dxa"/>
          </w:tcPr>
          <w:p>
            <w:pPr>
              <w:pStyle w:val="TableParagraph"/>
              <w:spacing w:before="13"/>
              <w:ind w:left="279"/>
              <w:rPr>
                <w:sz w:val="26"/>
              </w:rPr>
            </w:pPr>
            <w:r>
              <w:rPr>
                <w:w w:val="100"/>
                <w:sz w:val="26"/>
              </w:rPr>
              <w:t>•</w:t>
            </w:r>
          </w:p>
        </w:tc>
        <w:tc>
          <w:tcPr>
            <w:tcW w:w="140" w:type="dxa"/>
          </w:tcPr>
          <w:p>
            <w:pPr>
              <w:pStyle w:val="TableParagraph"/>
              <w:rPr>
                <w:sz w:val="18"/>
              </w:rPr>
            </w:pPr>
          </w:p>
        </w:tc>
        <w:tc>
          <w:tcPr>
            <w:tcW w:w="587" w:type="dxa"/>
          </w:tcPr>
          <w:p>
            <w:pPr>
              <w:pStyle w:val="TableParagraph"/>
              <w:spacing w:before="13"/>
              <w:ind w:left="114"/>
              <w:jc w:val="center"/>
              <w:rPr>
                <w:sz w:val="26"/>
              </w:rPr>
            </w:pPr>
            <w:r>
              <w:rPr>
                <w:w w:val="100"/>
                <w:sz w:val="26"/>
              </w:rPr>
              <w:t>•</w:t>
            </w:r>
          </w:p>
        </w:tc>
      </w:tr>
      <w:tr>
        <w:trPr>
          <w:trHeight w:val="312" w:hRule="atLeast"/>
        </w:trPr>
        <w:tc>
          <w:tcPr>
            <w:tcW w:w="3321" w:type="dxa"/>
          </w:tcPr>
          <w:p>
            <w:pPr>
              <w:pStyle w:val="TableParagraph"/>
              <w:spacing w:before="59"/>
              <w:ind w:left="50"/>
              <w:rPr>
                <w:b/>
                <w:sz w:val="18"/>
              </w:rPr>
            </w:pPr>
            <w:r>
              <w:rPr>
                <w:b/>
                <w:spacing w:val="-2"/>
                <w:sz w:val="18"/>
              </w:rPr>
              <w:t>International</w:t>
            </w:r>
            <w:r>
              <w:rPr>
                <w:b/>
                <w:spacing w:val="2"/>
                <w:sz w:val="18"/>
              </w:rPr>
              <w:t> </w:t>
            </w:r>
            <w:r>
              <w:rPr>
                <w:b/>
                <w:spacing w:val="-2"/>
                <w:sz w:val="18"/>
              </w:rPr>
              <w:t>Experience</w:t>
            </w:r>
          </w:p>
        </w:tc>
        <w:tc>
          <w:tcPr>
            <w:tcW w:w="657" w:type="dxa"/>
          </w:tcPr>
          <w:p>
            <w:pPr>
              <w:pStyle w:val="TableParagraph"/>
              <w:spacing w:line="279" w:lineRule="exact" w:before="13"/>
              <w:ind w:left="126"/>
              <w:jc w:val="center"/>
              <w:rPr>
                <w:sz w:val="26"/>
              </w:rPr>
            </w:pPr>
            <w:r>
              <w:rPr>
                <w:w w:val="100"/>
                <w:sz w:val="26"/>
              </w:rPr>
              <w:t>•</w:t>
            </w:r>
          </w:p>
        </w:tc>
        <w:tc>
          <w:tcPr>
            <w:tcW w:w="140" w:type="dxa"/>
          </w:tcPr>
          <w:p>
            <w:pPr>
              <w:pStyle w:val="TableParagraph"/>
              <w:rPr>
                <w:sz w:val="18"/>
              </w:rPr>
            </w:pPr>
          </w:p>
        </w:tc>
        <w:tc>
          <w:tcPr>
            <w:tcW w:w="643" w:type="dxa"/>
          </w:tcPr>
          <w:p>
            <w:pPr>
              <w:pStyle w:val="TableParagraph"/>
              <w:rPr>
                <w:sz w:val="18"/>
              </w:rPr>
            </w:pPr>
          </w:p>
        </w:tc>
        <w:tc>
          <w:tcPr>
            <w:tcW w:w="140" w:type="dxa"/>
          </w:tcPr>
          <w:p>
            <w:pPr>
              <w:pStyle w:val="TableParagraph"/>
              <w:rPr>
                <w:sz w:val="18"/>
              </w:rPr>
            </w:pPr>
          </w:p>
        </w:tc>
        <w:tc>
          <w:tcPr>
            <w:tcW w:w="587" w:type="dxa"/>
          </w:tcPr>
          <w:p>
            <w:pPr>
              <w:pStyle w:val="TableParagraph"/>
              <w:spacing w:line="279" w:lineRule="exact" w:before="13"/>
              <w:ind w:left="307"/>
              <w:rPr>
                <w:sz w:val="26"/>
              </w:rPr>
            </w:pPr>
            <w:r>
              <w:rPr>
                <w:w w:val="100"/>
                <w:sz w:val="26"/>
              </w:rPr>
              <w:t>•</w:t>
            </w:r>
          </w:p>
        </w:tc>
        <w:tc>
          <w:tcPr>
            <w:tcW w:w="140" w:type="dxa"/>
          </w:tcPr>
          <w:p>
            <w:pPr>
              <w:pStyle w:val="TableParagraph"/>
              <w:rPr>
                <w:sz w:val="18"/>
              </w:rPr>
            </w:pPr>
          </w:p>
        </w:tc>
        <w:tc>
          <w:tcPr>
            <w:tcW w:w="545" w:type="dxa"/>
          </w:tcPr>
          <w:p>
            <w:pPr>
              <w:pStyle w:val="TableParagraph"/>
              <w:spacing w:line="279" w:lineRule="exact" w:before="13"/>
              <w:ind w:left="123"/>
              <w:jc w:val="center"/>
              <w:rPr>
                <w:sz w:val="26"/>
              </w:rPr>
            </w:pPr>
            <w:r>
              <w:rPr>
                <w:w w:val="100"/>
                <w:sz w:val="26"/>
              </w:rPr>
              <w:t>•</w:t>
            </w:r>
          </w:p>
        </w:tc>
        <w:tc>
          <w:tcPr>
            <w:tcW w:w="140" w:type="dxa"/>
          </w:tcPr>
          <w:p>
            <w:pPr>
              <w:pStyle w:val="TableParagraph"/>
              <w:rPr>
                <w:sz w:val="18"/>
              </w:rPr>
            </w:pPr>
          </w:p>
        </w:tc>
        <w:tc>
          <w:tcPr>
            <w:tcW w:w="839" w:type="dxa"/>
          </w:tcPr>
          <w:p>
            <w:pPr>
              <w:pStyle w:val="TableParagraph"/>
              <w:spacing w:line="279" w:lineRule="exact" w:before="13"/>
              <w:ind w:left="123"/>
              <w:jc w:val="center"/>
              <w:rPr>
                <w:sz w:val="26"/>
              </w:rPr>
            </w:pPr>
            <w:r>
              <w:rPr>
                <w:w w:val="100"/>
                <w:sz w:val="26"/>
              </w:rPr>
              <w:t>•</w:t>
            </w:r>
          </w:p>
        </w:tc>
        <w:tc>
          <w:tcPr>
            <w:tcW w:w="140" w:type="dxa"/>
          </w:tcPr>
          <w:p>
            <w:pPr>
              <w:pStyle w:val="TableParagraph"/>
              <w:rPr>
                <w:sz w:val="18"/>
              </w:rPr>
            </w:pPr>
          </w:p>
        </w:tc>
        <w:tc>
          <w:tcPr>
            <w:tcW w:w="531" w:type="dxa"/>
          </w:tcPr>
          <w:p>
            <w:pPr>
              <w:pStyle w:val="TableParagraph"/>
              <w:spacing w:line="279" w:lineRule="exact" w:before="13"/>
              <w:ind w:left="279"/>
              <w:rPr>
                <w:sz w:val="26"/>
              </w:rPr>
            </w:pPr>
            <w:r>
              <w:rPr>
                <w:w w:val="100"/>
                <w:sz w:val="26"/>
              </w:rPr>
              <w:t>•</w:t>
            </w:r>
          </w:p>
        </w:tc>
        <w:tc>
          <w:tcPr>
            <w:tcW w:w="140" w:type="dxa"/>
          </w:tcPr>
          <w:p>
            <w:pPr>
              <w:pStyle w:val="TableParagraph"/>
              <w:rPr>
                <w:sz w:val="18"/>
              </w:rPr>
            </w:pPr>
          </w:p>
        </w:tc>
        <w:tc>
          <w:tcPr>
            <w:tcW w:w="587" w:type="dxa"/>
          </w:tcPr>
          <w:p>
            <w:pPr>
              <w:pStyle w:val="TableParagraph"/>
              <w:spacing w:line="279" w:lineRule="exact" w:before="13"/>
              <w:ind w:left="114"/>
              <w:jc w:val="center"/>
              <w:rPr>
                <w:sz w:val="26"/>
              </w:rPr>
            </w:pPr>
            <w:r>
              <w:rPr>
                <w:w w:val="100"/>
                <w:sz w:val="26"/>
              </w:rPr>
              <w:t>•</w:t>
            </w:r>
          </w:p>
        </w:tc>
      </w:tr>
    </w:tbl>
    <w:p>
      <w:pPr>
        <w:pStyle w:val="BodyText"/>
        <w:spacing w:before="9"/>
        <w:rPr>
          <w:sz w:val="20"/>
        </w:rPr>
      </w:pPr>
    </w:p>
    <w:p>
      <w:pPr>
        <w:pStyle w:val="Heading2"/>
      </w:pPr>
      <w:r>
        <w:rPr>
          <w:spacing w:val="-2"/>
        </w:rPr>
        <w:t>Board</w:t>
      </w:r>
      <w:r>
        <w:rPr>
          <w:spacing w:val="1"/>
        </w:rPr>
        <w:t> </w:t>
      </w:r>
      <w:r>
        <w:rPr>
          <w:spacing w:val="-2"/>
        </w:rPr>
        <w:t>Diversity</w:t>
      </w:r>
      <w:r>
        <w:rPr>
          <w:spacing w:val="2"/>
        </w:rPr>
        <w:t> </w:t>
      </w:r>
      <w:r>
        <w:rPr>
          <w:spacing w:val="-2"/>
        </w:rPr>
        <w:t>Matrix</w:t>
      </w:r>
    </w:p>
    <w:p>
      <w:pPr>
        <w:pStyle w:val="BodyText"/>
        <w:spacing w:line="259" w:lineRule="auto" w:before="171"/>
        <w:ind w:left="1400" w:right="1551" w:firstLine="372"/>
      </w:pPr>
      <w:r>
        <w:rPr>
          <w:w w:val="105"/>
        </w:rPr>
        <w:t>The</w:t>
      </w:r>
      <w:r>
        <w:rPr>
          <w:spacing w:val="18"/>
          <w:w w:val="105"/>
        </w:rPr>
        <w:t> </w:t>
      </w:r>
      <w:r>
        <w:rPr>
          <w:w w:val="105"/>
        </w:rPr>
        <w:t>following</w:t>
      </w:r>
      <w:r>
        <w:rPr>
          <w:spacing w:val="18"/>
          <w:w w:val="105"/>
        </w:rPr>
        <w:t> </w:t>
      </w:r>
      <w:r>
        <w:rPr>
          <w:w w:val="105"/>
        </w:rPr>
        <w:t>matrix</w:t>
      </w:r>
      <w:r>
        <w:rPr>
          <w:spacing w:val="18"/>
          <w:w w:val="105"/>
        </w:rPr>
        <w:t> </w:t>
      </w:r>
      <w:r>
        <w:rPr>
          <w:w w:val="105"/>
        </w:rPr>
        <w:t>is</w:t>
      </w:r>
      <w:r>
        <w:rPr>
          <w:spacing w:val="18"/>
          <w:w w:val="105"/>
        </w:rPr>
        <w:t> </w:t>
      </w:r>
      <w:r>
        <w:rPr>
          <w:w w:val="105"/>
        </w:rPr>
        <w:t>provided</w:t>
      </w:r>
      <w:r>
        <w:rPr>
          <w:spacing w:val="18"/>
          <w:w w:val="105"/>
        </w:rPr>
        <w:t> </w:t>
      </w:r>
      <w:r>
        <w:rPr>
          <w:w w:val="105"/>
        </w:rPr>
        <w:t>in</w:t>
      </w:r>
      <w:r>
        <w:rPr>
          <w:spacing w:val="18"/>
          <w:w w:val="105"/>
        </w:rPr>
        <w:t> </w:t>
      </w:r>
      <w:r>
        <w:rPr>
          <w:w w:val="105"/>
        </w:rPr>
        <w:t>accordance</w:t>
      </w:r>
      <w:r>
        <w:rPr>
          <w:spacing w:val="18"/>
          <w:w w:val="105"/>
        </w:rPr>
        <w:t> </w:t>
      </w:r>
      <w:r>
        <w:rPr>
          <w:w w:val="105"/>
        </w:rPr>
        <w:t>with</w:t>
      </w:r>
      <w:r>
        <w:rPr>
          <w:spacing w:val="18"/>
          <w:w w:val="105"/>
        </w:rPr>
        <w:t> </w:t>
      </w:r>
      <w:r>
        <w:rPr>
          <w:w w:val="105"/>
        </w:rPr>
        <w:t>applicable</w:t>
      </w:r>
      <w:r>
        <w:rPr>
          <w:spacing w:val="18"/>
          <w:w w:val="105"/>
        </w:rPr>
        <w:t> </w:t>
      </w:r>
      <w:r>
        <w:rPr>
          <w:w w:val="105"/>
        </w:rPr>
        <w:t>Nasdaq</w:t>
      </w:r>
      <w:r>
        <w:rPr>
          <w:spacing w:val="18"/>
          <w:w w:val="105"/>
        </w:rPr>
        <w:t> </w:t>
      </w:r>
      <w:r>
        <w:rPr>
          <w:w w:val="105"/>
        </w:rPr>
        <w:t>listing</w:t>
      </w:r>
      <w:r>
        <w:rPr>
          <w:spacing w:val="18"/>
          <w:w w:val="105"/>
        </w:rPr>
        <w:t> </w:t>
      </w:r>
      <w:r>
        <w:rPr>
          <w:w w:val="105"/>
        </w:rPr>
        <w:t>requirements</w:t>
      </w:r>
      <w:r>
        <w:rPr>
          <w:spacing w:val="18"/>
          <w:w w:val="105"/>
        </w:rPr>
        <w:t> </w:t>
      </w:r>
      <w:r>
        <w:rPr>
          <w:w w:val="105"/>
        </w:rPr>
        <w:t>and</w:t>
      </w:r>
      <w:r>
        <w:rPr>
          <w:spacing w:val="18"/>
          <w:w w:val="105"/>
        </w:rPr>
        <w:t> </w:t>
      </w:r>
      <w:r>
        <w:rPr>
          <w:w w:val="105"/>
        </w:rPr>
        <w:t>each of</w:t>
      </w:r>
      <w:r>
        <w:rPr>
          <w:spacing w:val="20"/>
          <w:w w:val="105"/>
        </w:rPr>
        <w:t> </w:t>
      </w:r>
      <w:r>
        <w:rPr>
          <w:w w:val="105"/>
        </w:rPr>
        <w:t>the</w:t>
      </w:r>
      <w:r>
        <w:rPr>
          <w:spacing w:val="20"/>
          <w:w w:val="105"/>
        </w:rPr>
        <w:t> </w:t>
      </w:r>
      <w:r>
        <w:rPr>
          <w:w w:val="105"/>
        </w:rPr>
        <w:t>categories</w:t>
      </w:r>
      <w:r>
        <w:rPr>
          <w:spacing w:val="20"/>
          <w:w w:val="105"/>
        </w:rPr>
        <w:t> </w:t>
      </w:r>
      <w:r>
        <w:rPr>
          <w:w w:val="105"/>
        </w:rPr>
        <w:t>listed</w:t>
      </w:r>
      <w:r>
        <w:rPr>
          <w:spacing w:val="20"/>
          <w:w w:val="105"/>
        </w:rPr>
        <w:t> </w:t>
      </w:r>
      <w:r>
        <w:rPr>
          <w:w w:val="105"/>
        </w:rPr>
        <w:t>in</w:t>
      </w:r>
      <w:r>
        <w:rPr>
          <w:spacing w:val="20"/>
          <w:w w:val="105"/>
        </w:rPr>
        <w:t> </w:t>
      </w:r>
      <w:r>
        <w:rPr>
          <w:w w:val="105"/>
        </w:rPr>
        <w:t>the</w:t>
      </w:r>
      <w:r>
        <w:rPr>
          <w:spacing w:val="20"/>
          <w:w w:val="105"/>
        </w:rPr>
        <w:t> </w:t>
      </w:r>
      <w:r>
        <w:rPr>
          <w:w w:val="105"/>
        </w:rPr>
        <w:t>below</w:t>
      </w:r>
      <w:r>
        <w:rPr>
          <w:spacing w:val="20"/>
          <w:w w:val="105"/>
        </w:rPr>
        <w:t> </w:t>
      </w:r>
      <w:r>
        <w:rPr>
          <w:w w:val="105"/>
        </w:rPr>
        <w:t>table</w:t>
      </w:r>
      <w:r>
        <w:rPr>
          <w:spacing w:val="20"/>
          <w:w w:val="105"/>
        </w:rPr>
        <w:t> </w:t>
      </w:r>
      <w:r>
        <w:rPr>
          <w:w w:val="105"/>
        </w:rPr>
        <w:t>has</w:t>
      </w:r>
      <w:r>
        <w:rPr>
          <w:spacing w:val="20"/>
          <w:w w:val="105"/>
        </w:rPr>
        <w:t> </w:t>
      </w:r>
      <w:r>
        <w:rPr>
          <w:w w:val="105"/>
        </w:rPr>
        <w:t>the</w:t>
      </w:r>
      <w:r>
        <w:rPr>
          <w:spacing w:val="20"/>
          <w:w w:val="105"/>
        </w:rPr>
        <w:t> </w:t>
      </w:r>
      <w:r>
        <w:rPr>
          <w:w w:val="105"/>
        </w:rPr>
        <w:t>meaning</w:t>
      </w:r>
      <w:r>
        <w:rPr>
          <w:spacing w:val="20"/>
          <w:w w:val="105"/>
        </w:rPr>
        <w:t> </w:t>
      </w:r>
      <w:r>
        <w:rPr>
          <w:w w:val="105"/>
        </w:rPr>
        <w:t>as</w:t>
      </w:r>
      <w:r>
        <w:rPr>
          <w:spacing w:val="20"/>
          <w:w w:val="105"/>
        </w:rPr>
        <w:t> </w:t>
      </w:r>
      <w:r>
        <w:rPr>
          <w:w w:val="105"/>
        </w:rPr>
        <w:t>it</w:t>
      </w:r>
      <w:r>
        <w:rPr>
          <w:spacing w:val="20"/>
          <w:w w:val="105"/>
        </w:rPr>
        <w:t> </w:t>
      </w:r>
      <w:r>
        <w:rPr>
          <w:w w:val="105"/>
        </w:rPr>
        <w:t>is</w:t>
      </w:r>
      <w:r>
        <w:rPr>
          <w:spacing w:val="20"/>
          <w:w w:val="105"/>
        </w:rPr>
        <w:t> </w:t>
      </w:r>
      <w:r>
        <w:rPr>
          <w:w w:val="105"/>
        </w:rPr>
        <w:t>used</w:t>
      </w:r>
      <w:r>
        <w:rPr>
          <w:spacing w:val="20"/>
          <w:w w:val="105"/>
        </w:rPr>
        <w:t> </w:t>
      </w:r>
      <w:r>
        <w:rPr>
          <w:w w:val="105"/>
        </w:rPr>
        <w:t>in</w:t>
      </w:r>
      <w:r>
        <w:rPr>
          <w:spacing w:val="20"/>
          <w:w w:val="105"/>
        </w:rPr>
        <w:t> </w:t>
      </w:r>
      <w:r>
        <w:rPr>
          <w:w w:val="105"/>
        </w:rPr>
        <w:t>Nasdaq</w:t>
      </w:r>
      <w:r>
        <w:rPr>
          <w:spacing w:val="20"/>
          <w:w w:val="105"/>
        </w:rPr>
        <w:t> </w:t>
      </w:r>
      <w:r>
        <w:rPr>
          <w:w w:val="105"/>
        </w:rPr>
        <w:t>Rule</w:t>
      </w:r>
      <w:r>
        <w:rPr>
          <w:spacing w:val="20"/>
          <w:w w:val="105"/>
        </w:rPr>
        <w:t> </w:t>
      </w:r>
      <w:r>
        <w:rPr>
          <w:w w:val="105"/>
        </w:rPr>
        <w:t>5605(f)(1). The matrix includes Mr. Naumann-Etienne, who is retiring from the Board effective upon the conclusion of the Annual Meeting.</w:t>
      </w:r>
    </w:p>
    <w:p>
      <w:pPr>
        <w:pStyle w:val="Heading2"/>
        <w:spacing w:before="56"/>
        <w:ind w:left="3" w:right="1"/>
        <w:jc w:val="center"/>
      </w:pPr>
      <w:r>
        <w:rPr/>
        <w:t>Board</w:t>
      </w:r>
      <w:r>
        <w:rPr>
          <w:spacing w:val="-12"/>
        </w:rPr>
        <w:t> </w:t>
      </w:r>
      <w:r>
        <w:rPr/>
        <w:t>Diversity</w:t>
      </w:r>
      <w:r>
        <w:rPr>
          <w:spacing w:val="-9"/>
        </w:rPr>
        <w:t> </w:t>
      </w:r>
      <w:r>
        <w:rPr/>
        <w:t>Matrix</w:t>
      </w:r>
      <w:r>
        <w:rPr>
          <w:spacing w:val="-9"/>
        </w:rPr>
        <w:t> </w:t>
      </w:r>
      <w:r>
        <w:rPr/>
        <w:t>(as</w:t>
      </w:r>
      <w:r>
        <w:rPr>
          <w:spacing w:val="-10"/>
        </w:rPr>
        <w:t> </w:t>
      </w:r>
      <w:r>
        <w:rPr/>
        <w:t>of</w:t>
      </w:r>
      <w:r>
        <w:rPr>
          <w:spacing w:val="-9"/>
        </w:rPr>
        <w:t> </w:t>
      </w:r>
      <w:r>
        <w:rPr/>
        <w:t>December</w:t>
      </w:r>
      <w:r>
        <w:rPr>
          <w:spacing w:val="-11"/>
        </w:rPr>
        <w:t> </w:t>
      </w:r>
      <w:r>
        <w:rPr/>
        <w:t>12,</w:t>
      </w:r>
      <w:r>
        <w:rPr>
          <w:spacing w:val="-10"/>
        </w:rPr>
        <w:t> </w:t>
      </w:r>
      <w:r>
        <w:rPr>
          <w:spacing w:val="-2"/>
        </w:rPr>
        <w:t>2022)</w:t>
      </w:r>
    </w:p>
    <w:p>
      <w:pPr>
        <w:tabs>
          <w:tab w:pos="8500" w:val="right" w:leader="none"/>
        </w:tabs>
        <w:spacing w:before="101"/>
        <w:ind w:left="1400" w:right="0" w:firstLine="0"/>
        <w:jc w:val="left"/>
        <w:rPr>
          <w:sz w:val="15"/>
        </w:rPr>
      </w:pPr>
      <w:r>
        <w:rPr/>
        <w:pict>
          <v:rect style="position:absolute;margin-left:94.006004pt;margin-top:2.965316pt;width:424.98702pt;height:.699pt;mso-position-horizontal-relative:page;mso-position-vertical-relative:paragraph;z-index:15742976" id="docshape119" filled="true" fillcolor="#000000" stroked="false">
            <v:fill type="solid"/>
            <w10:wrap type="none"/>
          </v:rect>
        </w:pict>
      </w:r>
      <w:r>
        <w:rPr/>
        <w:pict>
          <v:rect style="position:absolute;margin-left:94.006287pt;margin-top:16.245504pt;width:276.800979pt;height:.698992pt;mso-position-horizontal-relative:page;mso-position-vertical-relative:paragraph;z-index:15743488" id="docshape120" filled="true" fillcolor="#000000" stroked="false">
            <v:fill type="solid"/>
            <w10:wrap type="none"/>
          </v:rect>
        </w:pict>
      </w:r>
      <w:r>
        <w:rPr/>
        <w:pict>
          <v:rect style="position:absolute;margin-left:375.700012pt;margin-top:16.246317pt;width:143.293007pt;height:.699pt;mso-position-horizontal-relative:page;mso-position-vertical-relative:paragraph;z-index:15744000" id="docshape121" filled="true" fillcolor="#000000" stroked="false">
            <v:fill type="solid"/>
            <w10:wrap type="none"/>
          </v:rect>
        </w:pict>
      </w:r>
      <w:r>
        <w:rPr>
          <w:b/>
          <w:spacing w:val="-6"/>
          <w:sz w:val="15"/>
        </w:rPr>
        <w:t>Total</w:t>
      </w:r>
      <w:r>
        <w:rPr>
          <w:b/>
          <w:spacing w:val="1"/>
          <w:sz w:val="15"/>
        </w:rPr>
        <w:t> </w:t>
      </w:r>
      <w:r>
        <w:rPr>
          <w:b/>
          <w:spacing w:val="-6"/>
          <w:sz w:val="15"/>
        </w:rPr>
        <w:t>Number</w:t>
      </w:r>
      <w:r>
        <w:rPr>
          <w:b/>
          <w:spacing w:val="-2"/>
          <w:sz w:val="15"/>
        </w:rPr>
        <w:t> </w:t>
      </w:r>
      <w:r>
        <w:rPr>
          <w:b/>
          <w:spacing w:val="-6"/>
          <w:sz w:val="15"/>
        </w:rPr>
        <w:t>of</w:t>
      </w:r>
      <w:r>
        <w:rPr>
          <w:b/>
          <w:spacing w:val="2"/>
          <w:sz w:val="15"/>
        </w:rPr>
        <w:t> </w:t>
      </w:r>
      <w:r>
        <w:rPr>
          <w:b/>
          <w:spacing w:val="-6"/>
          <w:sz w:val="15"/>
        </w:rPr>
        <w:t>Directors</w:t>
      </w:r>
      <w:r>
        <w:rPr>
          <w:sz w:val="15"/>
        </w:rPr>
        <w:tab/>
      </w:r>
      <w:r>
        <w:rPr>
          <w:spacing w:val="-10"/>
          <w:sz w:val="15"/>
        </w:rPr>
        <w:t>8</w:t>
      </w:r>
    </w:p>
    <w:p>
      <w:pPr>
        <w:tabs>
          <w:tab w:pos="7045" w:val="left" w:leader="none"/>
        </w:tabs>
        <w:spacing w:before="107"/>
        <w:ind w:left="1400" w:right="0" w:firstLine="0"/>
        <w:jc w:val="left"/>
        <w:rPr>
          <w:b/>
          <w:sz w:val="15"/>
        </w:rPr>
      </w:pPr>
      <w:r>
        <w:rPr/>
        <w:pict>
          <v:rect style="position:absolute;margin-left:94.006287pt;margin-top:16.545494pt;width:276.800979pt;height:.698992pt;mso-position-horizontal-relative:page;mso-position-vertical-relative:paragraph;z-index:15744512" id="docshape122" filled="true" fillcolor="#000000" stroked="false">
            <v:fill type="solid"/>
            <w10:wrap type="none"/>
          </v:rect>
        </w:pict>
      </w:r>
      <w:r>
        <w:rPr/>
        <w:pict>
          <v:shape style="position:absolute;margin-left:375.700012pt;margin-top:16.545458pt;width:23.8pt;height:.7pt;mso-position-horizontal-relative:page;mso-position-vertical-relative:paragraph;z-index:15745024" id="docshape123" coordorigin="7514,331" coordsize="476,14" path="m7989,331l7808,331,7682,331,7514,331,7514,345,7682,345,7808,345,7989,345,7989,331xe" filled="true" fillcolor="#000000" stroked="false">
            <v:path arrowok="t"/>
            <v:fill type="solid"/>
            <w10:wrap type="none"/>
          </v:shape>
        </w:pict>
      </w:r>
      <w:r>
        <w:rPr/>
        <w:pict>
          <v:shape style="position:absolute;margin-left:403.659027pt;margin-top:16.545458pt;width:16.8pt;height:.7pt;mso-position-horizontal-relative:page;mso-position-vertical-relative:paragraph;z-index:15745536" id="docshape124" coordorigin="8073,331" coordsize="336,14" path="m8409,331l8283,331,8199,331,8073,331,8073,345,8199,345,8283,345,8409,345,8409,331xe" filled="true" fillcolor="#000000" stroked="false">
            <v:path arrowok="t"/>
            <v:fill type="solid"/>
            <w10:wrap type="none"/>
          </v:shape>
        </w:pict>
      </w:r>
      <w:r>
        <w:rPr/>
        <w:pict>
          <v:shape style="position:absolute;margin-left:424.629028pt;margin-top:16.545458pt;width:37.050pt;height:.7pt;mso-position-horizontal-relative:page;mso-position-vertical-relative:paragraph;z-index:15746048" id="docshape125" coordorigin="8493,331" coordsize="741,14" path="m9234,331l8912,331,8814,331,8493,331,8493,345,8814,345,8912,345,9234,345,9234,331xe" filled="true" fillcolor="#000000" stroked="false">
            <v:path arrowok="t"/>
            <v:fill type="solid"/>
            <w10:wrap type="none"/>
          </v:shape>
        </w:pict>
      </w:r>
      <w:r>
        <w:rPr/>
        <w:pict>
          <v:shape style="position:absolute;margin-left:465.870026pt;margin-top:16.545458pt;width:53.15pt;height:.7pt;mso-position-horizontal-relative:page;mso-position-vertical-relative:paragraph;z-index:15746560" id="docshape126" coordorigin="9317,331" coordsize="1063,14" path="m10380,331l9891,331,9807,331,9317,331,9317,345,9807,345,9891,345,10380,345,10380,331xe" filled="true" fillcolor="#000000" stroked="false">
            <v:path arrowok="t"/>
            <v:fill type="solid"/>
            <w10:wrap type="none"/>
          </v:shape>
        </w:pict>
      </w:r>
      <w:r>
        <w:rPr>
          <w:b/>
          <w:spacing w:val="-2"/>
          <w:sz w:val="15"/>
        </w:rPr>
        <w:t>Gender</w:t>
      </w:r>
      <w:r>
        <w:rPr>
          <w:b/>
          <w:sz w:val="15"/>
        </w:rPr>
        <w:tab/>
        <w:t>Female</w:t>
      </w:r>
      <w:r>
        <w:rPr>
          <w:b/>
          <w:spacing w:val="41"/>
          <w:sz w:val="15"/>
        </w:rPr>
        <w:t> </w:t>
      </w:r>
      <w:r>
        <w:rPr>
          <w:b/>
          <w:sz w:val="15"/>
        </w:rPr>
        <w:t>Male</w:t>
      </w:r>
      <w:r>
        <w:rPr>
          <w:b/>
          <w:spacing w:val="42"/>
          <w:sz w:val="15"/>
        </w:rPr>
        <w:t> </w:t>
      </w:r>
      <w:r>
        <w:rPr>
          <w:b/>
          <w:sz w:val="15"/>
        </w:rPr>
        <w:t>Non-Binary</w:t>
      </w:r>
      <w:r>
        <w:rPr>
          <w:b/>
          <w:spacing w:val="57"/>
          <w:sz w:val="15"/>
        </w:rPr>
        <w:t> </w:t>
      </w:r>
      <w:r>
        <w:rPr>
          <w:b/>
          <w:sz w:val="15"/>
        </w:rPr>
        <w:t>Did</w:t>
      </w:r>
      <w:r>
        <w:rPr>
          <w:b/>
          <w:spacing w:val="-9"/>
          <w:sz w:val="15"/>
        </w:rPr>
        <w:t> </w:t>
      </w:r>
      <w:r>
        <w:rPr>
          <w:b/>
          <w:sz w:val="15"/>
        </w:rPr>
        <w:t>Not</w:t>
      </w:r>
      <w:r>
        <w:rPr>
          <w:b/>
          <w:spacing w:val="-10"/>
          <w:sz w:val="15"/>
        </w:rPr>
        <w:t> </w:t>
      </w:r>
      <w:r>
        <w:rPr>
          <w:b/>
          <w:spacing w:val="-2"/>
          <w:sz w:val="15"/>
        </w:rPr>
        <w:t>Disclose</w:t>
      </w:r>
    </w:p>
    <w:p>
      <w:pPr>
        <w:pStyle w:val="BodyText"/>
        <w:tabs>
          <w:tab w:pos="7219" w:val="left" w:leader="none"/>
          <w:tab w:pos="7711" w:val="left" w:leader="none"/>
          <w:tab w:pos="8332" w:val="left" w:leader="none"/>
          <w:tab w:pos="9320" w:val="left" w:leader="none"/>
        </w:tabs>
        <w:spacing w:before="111"/>
        <w:ind w:left="1549"/>
      </w:pPr>
      <w:r>
        <w:rPr>
          <w:w w:val="105"/>
          <w:position w:val="1"/>
        </w:rPr>
        <w:t>Number</w:t>
      </w:r>
      <w:r>
        <w:rPr>
          <w:spacing w:val="10"/>
          <w:w w:val="105"/>
          <w:position w:val="1"/>
        </w:rPr>
        <w:t> </w:t>
      </w:r>
      <w:r>
        <w:rPr>
          <w:w w:val="105"/>
          <w:position w:val="1"/>
        </w:rPr>
        <w:t>of</w:t>
      </w:r>
      <w:r>
        <w:rPr>
          <w:spacing w:val="11"/>
          <w:w w:val="105"/>
          <w:position w:val="1"/>
        </w:rPr>
        <w:t> </w:t>
      </w:r>
      <w:r>
        <w:rPr>
          <w:w w:val="105"/>
          <w:position w:val="1"/>
        </w:rPr>
        <w:t>directors</w:t>
      </w:r>
      <w:r>
        <w:rPr>
          <w:spacing w:val="10"/>
          <w:w w:val="105"/>
          <w:position w:val="1"/>
        </w:rPr>
        <w:t> </w:t>
      </w:r>
      <w:r>
        <w:rPr>
          <w:w w:val="105"/>
          <w:position w:val="1"/>
        </w:rPr>
        <w:t>based</w:t>
      </w:r>
      <w:r>
        <w:rPr>
          <w:spacing w:val="11"/>
          <w:w w:val="105"/>
          <w:position w:val="1"/>
        </w:rPr>
        <w:t> </w:t>
      </w:r>
      <w:r>
        <w:rPr>
          <w:w w:val="105"/>
          <w:position w:val="1"/>
        </w:rPr>
        <w:t>on</w:t>
      </w:r>
      <w:r>
        <w:rPr>
          <w:spacing w:val="10"/>
          <w:w w:val="105"/>
          <w:position w:val="1"/>
        </w:rPr>
        <w:t> </w:t>
      </w:r>
      <w:r>
        <w:rPr>
          <w:w w:val="105"/>
          <w:position w:val="1"/>
        </w:rPr>
        <w:t>gender</w:t>
      </w:r>
      <w:r>
        <w:rPr>
          <w:spacing w:val="11"/>
          <w:w w:val="105"/>
          <w:position w:val="1"/>
        </w:rPr>
        <w:t> </w:t>
      </w:r>
      <w:r>
        <w:rPr>
          <w:spacing w:val="-2"/>
          <w:w w:val="105"/>
          <w:position w:val="1"/>
        </w:rPr>
        <w:t>identity</w:t>
      </w:r>
      <w:r>
        <w:rPr>
          <w:position w:val="1"/>
        </w:rPr>
        <w:tab/>
      </w:r>
      <w:r>
        <w:rPr>
          <w:spacing w:val="-10"/>
          <w:w w:val="105"/>
        </w:rPr>
        <w:t>3</w:t>
      </w:r>
      <w:r>
        <w:rPr/>
        <w:tab/>
      </w:r>
      <w:r>
        <w:rPr>
          <w:spacing w:val="-10"/>
          <w:w w:val="105"/>
        </w:rPr>
        <w:t>5</w:t>
      </w:r>
      <w:r>
        <w:rPr/>
        <w:tab/>
      </w:r>
      <w:r>
        <w:rPr>
          <w:spacing w:val="-10"/>
          <w:w w:val="105"/>
        </w:rPr>
        <w:t>0</w:t>
      </w:r>
      <w:r>
        <w:rPr/>
        <w:tab/>
      </w:r>
      <w:r>
        <w:rPr>
          <w:spacing w:val="-10"/>
          <w:w w:val="105"/>
        </w:rPr>
        <w:t>0</w:t>
      </w:r>
    </w:p>
    <w:p>
      <w:pPr>
        <w:spacing w:before="87"/>
        <w:ind w:left="1400" w:right="0" w:firstLine="0"/>
        <w:jc w:val="left"/>
        <w:rPr>
          <w:b/>
          <w:sz w:val="15"/>
        </w:rPr>
      </w:pPr>
      <w:r>
        <w:rPr>
          <w:b/>
          <w:spacing w:val="-4"/>
          <w:sz w:val="15"/>
        </w:rPr>
        <w:t>Number</w:t>
      </w:r>
      <w:r>
        <w:rPr>
          <w:b/>
          <w:spacing w:val="-5"/>
          <w:sz w:val="15"/>
        </w:rPr>
        <w:t> </w:t>
      </w:r>
      <w:r>
        <w:rPr>
          <w:b/>
          <w:spacing w:val="-4"/>
          <w:sz w:val="15"/>
        </w:rPr>
        <w:t>of</w:t>
      </w:r>
      <w:r>
        <w:rPr>
          <w:b/>
          <w:spacing w:val="-3"/>
          <w:sz w:val="15"/>
        </w:rPr>
        <w:t> </w:t>
      </w:r>
      <w:r>
        <w:rPr>
          <w:b/>
          <w:spacing w:val="-4"/>
          <w:sz w:val="15"/>
        </w:rPr>
        <w:t>directors</w:t>
      </w:r>
      <w:r>
        <w:rPr>
          <w:b/>
          <w:spacing w:val="-3"/>
          <w:sz w:val="15"/>
        </w:rPr>
        <w:t> </w:t>
      </w:r>
      <w:r>
        <w:rPr>
          <w:b/>
          <w:spacing w:val="-4"/>
          <w:sz w:val="15"/>
        </w:rPr>
        <w:t>who</w:t>
      </w:r>
      <w:r>
        <w:rPr>
          <w:b/>
          <w:spacing w:val="-2"/>
          <w:sz w:val="15"/>
        </w:rPr>
        <w:t> </w:t>
      </w:r>
      <w:r>
        <w:rPr>
          <w:b/>
          <w:spacing w:val="-4"/>
          <w:sz w:val="15"/>
        </w:rPr>
        <w:t>identify</w:t>
      </w:r>
      <w:r>
        <w:rPr>
          <w:b/>
          <w:spacing w:val="-3"/>
          <w:sz w:val="15"/>
        </w:rPr>
        <w:t> </w:t>
      </w:r>
      <w:r>
        <w:rPr>
          <w:b/>
          <w:spacing w:val="-4"/>
          <w:sz w:val="15"/>
        </w:rPr>
        <w:t>in</w:t>
      </w:r>
      <w:r>
        <w:rPr>
          <w:b/>
          <w:spacing w:val="-3"/>
          <w:sz w:val="15"/>
        </w:rPr>
        <w:t> </w:t>
      </w:r>
      <w:r>
        <w:rPr>
          <w:b/>
          <w:spacing w:val="-4"/>
          <w:sz w:val="15"/>
        </w:rPr>
        <w:t>any</w:t>
      </w:r>
      <w:r>
        <w:rPr>
          <w:b/>
          <w:spacing w:val="-2"/>
          <w:sz w:val="15"/>
        </w:rPr>
        <w:t> </w:t>
      </w:r>
      <w:r>
        <w:rPr>
          <w:b/>
          <w:spacing w:val="-4"/>
          <w:sz w:val="15"/>
        </w:rPr>
        <w:t>of</w:t>
      </w:r>
      <w:r>
        <w:rPr>
          <w:b/>
          <w:spacing w:val="-3"/>
          <w:sz w:val="15"/>
        </w:rPr>
        <w:t> </w:t>
      </w:r>
      <w:r>
        <w:rPr>
          <w:b/>
          <w:spacing w:val="-4"/>
          <w:sz w:val="15"/>
        </w:rPr>
        <w:t>the</w:t>
      </w:r>
      <w:r>
        <w:rPr>
          <w:b/>
          <w:spacing w:val="-3"/>
          <w:sz w:val="15"/>
        </w:rPr>
        <w:t> </w:t>
      </w:r>
      <w:r>
        <w:rPr>
          <w:b/>
          <w:spacing w:val="-4"/>
          <w:sz w:val="15"/>
        </w:rPr>
        <w:t>demographic</w:t>
      </w:r>
      <w:r>
        <w:rPr>
          <w:b/>
          <w:spacing w:val="-2"/>
          <w:sz w:val="15"/>
        </w:rPr>
        <w:t> </w:t>
      </w:r>
      <w:r>
        <w:rPr>
          <w:b/>
          <w:spacing w:val="-4"/>
          <w:sz w:val="15"/>
        </w:rPr>
        <w:t>categories</w:t>
      </w:r>
      <w:r>
        <w:rPr>
          <w:b/>
          <w:spacing w:val="-3"/>
          <w:sz w:val="15"/>
        </w:rPr>
        <w:t> </w:t>
      </w:r>
      <w:r>
        <w:rPr>
          <w:b/>
          <w:spacing w:val="-4"/>
          <w:sz w:val="15"/>
        </w:rPr>
        <w:t>below</w:t>
      </w:r>
    </w:p>
    <w:p>
      <w:pPr>
        <w:pStyle w:val="BodyText"/>
        <w:spacing w:before="3"/>
        <w:rPr>
          <w:b/>
          <w:sz w:val="6"/>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0"/>
        <w:gridCol w:w="1712"/>
        <w:gridCol w:w="549"/>
        <w:gridCol w:w="805"/>
        <w:gridCol w:w="1039"/>
      </w:tblGrid>
      <w:tr>
        <w:trPr>
          <w:trHeight w:val="286" w:hRule="atLeast"/>
        </w:trPr>
        <w:tc>
          <w:tcPr>
            <w:tcW w:w="4410" w:type="dxa"/>
            <w:tcBorders>
              <w:top w:val="single" w:sz="6" w:space="0" w:color="000000"/>
            </w:tcBorders>
          </w:tcPr>
          <w:p>
            <w:pPr>
              <w:pStyle w:val="TableParagraph"/>
              <w:spacing w:before="41"/>
              <w:ind w:left="186"/>
              <w:rPr>
                <w:sz w:val="18"/>
              </w:rPr>
            </w:pPr>
            <w:r>
              <w:rPr>
                <w:w w:val="105"/>
                <w:sz w:val="18"/>
              </w:rPr>
              <w:t>African</w:t>
            </w:r>
            <w:r>
              <w:rPr>
                <w:spacing w:val="-1"/>
                <w:w w:val="105"/>
                <w:sz w:val="18"/>
              </w:rPr>
              <w:t> </w:t>
            </w:r>
            <w:r>
              <w:rPr>
                <w:w w:val="105"/>
                <w:sz w:val="18"/>
              </w:rPr>
              <w:t>American</w:t>
            </w:r>
            <w:r>
              <w:rPr>
                <w:spacing w:val="12"/>
                <w:w w:val="105"/>
                <w:sz w:val="18"/>
              </w:rPr>
              <w:t> </w:t>
            </w:r>
            <w:r>
              <w:rPr>
                <w:w w:val="105"/>
                <w:sz w:val="18"/>
              </w:rPr>
              <w:t>or</w:t>
            </w:r>
            <w:r>
              <w:rPr>
                <w:spacing w:val="12"/>
                <w:w w:val="105"/>
                <w:sz w:val="18"/>
              </w:rPr>
              <w:t> </w:t>
            </w:r>
            <w:r>
              <w:rPr>
                <w:spacing w:val="-2"/>
                <w:w w:val="105"/>
                <w:sz w:val="18"/>
              </w:rPr>
              <w:t>Black</w:t>
            </w:r>
          </w:p>
        </w:tc>
        <w:tc>
          <w:tcPr>
            <w:tcW w:w="1712" w:type="dxa"/>
            <w:tcBorders>
              <w:top w:val="single" w:sz="6" w:space="0" w:color="000000"/>
            </w:tcBorders>
          </w:tcPr>
          <w:p>
            <w:pPr>
              <w:pStyle w:val="TableParagraph"/>
              <w:spacing w:before="41"/>
              <w:ind w:right="189"/>
              <w:jc w:val="right"/>
              <w:rPr>
                <w:sz w:val="18"/>
              </w:rPr>
            </w:pPr>
            <w:r>
              <w:rPr>
                <w:w w:val="103"/>
                <w:sz w:val="18"/>
              </w:rPr>
              <w:t>0</w:t>
            </w:r>
          </w:p>
        </w:tc>
        <w:tc>
          <w:tcPr>
            <w:tcW w:w="549" w:type="dxa"/>
            <w:tcBorders>
              <w:top w:val="single" w:sz="6" w:space="0" w:color="CCEDFF"/>
            </w:tcBorders>
          </w:tcPr>
          <w:p>
            <w:pPr>
              <w:pStyle w:val="TableParagraph"/>
              <w:spacing w:before="41"/>
              <w:ind w:left="191"/>
              <w:rPr>
                <w:sz w:val="18"/>
              </w:rPr>
            </w:pPr>
            <w:r>
              <w:rPr>
                <w:w w:val="103"/>
                <w:sz w:val="18"/>
              </w:rPr>
              <w:t>0</w:t>
            </w:r>
          </w:p>
        </w:tc>
        <w:tc>
          <w:tcPr>
            <w:tcW w:w="805" w:type="dxa"/>
            <w:tcBorders>
              <w:top w:val="single" w:sz="6" w:space="0" w:color="CCEDFF"/>
            </w:tcBorders>
          </w:tcPr>
          <w:p>
            <w:pPr>
              <w:pStyle w:val="TableParagraph"/>
              <w:spacing w:before="41"/>
              <w:ind w:left="263"/>
              <w:rPr>
                <w:sz w:val="18"/>
              </w:rPr>
            </w:pPr>
            <w:r>
              <w:rPr>
                <w:w w:val="103"/>
                <w:sz w:val="18"/>
              </w:rPr>
              <w:t>0</w:t>
            </w:r>
          </w:p>
        </w:tc>
        <w:tc>
          <w:tcPr>
            <w:tcW w:w="1039" w:type="dxa"/>
            <w:tcBorders>
              <w:top w:val="single" w:sz="6" w:space="0" w:color="CCEDFF"/>
            </w:tcBorders>
          </w:tcPr>
          <w:p>
            <w:pPr>
              <w:pStyle w:val="TableParagraph"/>
              <w:spacing w:before="41"/>
              <w:ind w:right="51"/>
              <w:jc w:val="center"/>
              <w:rPr>
                <w:sz w:val="18"/>
              </w:rPr>
            </w:pPr>
            <w:r>
              <w:rPr>
                <w:w w:val="103"/>
                <w:sz w:val="18"/>
              </w:rPr>
              <w:t>0</w:t>
            </w:r>
          </w:p>
        </w:tc>
      </w:tr>
      <w:tr>
        <w:trPr>
          <w:trHeight w:val="279" w:hRule="atLeast"/>
        </w:trPr>
        <w:tc>
          <w:tcPr>
            <w:tcW w:w="4410" w:type="dxa"/>
          </w:tcPr>
          <w:p>
            <w:pPr>
              <w:pStyle w:val="TableParagraph"/>
              <w:spacing w:before="34"/>
              <w:ind w:left="186"/>
              <w:rPr>
                <w:sz w:val="18"/>
              </w:rPr>
            </w:pPr>
            <w:r>
              <w:rPr>
                <w:w w:val="105"/>
                <w:sz w:val="18"/>
              </w:rPr>
              <w:t>Alaskan</w:t>
            </w:r>
            <w:r>
              <w:rPr>
                <w:spacing w:val="11"/>
                <w:w w:val="105"/>
                <w:sz w:val="18"/>
              </w:rPr>
              <w:t> </w:t>
            </w:r>
            <w:r>
              <w:rPr>
                <w:w w:val="105"/>
                <w:sz w:val="18"/>
              </w:rPr>
              <w:t>Native</w:t>
            </w:r>
            <w:r>
              <w:rPr>
                <w:spacing w:val="11"/>
                <w:w w:val="105"/>
                <w:sz w:val="18"/>
              </w:rPr>
              <w:t> </w:t>
            </w:r>
            <w:r>
              <w:rPr>
                <w:w w:val="105"/>
                <w:sz w:val="18"/>
              </w:rPr>
              <w:t>or</w:t>
            </w:r>
            <w:r>
              <w:rPr>
                <w:spacing w:val="11"/>
                <w:w w:val="105"/>
                <w:sz w:val="18"/>
              </w:rPr>
              <w:t> </w:t>
            </w:r>
            <w:r>
              <w:rPr>
                <w:w w:val="105"/>
                <w:sz w:val="18"/>
              </w:rPr>
              <w:t>Native </w:t>
            </w:r>
            <w:r>
              <w:rPr>
                <w:spacing w:val="-2"/>
                <w:w w:val="105"/>
                <w:sz w:val="18"/>
              </w:rPr>
              <w:t>American</w:t>
            </w:r>
          </w:p>
        </w:tc>
        <w:tc>
          <w:tcPr>
            <w:tcW w:w="1712" w:type="dxa"/>
          </w:tcPr>
          <w:p>
            <w:pPr>
              <w:pStyle w:val="TableParagraph"/>
              <w:spacing w:before="34"/>
              <w:ind w:right="189"/>
              <w:jc w:val="right"/>
              <w:rPr>
                <w:sz w:val="18"/>
              </w:rPr>
            </w:pPr>
            <w:r>
              <w:rPr>
                <w:w w:val="103"/>
                <w:sz w:val="18"/>
              </w:rPr>
              <w:t>0</w:t>
            </w:r>
          </w:p>
        </w:tc>
        <w:tc>
          <w:tcPr>
            <w:tcW w:w="549" w:type="dxa"/>
          </w:tcPr>
          <w:p>
            <w:pPr>
              <w:pStyle w:val="TableParagraph"/>
              <w:spacing w:before="34"/>
              <w:ind w:left="191"/>
              <w:rPr>
                <w:sz w:val="18"/>
              </w:rPr>
            </w:pPr>
            <w:r>
              <w:rPr>
                <w:w w:val="103"/>
                <w:sz w:val="18"/>
              </w:rPr>
              <w:t>0</w:t>
            </w:r>
          </w:p>
        </w:tc>
        <w:tc>
          <w:tcPr>
            <w:tcW w:w="805" w:type="dxa"/>
          </w:tcPr>
          <w:p>
            <w:pPr>
              <w:pStyle w:val="TableParagraph"/>
              <w:spacing w:before="34"/>
              <w:ind w:left="263"/>
              <w:rPr>
                <w:sz w:val="18"/>
              </w:rPr>
            </w:pPr>
            <w:r>
              <w:rPr>
                <w:w w:val="103"/>
                <w:sz w:val="18"/>
              </w:rPr>
              <w:t>0</w:t>
            </w:r>
          </w:p>
        </w:tc>
        <w:tc>
          <w:tcPr>
            <w:tcW w:w="1039" w:type="dxa"/>
          </w:tcPr>
          <w:p>
            <w:pPr>
              <w:pStyle w:val="TableParagraph"/>
              <w:spacing w:before="34"/>
              <w:ind w:right="51"/>
              <w:jc w:val="center"/>
              <w:rPr>
                <w:sz w:val="18"/>
              </w:rPr>
            </w:pPr>
            <w:r>
              <w:rPr>
                <w:w w:val="103"/>
                <w:sz w:val="18"/>
              </w:rPr>
              <w:t>0</w:t>
            </w:r>
          </w:p>
        </w:tc>
      </w:tr>
      <w:tr>
        <w:trPr>
          <w:trHeight w:val="279" w:hRule="atLeast"/>
        </w:trPr>
        <w:tc>
          <w:tcPr>
            <w:tcW w:w="4410" w:type="dxa"/>
          </w:tcPr>
          <w:p>
            <w:pPr>
              <w:pStyle w:val="TableParagraph"/>
              <w:spacing w:before="34"/>
              <w:ind w:left="186"/>
              <w:rPr>
                <w:sz w:val="18"/>
              </w:rPr>
            </w:pPr>
            <w:r>
              <w:rPr>
                <w:spacing w:val="-2"/>
                <w:w w:val="105"/>
                <w:sz w:val="18"/>
              </w:rPr>
              <w:t>Asian</w:t>
            </w:r>
          </w:p>
        </w:tc>
        <w:tc>
          <w:tcPr>
            <w:tcW w:w="1712" w:type="dxa"/>
          </w:tcPr>
          <w:p>
            <w:pPr>
              <w:pStyle w:val="TableParagraph"/>
              <w:spacing w:before="34"/>
              <w:ind w:right="189"/>
              <w:jc w:val="right"/>
              <w:rPr>
                <w:sz w:val="18"/>
              </w:rPr>
            </w:pPr>
            <w:r>
              <w:rPr>
                <w:w w:val="103"/>
                <w:sz w:val="18"/>
              </w:rPr>
              <w:t>0</w:t>
            </w:r>
          </w:p>
        </w:tc>
        <w:tc>
          <w:tcPr>
            <w:tcW w:w="549" w:type="dxa"/>
          </w:tcPr>
          <w:p>
            <w:pPr>
              <w:pStyle w:val="TableParagraph"/>
              <w:spacing w:before="34"/>
              <w:ind w:left="191"/>
              <w:rPr>
                <w:sz w:val="18"/>
              </w:rPr>
            </w:pPr>
            <w:r>
              <w:rPr>
                <w:w w:val="103"/>
                <w:sz w:val="18"/>
              </w:rPr>
              <w:t>1</w:t>
            </w:r>
          </w:p>
        </w:tc>
        <w:tc>
          <w:tcPr>
            <w:tcW w:w="805" w:type="dxa"/>
          </w:tcPr>
          <w:p>
            <w:pPr>
              <w:pStyle w:val="TableParagraph"/>
              <w:spacing w:before="34"/>
              <w:ind w:left="263"/>
              <w:rPr>
                <w:sz w:val="18"/>
              </w:rPr>
            </w:pPr>
            <w:r>
              <w:rPr>
                <w:w w:val="103"/>
                <w:sz w:val="18"/>
              </w:rPr>
              <w:t>0</w:t>
            </w:r>
          </w:p>
        </w:tc>
        <w:tc>
          <w:tcPr>
            <w:tcW w:w="1039" w:type="dxa"/>
          </w:tcPr>
          <w:p>
            <w:pPr>
              <w:pStyle w:val="TableParagraph"/>
              <w:spacing w:before="34"/>
              <w:ind w:right="51"/>
              <w:jc w:val="center"/>
              <w:rPr>
                <w:sz w:val="18"/>
              </w:rPr>
            </w:pPr>
            <w:r>
              <w:rPr>
                <w:w w:val="103"/>
                <w:sz w:val="18"/>
              </w:rPr>
              <w:t>0</w:t>
            </w:r>
          </w:p>
        </w:tc>
      </w:tr>
      <w:tr>
        <w:trPr>
          <w:trHeight w:val="279" w:hRule="atLeast"/>
        </w:trPr>
        <w:tc>
          <w:tcPr>
            <w:tcW w:w="4410" w:type="dxa"/>
          </w:tcPr>
          <w:p>
            <w:pPr>
              <w:pStyle w:val="TableParagraph"/>
              <w:spacing w:before="34"/>
              <w:ind w:left="186"/>
              <w:rPr>
                <w:sz w:val="18"/>
              </w:rPr>
            </w:pPr>
            <w:r>
              <w:rPr>
                <w:w w:val="105"/>
                <w:sz w:val="18"/>
              </w:rPr>
              <w:t>Hispanic</w:t>
            </w:r>
            <w:r>
              <w:rPr>
                <w:spacing w:val="10"/>
                <w:w w:val="105"/>
                <w:sz w:val="18"/>
              </w:rPr>
              <w:t> </w:t>
            </w:r>
            <w:r>
              <w:rPr>
                <w:w w:val="105"/>
                <w:sz w:val="18"/>
              </w:rPr>
              <w:t>or</w:t>
            </w:r>
            <w:r>
              <w:rPr>
                <w:spacing w:val="11"/>
                <w:w w:val="105"/>
                <w:sz w:val="18"/>
              </w:rPr>
              <w:t> </w:t>
            </w:r>
            <w:r>
              <w:rPr>
                <w:spacing w:val="-2"/>
                <w:w w:val="105"/>
                <w:sz w:val="18"/>
              </w:rPr>
              <w:t>Latinx</w:t>
            </w:r>
          </w:p>
        </w:tc>
        <w:tc>
          <w:tcPr>
            <w:tcW w:w="1712" w:type="dxa"/>
          </w:tcPr>
          <w:p>
            <w:pPr>
              <w:pStyle w:val="TableParagraph"/>
              <w:spacing w:before="34"/>
              <w:ind w:right="189"/>
              <w:jc w:val="right"/>
              <w:rPr>
                <w:sz w:val="18"/>
              </w:rPr>
            </w:pPr>
            <w:r>
              <w:rPr>
                <w:w w:val="103"/>
                <w:sz w:val="18"/>
              </w:rPr>
              <w:t>0</w:t>
            </w:r>
          </w:p>
        </w:tc>
        <w:tc>
          <w:tcPr>
            <w:tcW w:w="549" w:type="dxa"/>
          </w:tcPr>
          <w:p>
            <w:pPr>
              <w:pStyle w:val="TableParagraph"/>
              <w:spacing w:before="34"/>
              <w:ind w:left="191"/>
              <w:rPr>
                <w:sz w:val="18"/>
              </w:rPr>
            </w:pPr>
            <w:r>
              <w:rPr>
                <w:w w:val="103"/>
                <w:sz w:val="18"/>
              </w:rPr>
              <w:t>0</w:t>
            </w:r>
          </w:p>
        </w:tc>
        <w:tc>
          <w:tcPr>
            <w:tcW w:w="805" w:type="dxa"/>
          </w:tcPr>
          <w:p>
            <w:pPr>
              <w:pStyle w:val="TableParagraph"/>
              <w:spacing w:before="34"/>
              <w:ind w:left="263"/>
              <w:rPr>
                <w:sz w:val="18"/>
              </w:rPr>
            </w:pPr>
            <w:r>
              <w:rPr>
                <w:w w:val="103"/>
                <w:sz w:val="18"/>
              </w:rPr>
              <w:t>0</w:t>
            </w:r>
          </w:p>
        </w:tc>
        <w:tc>
          <w:tcPr>
            <w:tcW w:w="1039" w:type="dxa"/>
          </w:tcPr>
          <w:p>
            <w:pPr>
              <w:pStyle w:val="TableParagraph"/>
              <w:spacing w:before="34"/>
              <w:ind w:right="51"/>
              <w:jc w:val="center"/>
              <w:rPr>
                <w:sz w:val="18"/>
              </w:rPr>
            </w:pPr>
            <w:r>
              <w:rPr>
                <w:w w:val="103"/>
                <w:sz w:val="18"/>
              </w:rPr>
              <w:t>0</w:t>
            </w:r>
          </w:p>
        </w:tc>
      </w:tr>
      <w:tr>
        <w:trPr>
          <w:trHeight w:val="279" w:hRule="atLeast"/>
        </w:trPr>
        <w:tc>
          <w:tcPr>
            <w:tcW w:w="4410" w:type="dxa"/>
          </w:tcPr>
          <w:p>
            <w:pPr>
              <w:pStyle w:val="TableParagraph"/>
              <w:spacing w:before="34"/>
              <w:ind w:left="186"/>
              <w:rPr>
                <w:sz w:val="18"/>
              </w:rPr>
            </w:pPr>
            <w:r>
              <w:rPr>
                <w:w w:val="105"/>
                <w:sz w:val="18"/>
              </w:rPr>
              <w:t>Native</w:t>
            </w:r>
            <w:r>
              <w:rPr>
                <w:spacing w:val="11"/>
                <w:w w:val="105"/>
                <w:sz w:val="18"/>
              </w:rPr>
              <w:t> </w:t>
            </w:r>
            <w:r>
              <w:rPr>
                <w:w w:val="105"/>
                <w:sz w:val="18"/>
              </w:rPr>
              <w:t>Hawaiian</w:t>
            </w:r>
            <w:r>
              <w:rPr>
                <w:spacing w:val="12"/>
                <w:w w:val="105"/>
                <w:sz w:val="18"/>
              </w:rPr>
              <w:t> </w:t>
            </w:r>
            <w:r>
              <w:rPr>
                <w:w w:val="105"/>
                <w:sz w:val="18"/>
              </w:rPr>
              <w:t>or</w:t>
            </w:r>
            <w:r>
              <w:rPr>
                <w:spacing w:val="12"/>
                <w:w w:val="105"/>
                <w:sz w:val="18"/>
              </w:rPr>
              <w:t> </w:t>
            </w:r>
            <w:r>
              <w:rPr>
                <w:w w:val="105"/>
                <w:sz w:val="18"/>
              </w:rPr>
              <w:t>Pacific</w:t>
            </w:r>
            <w:r>
              <w:rPr>
                <w:spacing w:val="12"/>
                <w:w w:val="105"/>
                <w:sz w:val="18"/>
              </w:rPr>
              <w:t> </w:t>
            </w:r>
            <w:r>
              <w:rPr>
                <w:spacing w:val="-2"/>
                <w:w w:val="105"/>
                <w:sz w:val="18"/>
              </w:rPr>
              <w:t>Islander</w:t>
            </w:r>
          </w:p>
        </w:tc>
        <w:tc>
          <w:tcPr>
            <w:tcW w:w="1712" w:type="dxa"/>
          </w:tcPr>
          <w:p>
            <w:pPr>
              <w:pStyle w:val="TableParagraph"/>
              <w:spacing w:before="34"/>
              <w:ind w:right="189"/>
              <w:jc w:val="right"/>
              <w:rPr>
                <w:sz w:val="18"/>
              </w:rPr>
            </w:pPr>
            <w:r>
              <w:rPr>
                <w:w w:val="103"/>
                <w:sz w:val="18"/>
              </w:rPr>
              <w:t>0</w:t>
            </w:r>
          </w:p>
        </w:tc>
        <w:tc>
          <w:tcPr>
            <w:tcW w:w="549" w:type="dxa"/>
          </w:tcPr>
          <w:p>
            <w:pPr>
              <w:pStyle w:val="TableParagraph"/>
              <w:spacing w:before="34"/>
              <w:ind w:left="191"/>
              <w:rPr>
                <w:sz w:val="18"/>
              </w:rPr>
            </w:pPr>
            <w:r>
              <w:rPr>
                <w:w w:val="103"/>
                <w:sz w:val="18"/>
              </w:rPr>
              <w:t>0</w:t>
            </w:r>
          </w:p>
        </w:tc>
        <w:tc>
          <w:tcPr>
            <w:tcW w:w="805" w:type="dxa"/>
          </w:tcPr>
          <w:p>
            <w:pPr>
              <w:pStyle w:val="TableParagraph"/>
              <w:spacing w:before="34"/>
              <w:ind w:left="263"/>
              <w:rPr>
                <w:sz w:val="18"/>
              </w:rPr>
            </w:pPr>
            <w:r>
              <w:rPr>
                <w:w w:val="103"/>
                <w:sz w:val="18"/>
              </w:rPr>
              <w:t>0</w:t>
            </w:r>
          </w:p>
        </w:tc>
        <w:tc>
          <w:tcPr>
            <w:tcW w:w="1039" w:type="dxa"/>
          </w:tcPr>
          <w:p>
            <w:pPr>
              <w:pStyle w:val="TableParagraph"/>
              <w:spacing w:before="34"/>
              <w:ind w:right="51"/>
              <w:jc w:val="center"/>
              <w:rPr>
                <w:sz w:val="18"/>
              </w:rPr>
            </w:pPr>
            <w:r>
              <w:rPr>
                <w:w w:val="103"/>
                <w:sz w:val="18"/>
              </w:rPr>
              <w:t>0</w:t>
            </w:r>
          </w:p>
        </w:tc>
      </w:tr>
      <w:tr>
        <w:trPr>
          <w:trHeight w:val="279" w:hRule="atLeast"/>
        </w:trPr>
        <w:tc>
          <w:tcPr>
            <w:tcW w:w="4410" w:type="dxa"/>
          </w:tcPr>
          <w:p>
            <w:pPr>
              <w:pStyle w:val="TableParagraph"/>
              <w:spacing w:before="34"/>
              <w:ind w:left="186"/>
              <w:rPr>
                <w:sz w:val="18"/>
              </w:rPr>
            </w:pPr>
            <w:r>
              <w:rPr>
                <w:spacing w:val="-2"/>
                <w:w w:val="105"/>
                <w:sz w:val="18"/>
              </w:rPr>
              <w:t>White</w:t>
            </w:r>
          </w:p>
        </w:tc>
        <w:tc>
          <w:tcPr>
            <w:tcW w:w="1712" w:type="dxa"/>
          </w:tcPr>
          <w:p>
            <w:pPr>
              <w:pStyle w:val="TableParagraph"/>
              <w:spacing w:before="34"/>
              <w:ind w:right="189"/>
              <w:jc w:val="right"/>
              <w:rPr>
                <w:sz w:val="18"/>
              </w:rPr>
            </w:pPr>
            <w:r>
              <w:rPr>
                <w:w w:val="103"/>
                <w:sz w:val="18"/>
              </w:rPr>
              <w:t>3</w:t>
            </w:r>
          </w:p>
        </w:tc>
        <w:tc>
          <w:tcPr>
            <w:tcW w:w="549" w:type="dxa"/>
          </w:tcPr>
          <w:p>
            <w:pPr>
              <w:pStyle w:val="TableParagraph"/>
              <w:spacing w:before="34"/>
              <w:ind w:left="191"/>
              <w:rPr>
                <w:sz w:val="18"/>
              </w:rPr>
            </w:pPr>
            <w:r>
              <w:rPr>
                <w:w w:val="103"/>
                <w:sz w:val="18"/>
              </w:rPr>
              <w:t>4</w:t>
            </w:r>
          </w:p>
        </w:tc>
        <w:tc>
          <w:tcPr>
            <w:tcW w:w="805" w:type="dxa"/>
          </w:tcPr>
          <w:p>
            <w:pPr>
              <w:pStyle w:val="TableParagraph"/>
              <w:spacing w:before="34"/>
              <w:ind w:left="263"/>
              <w:rPr>
                <w:sz w:val="18"/>
              </w:rPr>
            </w:pPr>
            <w:r>
              <w:rPr>
                <w:w w:val="103"/>
                <w:sz w:val="18"/>
              </w:rPr>
              <w:t>0</w:t>
            </w:r>
          </w:p>
        </w:tc>
        <w:tc>
          <w:tcPr>
            <w:tcW w:w="1039" w:type="dxa"/>
          </w:tcPr>
          <w:p>
            <w:pPr>
              <w:pStyle w:val="TableParagraph"/>
              <w:spacing w:before="34"/>
              <w:ind w:right="51"/>
              <w:jc w:val="center"/>
              <w:rPr>
                <w:sz w:val="18"/>
              </w:rPr>
            </w:pPr>
            <w:r>
              <w:rPr>
                <w:w w:val="103"/>
                <w:sz w:val="18"/>
              </w:rPr>
              <w:t>0</w:t>
            </w:r>
          </w:p>
        </w:tc>
      </w:tr>
      <w:tr>
        <w:trPr>
          <w:trHeight w:val="279" w:hRule="atLeast"/>
        </w:trPr>
        <w:tc>
          <w:tcPr>
            <w:tcW w:w="4410" w:type="dxa"/>
          </w:tcPr>
          <w:p>
            <w:pPr>
              <w:pStyle w:val="TableParagraph"/>
              <w:spacing w:before="34"/>
              <w:ind w:left="186"/>
              <w:rPr>
                <w:sz w:val="18"/>
              </w:rPr>
            </w:pPr>
            <w:r>
              <w:rPr>
                <w:w w:val="105"/>
                <w:sz w:val="18"/>
              </w:rPr>
              <w:t>Two</w:t>
            </w:r>
            <w:r>
              <w:rPr>
                <w:spacing w:val="4"/>
                <w:w w:val="105"/>
                <w:sz w:val="18"/>
              </w:rPr>
              <w:t> </w:t>
            </w:r>
            <w:r>
              <w:rPr>
                <w:w w:val="105"/>
                <w:sz w:val="18"/>
              </w:rPr>
              <w:t>or</w:t>
            </w:r>
            <w:r>
              <w:rPr>
                <w:spacing w:val="5"/>
                <w:w w:val="105"/>
                <w:sz w:val="18"/>
              </w:rPr>
              <w:t> </w:t>
            </w:r>
            <w:r>
              <w:rPr>
                <w:w w:val="105"/>
                <w:sz w:val="18"/>
              </w:rPr>
              <w:t>More</w:t>
            </w:r>
            <w:r>
              <w:rPr>
                <w:spacing w:val="5"/>
                <w:w w:val="105"/>
                <w:sz w:val="18"/>
              </w:rPr>
              <w:t> </w:t>
            </w:r>
            <w:r>
              <w:rPr>
                <w:w w:val="105"/>
                <w:sz w:val="18"/>
              </w:rPr>
              <w:t>Races</w:t>
            </w:r>
            <w:r>
              <w:rPr>
                <w:spacing w:val="5"/>
                <w:w w:val="105"/>
                <w:sz w:val="18"/>
              </w:rPr>
              <w:t> </w:t>
            </w:r>
            <w:r>
              <w:rPr>
                <w:w w:val="105"/>
                <w:sz w:val="18"/>
              </w:rPr>
              <w:t>or</w:t>
            </w:r>
            <w:r>
              <w:rPr>
                <w:spacing w:val="5"/>
                <w:w w:val="105"/>
                <w:sz w:val="18"/>
              </w:rPr>
              <w:t> </w:t>
            </w:r>
            <w:r>
              <w:rPr>
                <w:spacing w:val="-2"/>
                <w:w w:val="105"/>
                <w:sz w:val="18"/>
              </w:rPr>
              <w:t>Ethnicities</w:t>
            </w:r>
          </w:p>
        </w:tc>
        <w:tc>
          <w:tcPr>
            <w:tcW w:w="1712" w:type="dxa"/>
          </w:tcPr>
          <w:p>
            <w:pPr>
              <w:pStyle w:val="TableParagraph"/>
              <w:spacing w:before="34"/>
              <w:ind w:right="189"/>
              <w:jc w:val="right"/>
              <w:rPr>
                <w:sz w:val="18"/>
              </w:rPr>
            </w:pPr>
            <w:r>
              <w:rPr>
                <w:w w:val="103"/>
                <w:sz w:val="18"/>
              </w:rPr>
              <w:t>0</w:t>
            </w:r>
          </w:p>
        </w:tc>
        <w:tc>
          <w:tcPr>
            <w:tcW w:w="549" w:type="dxa"/>
          </w:tcPr>
          <w:p>
            <w:pPr>
              <w:pStyle w:val="TableParagraph"/>
              <w:spacing w:before="34"/>
              <w:ind w:left="191"/>
              <w:rPr>
                <w:sz w:val="18"/>
              </w:rPr>
            </w:pPr>
            <w:r>
              <w:rPr>
                <w:w w:val="103"/>
                <w:sz w:val="18"/>
              </w:rPr>
              <w:t>0</w:t>
            </w:r>
          </w:p>
        </w:tc>
        <w:tc>
          <w:tcPr>
            <w:tcW w:w="805" w:type="dxa"/>
          </w:tcPr>
          <w:p>
            <w:pPr>
              <w:pStyle w:val="TableParagraph"/>
              <w:spacing w:before="34"/>
              <w:ind w:left="263"/>
              <w:rPr>
                <w:sz w:val="18"/>
              </w:rPr>
            </w:pPr>
            <w:r>
              <w:rPr>
                <w:w w:val="103"/>
                <w:sz w:val="18"/>
              </w:rPr>
              <w:t>0</w:t>
            </w:r>
          </w:p>
        </w:tc>
        <w:tc>
          <w:tcPr>
            <w:tcW w:w="1039" w:type="dxa"/>
          </w:tcPr>
          <w:p>
            <w:pPr>
              <w:pStyle w:val="TableParagraph"/>
              <w:spacing w:before="34"/>
              <w:ind w:right="51"/>
              <w:jc w:val="center"/>
              <w:rPr>
                <w:sz w:val="18"/>
              </w:rPr>
            </w:pPr>
            <w:r>
              <w:rPr>
                <w:w w:val="103"/>
                <w:sz w:val="18"/>
              </w:rPr>
              <w:t>0</w:t>
            </w:r>
          </w:p>
        </w:tc>
      </w:tr>
      <w:tr>
        <w:trPr>
          <w:trHeight w:val="242" w:hRule="atLeast"/>
        </w:trPr>
        <w:tc>
          <w:tcPr>
            <w:tcW w:w="4410" w:type="dxa"/>
          </w:tcPr>
          <w:p>
            <w:pPr>
              <w:pStyle w:val="TableParagraph"/>
              <w:spacing w:line="188" w:lineRule="exact" w:before="34"/>
              <w:ind w:left="186"/>
              <w:rPr>
                <w:sz w:val="18"/>
              </w:rPr>
            </w:pPr>
            <w:r>
              <w:rPr>
                <w:spacing w:val="-2"/>
                <w:w w:val="105"/>
                <w:sz w:val="18"/>
              </w:rPr>
              <w:t>LGBTQ+</w:t>
            </w:r>
          </w:p>
        </w:tc>
        <w:tc>
          <w:tcPr>
            <w:tcW w:w="1712" w:type="dxa"/>
          </w:tcPr>
          <w:p>
            <w:pPr>
              <w:pStyle w:val="TableParagraph"/>
              <w:spacing w:line="188" w:lineRule="exact" w:before="34"/>
              <w:ind w:right="189"/>
              <w:jc w:val="right"/>
              <w:rPr>
                <w:sz w:val="18"/>
              </w:rPr>
            </w:pPr>
            <w:r>
              <w:rPr>
                <w:w w:val="103"/>
                <w:sz w:val="18"/>
              </w:rPr>
              <w:t>0</w:t>
            </w:r>
          </w:p>
        </w:tc>
        <w:tc>
          <w:tcPr>
            <w:tcW w:w="549" w:type="dxa"/>
          </w:tcPr>
          <w:p>
            <w:pPr>
              <w:pStyle w:val="TableParagraph"/>
              <w:spacing w:line="188" w:lineRule="exact" w:before="34"/>
              <w:ind w:left="191"/>
              <w:rPr>
                <w:sz w:val="18"/>
              </w:rPr>
            </w:pPr>
            <w:r>
              <w:rPr>
                <w:w w:val="103"/>
                <w:sz w:val="18"/>
              </w:rPr>
              <w:t>0</w:t>
            </w:r>
          </w:p>
        </w:tc>
        <w:tc>
          <w:tcPr>
            <w:tcW w:w="805" w:type="dxa"/>
          </w:tcPr>
          <w:p>
            <w:pPr>
              <w:pStyle w:val="TableParagraph"/>
              <w:spacing w:line="188" w:lineRule="exact" w:before="34"/>
              <w:ind w:left="263"/>
              <w:rPr>
                <w:sz w:val="18"/>
              </w:rPr>
            </w:pPr>
            <w:r>
              <w:rPr>
                <w:w w:val="103"/>
                <w:sz w:val="18"/>
              </w:rPr>
              <w:t>0</w:t>
            </w:r>
          </w:p>
        </w:tc>
        <w:tc>
          <w:tcPr>
            <w:tcW w:w="1039" w:type="dxa"/>
          </w:tcPr>
          <w:p>
            <w:pPr>
              <w:pStyle w:val="TableParagraph"/>
              <w:spacing w:line="188" w:lineRule="exact" w:before="34"/>
              <w:ind w:right="51"/>
              <w:jc w:val="center"/>
              <w:rPr>
                <w:sz w:val="18"/>
              </w:rPr>
            </w:pPr>
            <w:r>
              <w:rPr>
                <w:w w:val="103"/>
                <w:sz w:val="18"/>
              </w:rPr>
              <w:t>0</w:t>
            </w:r>
          </w:p>
        </w:tc>
      </w:tr>
    </w:tbl>
    <w:p>
      <w:pPr>
        <w:pStyle w:val="BodyText"/>
        <w:spacing w:before="9"/>
        <w:rPr>
          <w:b/>
          <w:sz w:val="21"/>
        </w:rPr>
      </w:pPr>
    </w:p>
    <w:p>
      <w:pPr>
        <w:pStyle w:val="Heading2"/>
      </w:pPr>
      <w:bookmarkStart w:name="_TOC_250036" w:id="7"/>
      <w:r>
        <w:rPr/>
        <w:t>Governance</w:t>
      </w:r>
      <w:r>
        <w:rPr>
          <w:spacing w:val="-9"/>
        </w:rPr>
        <w:t> </w:t>
      </w:r>
      <w:r>
        <w:rPr/>
        <w:t>of</w:t>
      </w:r>
      <w:r>
        <w:rPr>
          <w:spacing w:val="-9"/>
        </w:rPr>
        <w:t> </w:t>
      </w:r>
      <w:r>
        <w:rPr/>
        <w:t>the</w:t>
      </w:r>
      <w:r>
        <w:rPr>
          <w:spacing w:val="-9"/>
        </w:rPr>
        <w:t> </w:t>
      </w:r>
      <w:bookmarkEnd w:id="7"/>
      <w:r>
        <w:rPr>
          <w:spacing w:val="-2"/>
        </w:rPr>
        <w:t>Company</w:t>
      </w:r>
    </w:p>
    <w:p>
      <w:pPr>
        <w:pStyle w:val="BodyText"/>
        <w:spacing w:before="10"/>
        <w:rPr>
          <w:b/>
          <w:sz w:val="20"/>
        </w:rPr>
      </w:pPr>
    </w:p>
    <w:p>
      <w:pPr>
        <w:spacing w:before="0"/>
        <w:ind w:left="1772" w:right="0" w:firstLine="0"/>
        <w:jc w:val="left"/>
        <w:rPr>
          <w:i/>
          <w:sz w:val="18"/>
        </w:rPr>
      </w:pPr>
      <w:r>
        <w:rPr>
          <w:i/>
          <w:spacing w:val="-2"/>
          <w:w w:val="105"/>
          <w:sz w:val="18"/>
        </w:rPr>
        <w:t>Overview</w:t>
      </w:r>
    </w:p>
    <w:p>
      <w:pPr>
        <w:pStyle w:val="BodyText"/>
        <w:spacing w:line="422" w:lineRule="auto" w:before="164"/>
        <w:ind w:left="1772" w:right="1680"/>
      </w:pPr>
      <w:r>
        <w:rPr>
          <w:w w:val="105"/>
        </w:rPr>
        <w:t>We are committed to strong corporate governance. Our governance policies and practices include: </w:t>
      </w:r>
      <w:r>
        <w:rPr>
          <w:w w:val="105"/>
          <w:u w:val="single"/>
        </w:rPr>
        <w:t>Ethical Conduct and Stron</w:t>
      </w:r>
      <w:r>
        <w:rPr>
          <w:w w:val="105"/>
        </w:rPr>
        <w:t>g</w:t>
      </w:r>
      <w:r>
        <w:rPr>
          <w:w w:val="105"/>
          <w:u w:val="single"/>
        </w:rPr>
        <w:t> Governance</w:t>
      </w:r>
    </w:p>
    <w:p>
      <w:pPr>
        <w:pStyle w:val="ListParagraph"/>
        <w:numPr>
          <w:ilvl w:val="0"/>
          <w:numId w:val="20"/>
        </w:numPr>
        <w:tabs>
          <w:tab w:pos="1960" w:val="left" w:leader="none"/>
        </w:tabs>
        <w:spacing w:line="259" w:lineRule="auto" w:before="0" w:after="0"/>
        <w:ind w:left="1959" w:right="1493" w:hanging="187"/>
        <w:jc w:val="left"/>
        <w:rPr>
          <w:sz w:val="18"/>
        </w:rPr>
      </w:pPr>
      <w:r>
        <w:rPr>
          <w:w w:val="105"/>
          <w:sz w:val="18"/>
        </w:rPr>
        <w:t>The Board’s Corporate Governance Guidelines articulate clear corporate governance policies, which include basic director duties and responsibilities.</w:t>
      </w:r>
    </w:p>
    <w:p>
      <w:pPr>
        <w:pStyle w:val="ListParagraph"/>
        <w:numPr>
          <w:ilvl w:val="0"/>
          <w:numId w:val="20"/>
        </w:numPr>
        <w:tabs>
          <w:tab w:pos="1960" w:val="left" w:leader="none"/>
        </w:tabs>
        <w:spacing w:line="259" w:lineRule="auto" w:before="117" w:after="0"/>
        <w:ind w:left="1959" w:right="1518" w:hanging="187"/>
        <w:jc w:val="left"/>
        <w:rPr>
          <w:sz w:val="18"/>
        </w:rPr>
      </w:pPr>
      <w:r>
        <w:rPr>
          <w:w w:val="105"/>
          <w:sz w:val="18"/>
        </w:rPr>
        <w:t>The</w:t>
      </w:r>
      <w:r>
        <w:rPr>
          <w:spacing w:val="27"/>
          <w:w w:val="105"/>
          <w:sz w:val="18"/>
        </w:rPr>
        <w:t> </w:t>
      </w:r>
      <w:r>
        <w:rPr>
          <w:w w:val="105"/>
          <w:sz w:val="18"/>
        </w:rPr>
        <w:t>fundamental</w:t>
      </w:r>
      <w:r>
        <w:rPr>
          <w:spacing w:val="27"/>
          <w:w w:val="105"/>
          <w:sz w:val="18"/>
        </w:rPr>
        <w:t> </w:t>
      </w:r>
      <w:r>
        <w:rPr>
          <w:w w:val="105"/>
          <w:sz w:val="18"/>
        </w:rPr>
        <w:t>responsibility</w:t>
      </w:r>
      <w:r>
        <w:rPr>
          <w:spacing w:val="27"/>
          <w:w w:val="105"/>
          <w:sz w:val="18"/>
        </w:rPr>
        <w:t> </w:t>
      </w:r>
      <w:r>
        <w:rPr>
          <w:w w:val="105"/>
          <w:sz w:val="18"/>
        </w:rPr>
        <w:t>of</w:t>
      </w:r>
      <w:r>
        <w:rPr>
          <w:spacing w:val="27"/>
          <w:w w:val="105"/>
          <w:sz w:val="18"/>
        </w:rPr>
        <w:t> </w:t>
      </w:r>
      <w:r>
        <w:rPr>
          <w:w w:val="105"/>
          <w:sz w:val="18"/>
        </w:rPr>
        <w:t>the</w:t>
      </w:r>
      <w:r>
        <w:rPr>
          <w:spacing w:val="27"/>
          <w:w w:val="105"/>
          <w:sz w:val="18"/>
        </w:rPr>
        <w:t> </w:t>
      </w:r>
      <w:r>
        <w:rPr>
          <w:w w:val="105"/>
          <w:sz w:val="18"/>
        </w:rPr>
        <w:t>Board</w:t>
      </w:r>
      <w:r>
        <w:rPr>
          <w:spacing w:val="27"/>
          <w:w w:val="105"/>
          <w:sz w:val="18"/>
        </w:rPr>
        <w:t> </w:t>
      </w:r>
      <w:r>
        <w:rPr>
          <w:w w:val="105"/>
          <w:sz w:val="18"/>
        </w:rPr>
        <w:t>is</w:t>
      </w:r>
      <w:r>
        <w:rPr>
          <w:spacing w:val="27"/>
          <w:w w:val="105"/>
          <w:sz w:val="18"/>
        </w:rPr>
        <w:t> </w:t>
      </w:r>
      <w:r>
        <w:rPr>
          <w:w w:val="105"/>
          <w:sz w:val="18"/>
        </w:rPr>
        <w:t>to</w:t>
      </w:r>
      <w:r>
        <w:rPr>
          <w:spacing w:val="27"/>
          <w:w w:val="105"/>
          <w:sz w:val="18"/>
        </w:rPr>
        <w:t> </w:t>
      </w:r>
      <w:r>
        <w:rPr>
          <w:w w:val="105"/>
          <w:sz w:val="18"/>
        </w:rPr>
        <w:t>represent</w:t>
      </w:r>
      <w:r>
        <w:rPr>
          <w:spacing w:val="27"/>
          <w:w w:val="105"/>
          <w:sz w:val="18"/>
        </w:rPr>
        <w:t> </w:t>
      </w:r>
      <w:r>
        <w:rPr>
          <w:w w:val="105"/>
          <w:sz w:val="18"/>
        </w:rPr>
        <w:t>the</w:t>
      </w:r>
      <w:r>
        <w:rPr>
          <w:spacing w:val="27"/>
          <w:w w:val="105"/>
          <w:sz w:val="18"/>
        </w:rPr>
        <w:t> </w:t>
      </w:r>
      <w:r>
        <w:rPr>
          <w:w w:val="105"/>
          <w:sz w:val="18"/>
        </w:rPr>
        <w:t>interests</w:t>
      </w:r>
      <w:r>
        <w:rPr>
          <w:spacing w:val="27"/>
          <w:w w:val="105"/>
          <w:sz w:val="18"/>
        </w:rPr>
        <w:t> </w:t>
      </w:r>
      <w:r>
        <w:rPr>
          <w:w w:val="105"/>
          <w:sz w:val="18"/>
        </w:rPr>
        <w:t>of</w:t>
      </w:r>
      <w:r>
        <w:rPr>
          <w:spacing w:val="27"/>
          <w:w w:val="105"/>
          <w:sz w:val="18"/>
        </w:rPr>
        <w:t> </w:t>
      </w:r>
      <w:r>
        <w:rPr>
          <w:w w:val="105"/>
          <w:sz w:val="18"/>
        </w:rPr>
        <w:t>our</w:t>
      </w:r>
      <w:r>
        <w:rPr>
          <w:spacing w:val="27"/>
          <w:w w:val="105"/>
          <w:sz w:val="18"/>
        </w:rPr>
        <w:t> </w:t>
      </w:r>
      <w:r>
        <w:rPr>
          <w:w w:val="105"/>
          <w:sz w:val="18"/>
        </w:rPr>
        <w:t>stockholders. However, in carrying out this responsibility, the Board may take into consideration the interests of other stakeholders. In fulfilling its responsibilities, the Board performs the following principal functions:</w:t>
      </w:r>
      <w:r>
        <w:rPr>
          <w:spacing w:val="33"/>
          <w:w w:val="105"/>
          <w:sz w:val="18"/>
        </w:rPr>
        <w:t> </w:t>
      </w:r>
      <w:r>
        <w:rPr>
          <w:w w:val="105"/>
          <w:sz w:val="18"/>
        </w:rPr>
        <w:t>(i)</w:t>
      </w:r>
      <w:r>
        <w:rPr>
          <w:spacing w:val="33"/>
          <w:w w:val="105"/>
          <w:sz w:val="18"/>
        </w:rPr>
        <w:t> </w:t>
      </w:r>
      <w:r>
        <w:rPr>
          <w:w w:val="105"/>
          <w:sz w:val="18"/>
        </w:rPr>
        <w:t>selecting,</w:t>
      </w:r>
      <w:r>
        <w:rPr>
          <w:spacing w:val="33"/>
          <w:w w:val="105"/>
          <w:sz w:val="18"/>
        </w:rPr>
        <w:t> </w:t>
      </w:r>
      <w:r>
        <w:rPr>
          <w:w w:val="105"/>
          <w:sz w:val="18"/>
        </w:rPr>
        <w:t>evaluating,</w:t>
      </w:r>
      <w:r>
        <w:rPr>
          <w:spacing w:val="33"/>
          <w:w w:val="105"/>
          <w:sz w:val="18"/>
        </w:rPr>
        <w:t> </w:t>
      </w:r>
      <w:r>
        <w:rPr>
          <w:w w:val="105"/>
          <w:sz w:val="18"/>
        </w:rPr>
        <w:t>compensating</w:t>
      </w:r>
      <w:r>
        <w:rPr>
          <w:spacing w:val="33"/>
          <w:w w:val="105"/>
          <w:sz w:val="18"/>
        </w:rPr>
        <w:t> </w:t>
      </w:r>
      <w:r>
        <w:rPr>
          <w:w w:val="105"/>
          <w:sz w:val="18"/>
        </w:rPr>
        <w:t>and,</w:t>
      </w:r>
      <w:r>
        <w:rPr>
          <w:spacing w:val="33"/>
          <w:w w:val="105"/>
          <w:sz w:val="18"/>
        </w:rPr>
        <w:t> </w:t>
      </w:r>
      <w:r>
        <w:rPr>
          <w:w w:val="105"/>
          <w:sz w:val="18"/>
        </w:rPr>
        <w:t>where</w:t>
      </w:r>
      <w:r>
        <w:rPr>
          <w:spacing w:val="33"/>
          <w:w w:val="105"/>
          <w:sz w:val="18"/>
        </w:rPr>
        <w:t> </w:t>
      </w:r>
      <w:r>
        <w:rPr>
          <w:w w:val="105"/>
          <w:sz w:val="18"/>
        </w:rPr>
        <w:t>necessary,</w:t>
      </w:r>
      <w:r>
        <w:rPr>
          <w:spacing w:val="33"/>
          <w:w w:val="105"/>
          <w:sz w:val="18"/>
        </w:rPr>
        <w:t> </w:t>
      </w:r>
      <w:r>
        <w:rPr>
          <w:w w:val="105"/>
          <w:sz w:val="18"/>
        </w:rPr>
        <w:t>replacing</w:t>
      </w:r>
      <w:r>
        <w:rPr>
          <w:spacing w:val="33"/>
          <w:w w:val="105"/>
          <w:sz w:val="18"/>
        </w:rPr>
        <w:t> </w:t>
      </w:r>
      <w:r>
        <w:rPr>
          <w:w w:val="105"/>
          <w:sz w:val="18"/>
        </w:rPr>
        <w:t>our</w:t>
      </w:r>
      <w:r>
        <w:rPr>
          <w:spacing w:val="33"/>
          <w:w w:val="105"/>
          <w:sz w:val="18"/>
        </w:rPr>
        <w:t> </w:t>
      </w:r>
      <w:r>
        <w:rPr>
          <w:w w:val="105"/>
          <w:sz w:val="18"/>
        </w:rPr>
        <w:t>Chief Executive Officer and other executive officers; (ii) approving corporate strategy, annual operating budgets, mergers and acquisitions over a certain threshold and significant financings; (iii) providing</w:t>
      </w:r>
      <w:r>
        <w:rPr>
          <w:spacing w:val="40"/>
          <w:w w:val="105"/>
          <w:sz w:val="18"/>
        </w:rPr>
        <w:t> </w:t>
      </w:r>
      <w:r>
        <w:rPr>
          <w:spacing w:val="-2"/>
          <w:w w:val="105"/>
          <w:sz w:val="18"/>
        </w:rPr>
        <w:t>general</w:t>
      </w:r>
    </w:p>
    <w:p>
      <w:pPr>
        <w:spacing w:after="0" w:line="259" w:lineRule="auto"/>
        <w:jc w:val="left"/>
        <w:rPr>
          <w:sz w:val="18"/>
        </w:rPr>
        <w:sectPr>
          <w:headerReference w:type="default" r:id="rId61"/>
          <w:footerReference w:type="default" r:id="rId62"/>
          <w:pgSz w:w="12240" w:h="15840"/>
          <w:pgMar w:header="0" w:footer="939" w:top="500" w:bottom="112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127" coordorigin="0,0" coordsize="11100,28">
            <v:rect style="position:absolute;left:0;top:0;width:11100;height:14" id="docshape128" filled="true" fillcolor="#999999" stroked="false">
              <v:fill type="solid"/>
            </v:rect>
            <v:shape style="position:absolute;left:-1;top:0;width:11100;height:28" id="docshape129" coordorigin="0,0" coordsize="11100,28" path="m11100,0l11086,14,0,14,0,28,11086,28,11100,28,11100,14,11100,0xe" filled="true" fillcolor="#ededed" stroked="false">
              <v:path arrowok="t"/>
              <v:fill type="solid"/>
            </v:shape>
            <v:shape style="position:absolute;left:0;top:0;width:14;height:28" id="docshape130"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63"/>
          <w:footerReference w:type="default" r:id="rId64"/>
          <w:pgSz w:w="12240" w:h="15840"/>
          <w:pgMar w:header="0" w:footer="0" w:top="58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BodyText"/>
        <w:spacing w:line="259" w:lineRule="auto" w:before="98"/>
        <w:ind w:left="1959" w:right="1551"/>
      </w:pPr>
      <w:r>
        <w:rPr>
          <w:w w:val="105"/>
        </w:rPr>
        <w:t>oversight of our business; (iv) evaluating and establishing Board processes, performance and compensation; (v) selecting directors; and (vi) monitoring legal and ethical conduct.</w:t>
      </w:r>
    </w:p>
    <w:p>
      <w:pPr>
        <w:pStyle w:val="ListParagraph"/>
        <w:numPr>
          <w:ilvl w:val="0"/>
          <w:numId w:val="20"/>
        </w:numPr>
        <w:tabs>
          <w:tab w:pos="1960" w:val="left" w:leader="none"/>
        </w:tabs>
        <w:spacing w:line="259" w:lineRule="auto" w:before="98" w:after="0"/>
        <w:ind w:left="1959" w:right="1584" w:hanging="187"/>
        <w:jc w:val="left"/>
        <w:rPr>
          <w:sz w:val="18"/>
        </w:rPr>
      </w:pPr>
      <w:r>
        <w:rPr>
          <w:w w:val="105"/>
          <w:sz w:val="18"/>
        </w:rPr>
        <w:t>The Board has adopted a Code of Conduct applicable to all our employees, including our executive officers, and to our directors.</w:t>
      </w:r>
    </w:p>
    <w:p>
      <w:pPr>
        <w:pStyle w:val="ListParagraph"/>
        <w:numPr>
          <w:ilvl w:val="0"/>
          <w:numId w:val="20"/>
        </w:numPr>
        <w:tabs>
          <w:tab w:pos="1960" w:val="left" w:leader="none"/>
        </w:tabs>
        <w:spacing w:line="259" w:lineRule="auto" w:before="112" w:after="0"/>
        <w:ind w:left="1959" w:right="1486" w:hanging="187"/>
        <w:jc w:val="left"/>
        <w:rPr>
          <w:sz w:val="18"/>
        </w:rPr>
      </w:pPr>
      <w:r>
        <w:rPr>
          <w:w w:val="105"/>
          <w:sz w:val="18"/>
        </w:rPr>
        <w:t>We have a hotline for employees to report concerns regarding ethics and financial matters, including accounting, internal controls, and audit concerns, and have established procedures for anonymous submission of these matters.</w:t>
      </w:r>
    </w:p>
    <w:p>
      <w:pPr>
        <w:pStyle w:val="ListParagraph"/>
        <w:numPr>
          <w:ilvl w:val="0"/>
          <w:numId w:val="20"/>
        </w:numPr>
        <w:tabs>
          <w:tab w:pos="1960" w:val="left" w:leader="none"/>
        </w:tabs>
        <w:spacing w:line="259" w:lineRule="auto" w:before="112" w:after="0"/>
        <w:ind w:left="1959" w:right="1461" w:hanging="187"/>
        <w:jc w:val="left"/>
        <w:rPr>
          <w:sz w:val="18"/>
        </w:rPr>
      </w:pPr>
      <w:r>
        <w:rPr>
          <w:w w:val="105"/>
          <w:sz w:val="18"/>
        </w:rPr>
        <w:t>Each director is responsible for disclosing to the Nominating Committee and General Counsel</w:t>
      </w:r>
      <w:r>
        <w:rPr>
          <w:spacing w:val="40"/>
          <w:w w:val="105"/>
          <w:sz w:val="18"/>
        </w:rPr>
        <w:t> </w:t>
      </w:r>
      <w:r>
        <w:rPr>
          <w:w w:val="105"/>
          <w:sz w:val="18"/>
        </w:rPr>
        <w:t>situations</w:t>
      </w:r>
      <w:r>
        <w:rPr>
          <w:spacing w:val="24"/>
          <w:w w:val="105"/>
          <w:sz w:val="18"/>
        </w:rPr>
        <w:t> </w:t>
      </w:r>
      <w:r>
        <w:rPr>
          <w:w w:val="105"/>
          <w:sz w:val="18"/>
        </w:rPr>
        <w:t>that</w:t>
      </w:r>
      <w:r>
        <w:rPr>
          <w:spacing w:val="24"/>
          <w:w w:val="105"/>
          <w:sz w:val="18"/>
        </w:rPr>
        <w:t> </w:t>
      </w:r>
      <w:r>
        <w:rPr>
          <w:w w:val="105"/>
          <w:sz w:val="18"/>
        </w:rPr>
        <w:t>he</w:t>
      </w:r>
      <w:r>
        <w:rPr>
          <w:spacing w:val="23"/>
          <w:w w:val="105"/>
          <w:sz w:val="18"/>
        </w:rPr>
        <w:t> </w:t>
      </w:r>
      <w:r>
        <w:rPr>
          <w:w w:val="105"/>
          <w:sz w:val="18"/>
        </w:rPr>
        <w:t>or</w:t>
      </w:r>
      <w:r>
        <w:rPr>
          <w:spacing w:val="24"/>
          <w:w w:val="105"/>
          <w:sz w:val="18"/>
        </w:rPr>
        <w:t> </w:t>
      </w:r>
      <w:r>
        <w:rPr>
          <w:w w:val="105"/>
          <w:sz w:val="18"/>
        </w:rPr>
        <w:t>she</w:t>
      </w:r>
      <w:r>
        <w:rPr>
          <w:spacing w:val="24"/>
          <w:w w:val="105"/>
          <w:sz w:val="18"/>
        </w:rPr>
        <w:t> </w:t>
      </w:r>
      <w:r>
        <w:rPr>
          <w:w w:val="105"/>
          <w:sz w:val="18"/>
        </w:rPr>
        <w:t>reasonably</w:t>
      </w:r>
      <w:r>
        <w:rPr>
          <w:spacing w:val="23"/>
          <w:w w:val="105"/>
          <w:sz w:val="18"/>
        </w:rPr>
        <w:t> </w:t>
      </w:r>
      <w:r>
        <w:rPr>
          <w:w w:val="105"/>
          <w:sz w:val="18"/>
        </w:rPr>
        <w:t>believes</w:t>
      </w:r>
      <w:r>
        <w:rPr>
          <w:spacing w:val="24"/>
          <w:w w:val="105"/>
          <w:sz w:val="18"/>
        </w:rPr>
        <w:t> </w:t>
      </w:r>
      <w:r>
        <w:rPr>
          <w:w w:val="105"/>
          <w:sz w:val="18"/>
        </w:rPr>
        <w:t>give</w:t>
      </w:r>
      <w:r>
        <w:rPr>
          <w:spacing w:val="24"/>
          <w:w w:val="105"/>
          <w:sz w:val="18"/>
        </w:rPr>
        <w:t> </w:t>
      </w:r>
      <w:r>
        <w:rPr>
          <w:w w:val="105"/>
          <w:sz w:val="18"/>
        </w:rPr>
        <w:t>rise</w:t>
      </w:r>
      <w:r>
        <w:rPr>
          <w:spacing w:val="23"/>
          <w:w w:val="105"/>
          <w:sz w:val="18"/>
        </w:rPr>
        <w:t> </w:t>
      </w:r>
      <w:r>
        <w:rPr>
          <w:w w:val="105"/>
          <w:sz w:val="18"/>
        </w:rPr>
        <w:t>to</w:t>
      </w:r>
      <w:r>
        <w:rPr>
          <w:spacing w:val="24"/>
          <w:w w:val="105"/>
          <w:sz w:val="18"/>
        </w:rPr>
        <w:t> </w:t>
      </w:r>
      <w:r>
        <w:rPr>
          <w:w w:val="105"/>
          <w:sz w:val="18"/>
        </w:rPr>
        <w:t>a</w:t>
      </w:r>
      <w:r>
        <w:rPr>
          <w:spacing w:val="24"/>
          <w:w w:val="105"/>
          <w:sz w:val="18"/>
        </w:rPr>
        <w:t> </w:t>
      </w:r>
      <w:r>
        <w:rPr>
          <w:w w:val="105"/>
          <w:sz w:val="18"/>
        </w:rPr>
        <w:t>potential</w:t>
      </w:r>
      <w:r>
        <w:rPr>
          <w:spacing w:val="23"/>
          <w:w w:val="105"/>
          <w:sz w:val="18"/>
        </w:rPr>
        <w:t> </w:t>
      </w:r>
      <w:r>
        <w:rPr>
          <w:w w:val="105"/>
          <w:sz w:val="18"/>
        </w:rPr>
        <w:t>conflict</w:t>
      </w:r>
      <w:r>
        <w:rPr>
          <w:spacing w:val="24"/>
          <w:w w:val="105"/>
          <w:sz w:val="18"/>
        </w:rPr>
        <w:t> </w:t>
      </w:r>
      <w:r>
        <w:rPr>
          <w:w w:val="105"/>
          <w:sz w:val="18"/>
        </w:rPr>
        <w:t>of</w:t>
      </w:r>
      <w:r>
        <w:rPr>
          <w:spacing w:val="24"/>
          <w:w w:val="105"/>
          <w:sz w:val="18"/>
        </w:rPr>
        <w:t> </w:t>
      </w:r>
      <w:r>
        <w:rPr>
          <w:w w:val="105"/>
          <w:sz w:val="18"/>
        </w:rPr>
        <w:t>interest</w:t>
      </w:r>
      <w:r>
        <w:rPr>
          <w:spacing w:val="23"/>
          <w:w w:val="105"/>
          <w:sz w:val="18"/>
        </w:rPr>
        <w:t> </w:t>
      </w:r>
      <w:r>
        <w:rPr>
          <w:w w:val="105"/>
          <w:sz w:val="18"/>
        </w:rPr>
        <w:t>or</w:t>
      </w:r>
      <w:r>
        <w:rPr>
          <w:spacing w:val="24"/>
          <w:w w:val="105"/>
          <w:sz w:val="18"/>
        </w:rPr>
        <w:t> </w:t>
      </w:r>
      <w:r>
        <w:rPr>
          <w:w w:val="105"/>
          <w:sz w:val="18"/>
        </w:rPr>
        <w:t>related person transaction. The Board, upon recommendation of the Nominating Committee and after consultation with legal counsel, determines on a case-by-case basis or where it deems appropriate by</w:t>
      </w:r>
      <w:r>
        <w:rPr>
          <w:spacing w:val="40"/>
          <w:w w:val="105"/>
          <w:sz w:val="18"/>
        </w:rPr>
        <w:t> </w:t>
      </w:r>
      <w:r>
        <w:rPr>
          <w:w w:val="105"/>
          <w:sz w:val="18"/>
        </w:rPr>
        <w:t>specific</w:t>
      </w:r>
      <w:r>
        <w:rPr>
          <w:spacing w:val="20"/>
          <w:w w:val="105"/>
          <w:sz w:val="18"/>
        </w:rPr>
        <w:t> </w:t>
      </w:r>
      <w:r>
        <w:rPr>
          <w:w w:val="105"/>
          <w:sz w:val="18"/>
        </w:rPr>
        <w:t>category</w:t>
      </w:r>
      <w:r>
        <w:rPr>
          <w:spacing w:val="20"/>
          <w:w w:val="105"/>
          <w:sz w:val="18"/>
        </w:rPr>
        <w:t> </w:t>
      </w:r>
      <w:r>
        <w:rPr>
          <w:w w:val="105"/>
          <w:sz w:val="18"/>
        </w:rPr>
        <w:t>whether</w:t>
      </w:r>
      <w:r>
        <w:rPr>
          <w:spacing w:val="20"/>
          <w:w w:val="105"/>
          <w:sz w:val="18"/>
        </w:rPr>
        <w:t> </w:t>
      </w:r>
      <w:r>
        <w:rPr>
          <w:w w:val="105"/>
          <w:sz w:val="18"/>
        </w:rPr>
        <w:t>such</w:t>
      </w:r>
      <w:r>
        <w:rPr>
          <w:spacing w:val="20"/>
          <w:w w:val="105"/>
          <w:sz w:val="18"/>
        </w:rPr>
        <w:t> </w:t>
      </w:r>
      <w:r>
        <w:rPr>
          <w:w w:val="105"/>
          <w:sz w:val="18"/>
        </w:rPr>
        <w:t>a</w:t>
      </w:r>
      <w:r>
        <w:rPr>
          <w:spacing w:val="20"/>
          <w:w w:val="105"/>
          <w:sz w:val="18"/>
        </w:rPr>
        <w:t> </w:t>
      </w:r>
      <w:r>
        <w:rPr>
          <w:w w:val="105"/>
          <w:sz w:val="18"/>
        </w:rPr>
        <w:t>conflict</w:t>
      </w:r>
      <w:r>
        <w:rPr>
          <w:spacing w:val="20"/>
          <w:w w:val="105"/>
          <w:sz w:val="18"/>
        </w:rPr>
        <w:t> </w:t>
      </w:r>
      <w:r>
        <w:rPr>
          <w:w w:val="105"/>
          <w:sz w:val="18"/>
        </w:rPr>
        <w:t>of</w:t>
      </w:r>
      <w:r>
        <w:rPr>
          <w:spacing w:val="20"/>
          <w:w w:val="105"/>
          <w:sz w:val="18"/>
        </w:rPr>
        <w:t> </w:t>
      </w:r>
      <w:r>
        <w:rPr>
          <w:w w:val="105"/>
          <w:sz w:val="18"/>
        </w:rPr>
        <w:t>interest</w:t>
      </w:r>
      <w:r>
        <w:rPr>
          <w:spacing w:val="20"/>
          <w:w w:val="105"/>
          <w:sz w:val="18"/>
        </w:rPr>
        <w:t> </w:t>
      </w:r>
      <w:r>
        <w:rPr>
          <w:w w:val="105"/>
          <w:sz w:val="18"/>
        </w:rPr>
        <w:t>or</w:t>
      </w:r>
      <w:r>
        <w:rPr>
          <w:spacing w:val="20"/>
          <w:w w:val="105"/>
          <w:sz w:val="18"/>
        </w:rPr>
        <w:t> </w:t>
      </w:r>
      <w:r>
        <w:rPr>
          <w:w w:val="105"/>
          <w:sz w:val="18"/>
        </w:rPr>
        <w:t>related</w:t>
      </w:r>
      <w:r>
        <w:rPr>
          <w:spacing w:val="20"/>
          <w:w w:val="105"/>
          <w:sz w:val="18"/>
        </w:rPr>
        <w:t> </w:t>
      </w:r>
      <w:r>
        <w:rPr>
          <w:w w:val="105"/>
          <w:sz w:val="18"/>
        </w:rPr>
        <w:t>person</w:t>
      </w:r>
      <w:r>
        <w:rPr>
          <w:spacing w:val="20"/>
          <w:w w:val="105"/>
          <w:sz w:val="18"/>
        </w:rPr>
        <w:t> </w:t>
      </w:r>
      <w:r>
        <w:rPr>
          <w:w w:val="105"/>
          <w:sz w:val="18"/>
        </w:rPr>
        <w:t>transaction</w:t>
      </w:r>
      <w:r>
        <w:rPr>
          <w:spacing w:val="20"/>
          <w:w w:val="105"/>
          <w:sz w:val="18"/>
        </w:rPr>
        <w:t> </w:t>
      </w:r>
      <w:r>
        <w:rPr>
          <w:w w:val="105"/>
          <w:sz w:val="18"/>
        </w:rPr>
        <w:t>exists.</w:t>
      </w:r>
      <w:r>
        <w:rPr>
          <w:spacing w:val="20"/>
          <w:w w:val="105"/>
          <w:sz w:val="18"/>
        </w:rPr>
        <w:t> </w:t>
      </w:r>
      <w:r>
        <w:rPr>
          <w:w w:val="105"/>
          <w:sz w:val="18"/>
        </w:rPr>
        <w:t>Please</w:t>
      </w:r>
      <w:r>
        <w:rPr>
          <w:spacing w:val="20"/>
          <w:w w:val="105"/>
          <w:sz w:val="18"/>
        </w:rPr>
        <w:t> </w:t>
      </w:r>
      <w:r>
        <w:rPr>
          <w:w w:val="105"/>
          <w:sz w:val="18"/>
        </w:rPr>
        <w:t>refer to the discussion under “Certain Relationships and Related Transactions” for more information.</w:t>
      </w:r>
    </w:p>
    <w:p>
      <w:pPr>
        <w:pStyle w:val="ListParagraph"/>
        <w:numPr>
          <w:ilvl w:val="0"/>
          <w:numId w:val="20"/>
        </w:numPr>
        <w:tabs>
          <w:tab w:pos="1960" w:val="left" w:leader="none"/>
        </w:tabs>
        <w:spacing w:line="259" w:lineRule="auto" w:before="113" w:after="0"/>
        <w:ind w:left="1959" w:right="1779" w:hanging="187"/>
        <w:jc w:val="left"/>
        <w:rPr>
          <w:sz w:val="18"/>
        </w:rPr>
      </w:pPr>
      <w:r>
        <w:rPr>
          <w:w w:val="105"/>
          <w:sz w:val="18"/>
        </w:rPr>
        <w:t>The Board conducts an annual assessment of its effectiveness and the effectiveness of each of its </w:t>
      </w:r>
      <w:r>
        <w:rPr>
          <w:spacing w:val="-2"/>
          <w:w w:val="105"/>
          <w:sz w:val="18"/>
        </w:rPr>
        <w:t>committees.</w:t>
      </w:r>
    </w:p>
    <w:p>
      <w:pPr>
        <w:pStyle w:val="ListParagraph"/>
        <w:numPr>
          <w:ilvl w:val="0"/>
          <w:numId w:val="20"/>
        </w:numPr>
        <w:tabs>
          <w:tab w:pos="1960" w:val="left" w:leader="none"/>
        </w:tabs>
        <w:spacing w:line="240" w:lineRule="auto" w:before="112" w:after="0"/>
        <w:ind w:left="1959" w:right="0" w:hanging="188"/>
        <w:jc w:val="left"/>
        <w:rPr>
          <w:sz w:val="18"/>
        </w:rPr>
      </w:pPr>
      <w:r>
        <w:rPr>
          <w:w w:val="105"/>
          <w:sz w:val="18"/>
        </w:rPr>
        <w:t>Directors</w:t>
      </w:r>
      <w:r>
        <w:rPr>
          <w:spacing w:val="12"/>
          <w:w w:val="105"/>
          <w:sz w:val="18"/>
        </w:rPr>
        <w:t> </w:t>
      </w:r>
      <w:r>
        <w:rPr>
          <w:w w:val="105"/>
          <w:sz w:val="18"/>
        </w:rPr>
        <w:t>are</w:t>
      </w:r>
      <w:r>
        <w:rPr>
          <w:spacing w:val="13"/>
          <w:w w:val="105"/>
          <w:sz w:val="18"/>
        </w:rPr>
        <w:t> </w:t>
      </w:r>
      <w:r>
        <w:rPr>
          <w:w w:val="105"/>
          <w:sz w:val="18"/>
        </w:rPr>
        <w:t>expected</w:t>
      </w:r>
      <w:r>
        <w:rPr>
          <w:spacing w:val="13"/>
          <w:w w:val="105"/>
          <w:sz w:val="18"/>
        </w:rPr>
        <w:t> </w:t>
      </w:r>
      <w:r>
        <w:rPr>
          <w:w w:val="105"/>
          <w:sz w:val="18"/>
        </w:rPr>
        <w:t>to</w:t>
      </w:r>
      <w:r>
        <w:rPr>
          <w:spacing w:val="13"/>
          <w:w w:val="105"/>
          <w:sz w:val="18"/>
        </w:rPr>
        <w:t> </w:t>
      </w:r>
      <w:r>
        <w:rPr>
          <w:w w:val="105"/>
          <w:sz w:val="18"/>
        </w:rPr>
        <w:t>attend</w:t>
      </w:r>
      <w:r>
        <w:rPr>
          <w:spacing w:val="13"/>
          <w:w w:val="105"/>
          <w:sz w:val="18"/>
        </w:rPr>
        <w:t> </w:t>
      </w:r>
      <w:r>
        <w:rPr>
          <w:w w:val="105"/>
          <w:sz w:val="18"/>
        </w:rPr>
        <w:t>all</w:t>
      </w:r>
      <w:r>
        <w:rPr>
          <w:spacing w:val="12"/>
          <w:w w:val="105"/>
          <w:sz w:val="18"/>
        </w:rPr>
        <w:t> </w:t>
      </w:r>
      <w:r>
        <w:rPr>
          <w:w w:val="105"/>
          <w:sz w:val="18"/>
        </w:rPr>
        <w:t>stockholder</w:t>
      </w:r>
      <w:r>
        <w:rPr>
          <w:spacing w:val="13"/>
          <w:w w:val="105"/>
          <w:sz w:val="18"/>
        </w:rPr>
        <w:t> </w:t>
      </w:r>
      <w:r>
        <w:rPr>
          <w:spacing w:val="-2"/>
          <w:w w:val="105"/>
          <w:sz w:val="18"/>
        </w:rPr>
        <w:t>meetings.</w:t>
      </w:r>
    </w:p>
    <w:p>
      <w:pPr>
        <w:pStyle w:val="ListParagraph"/>
        <w:numPr>
          <w:ilvl w:val="0"/>
          <w:numId w:val="20"/>
        </w:numPr>
        <w:tabs>
          <w:tab w:pos="1960" w:val="left" w:leader="none"/>
        </w:tabs>
        <w:spacing w:line="259" w:lineRule="auto" w:before="129" w:after="0"/>
        <w:ind w:left="1959" w:right="1899" w:hanging="187"/>
        <w:jc w:val="left"/>
        <w:rPr>
          <w:sz w:val="18"/>
        </w:rPr>
      </w:pPr>
      <w:r>
        <w:rPr>
          <w:w w:val="105"/>
          <w:sz w:val="18"/>
        </w:rPr>
        <w:t>The Board encourages directors to participate in developmental continuing education programs applicable to their position as a director of the Company, including, but not limited to, those recommended by the Nominating Committee.</w:t>
      </w:r>
    </w:p>
    <w:p>
      <w:pPr>
        <w:pStyle w:val="BodyText"/>
        <w:spacing w:before="140"/>
        <w:ind w:left="1772"/>
      </w:pPr>
      <w:r>
        <w:rPr>
          <w:w w:val="105"/>
          <w:u w:val="single"/>
        </w:rPr>
        <w:t>Director</w:t>
      </w:r>
      <w:r>
        <w:rPr>
          <w:spacing w:val="15"/>
          <w:w w:val="105"/>
          <w:u w:val="single"/>
        </w:rPr>
        <w:t> </w:t>
      </w:r>
      <w:r>
        <w:rPr>
          <w:spacing w:val="-2"/>
          <w:w w:val="105"/>
          <w:u w:val="single"/>
        </w:rPr>
        <w:t>Independence</w:t>
      </w:r>
    </w:p>
    <w:p>
      <w:pPr>
        <w:pStyle w:val="ListParagraph"/>
        <w:numPr>
          <w:ilvl w:val="0"/>
          <w:numId w:val="20"/>
        </w:numPr>
        <w:tabs>
          <w:tab w:pos="1960" w:val="left" w:leader="none"/>
        </w:tabs>
        <w:spacing w:line="259" w:lineRule="auto" w:before="128" w:after="0"/>
        <w:ind w:left="1959" w:right="1621" w:hanging="187"/>
        <w:jc w:val="left"/>
        <w:rPr>
          <w:sz w:val="18"/>
        </w:rPr>
      </w:pPr>
      <w:r>
        <w:rPr>
          <w:w w:val="105"/>
          <w:sz w:val="18"/>
        </w:rPr>
        <w:t>We have an independent non-employee director as Chair, and our Bylaws mandate that the roles of Chair and Chief Executive Officer must be separated.</w:t>
      </w:r>
    </w:p>
    <w:p>
      <w:pPr>
        <w:pStyle w:val="ListParagraph"/>
        <w:numPr>
          <w:ilvl w:val="0"/>
          <w:numId w:val="20"/>
        </w:numPr>
        <w:tabs>
          <w:tab w:pos="1960" w:val="left" w:leader="none"/>
        </w:tabs>
        <w:spacing w:line="259" w:lineRule="auto" w:before="112" w:after="0"/>
        <w:ind w:left="1959" w:right="1434" w:hanging="187"/>
        <w:jc w:val="left"/>
        <w:rPr>
          <w:sz w:val="18"/>
        </w:rPr>
      </w:pPr>
      <w:r>
        <w:rPr>
          <w:w w:val="105"/>
          <w:sz w:val="18"/>
        </w:rPr>
        <w:t>Other than Mr. Sanyal, our Chief Executive Officer, all of our Board members are independent of the Company and our management. The definition of “independent” is included in our Corporate Governance</w:t>
      </w:r>
      <w:r>
        <w:rPr>
          <w:spacing w:val="28"/>
          <w:w w:val="105"/>
          <w:sz w:val="18"/>
        </w:rPr>
        <w:t> </w:t>
      </w:r>
      <w:r>
        <w:rPr>
          <w:w w:val="105"/>
          <w:sz w:val="18"/>
        </w:rPr>
        <w:t>Guidelines,</w:t>
      </w:r>
      <w:r>
        <w:rPr>
          <w:spacing w:val="28"/>
          <w:w w:val="105"/>
          <w:sz w:val="18"/>
        </w:rPr>
        <w:t> </w:t>
      </w:r>
      <w:r>
        <w:rPr>
          <w:w w:val="105"/>
          <w:sz w:val="18"/>
        </w:rPr>
        <w:t>which</w:t>
      </w:r>
      <w:r>
        <w:rPr>
          <w:spacing w:val="28"/>
          <w:w w:val="105"/>
          <w:sz w:val="18"/>
        </w:rPr>
        <w:t> </w:t>
      </w:r>
      <w:r>
        <w:rPr>
          <w:w w:val="105"/>
          <w:sz w:val="18"/>
        </w:rPr>
        <w:t>can</w:t>
      </w:r>
      <w:r>
        <w:rPr>
          <w:spacing w:val="28"/>
          <w:w w:val="105"/>
          <w:sz w:val="18"/>
        </w:rPr>
        <w:t> </w:t>
      </w:r>
      <w:r>
        <w:rPr>
          <w:w w:val="105"/>
          <w:sz w:val="18"/>
        </w:rPr>
        <w:t>be</w:t>
      </w:r>
      <w:r>
        <w:rPr>
          <w:spacing w:val="28"/>
          <w:w w:val="105"/>
          <w:sz w:val="18"/>
        </w:rPr>
        <w:t> </w:t>
      </w:r>
      <w:r>
        <w:rPr>
          <w:w w:val="105"/>
          <w:sz w:val="18"/>
        </w:rPr>
        <w:t>found</w:t>
      </w:r>
      <w:r>
        <w:rPr>
          <w:spacing w:val="28"/>
          <w:w w:val="105"/>
          <w:sz w:val="18"/>
        </w:rPr>
        <w:t> </w:t>
      </w:r>
      <w:r>
        <w:rPr>
          <w:w w:val="105"/>
          <w:sz w:val="18"/>
        </w:rPr>
        <w:t>through</w:t>
      </w:r>
      <w:r>
        <w:rPr>
          <w:spacing w:val="28"/>
          <w:w w:val="105"/>
          <w:sz w:val="18"/>
        </w:rPr>
        <w:t> </w:t>
      </w:r>
      <w:r>
        <w:rPr>
          <w:w w:val="105"/>
          <w:sz w:val="18"/>
        </w:rPr>
        <w:t>the</w:t>
      </w:r>
      <w:r>
        <w:rPr>
          <w:spacing w:val="28"/>
          <w:w w:val="105"/>
          <w:sz w:val="18"/>
        </w:rPr>
        <w:t> </w:t>
      </w:r>
      <w:r>
        <w:rPr>
          <w:w w:val="105"/>
          <w:sz w:val="18"/>
        </w:rPr>
        <w:t>“Corporate</w:t>
      </w:r>
      <w:r>
        <w:rPr>
          <w:spacing w:val="28"/>
          <w:w w:val="105"/>
          <w:sz w:val="18"/>
        </w:rPr>
        <w:t> </w:t>
      </w:r>
      <w:r>
        <w:rPr>
          <w:w w:val="105"/>
          <w:sz w:val="18"/>
        </w:rPr>
        <w:t>Governance”</w:t>
      </w:r>
      <w:r>
        <w:rPr>
          <w:spacing w:val="28"/>
          <w:w w:val="105"/>
          <w:sz w:val="18"/>
        </w:rPr>
        <w:t> </w:t>
      </w:r>
      <w:r>
        <w:rPr>
          <w:w w:val="105"/>
          <w:sz w:val="18"/>
        </w:rPr>
        <w:t>link</w:t>
      </w:r>
      <w:r>
        <w:rPr>
          <w:spacing w:val="28"/>
          <w:w w:val="105"/>
          <w:sz w:val="18"/>
        </w:rPr>
        <w:t> </w:t>
      </w:r>
      <w:r>
        <w:rPr>
          <w:w w:val="105"/>
          <w:sz w:val="18"/>
        </w:rPr>
        <w:t>on</w:t>
      </w:r>
      <w:r>
        <w:rPr>
          <w:spacing w:val="28"/>
          <w:w w:val="105"/>
          <w:sz w:val="18"/>
        </w:rPr>
        <w:t> </w:t>
      </w:r>
      <w:r>
        <w:rPr>
          <w:w w:val="105"/>
          <w:sz w:val="18"/>
        </w:rPr>
        <w:t>the Investors page on our website at </w:t>
      </w:r>
      <w:hyperlink r:id="rId38">
        <w:r>
          <w:rPr>
            <w:i/>
            <w:w w:val="105"/>
            <w:sz w:val="18"/>
          </w:rPr>
          <w:t>www.vareximaging.com</w:t>
        </w:r>
        <w:r>
          <w:rPr>
            <w:w w:val="105"/>
            <w:sz w:val="18"/>
          </w:rPr>
          <w:t>.</w:t>
        </w:r>
      </w:hyperlink>
    </w:p>
    <w:p>
      <w:pPr>
        <w:pStyle w:val="ListParagraph"/>
        <w:numPr>
          <w:ilvl w:val="0"/>
          <w:numId w:val="20"/>
        </w:numPr>
        <w:tabs>
          <w:tab w:pos="1960" w:val="left" w:leader="none"/>
        </w:tabs>
        <w:spacing w:line="259" w:lineRule="auto" w:before="113" w:after="0"/>
        <w:ind w:left="1959" w:right="1629" w:hanging="187"/>
        <w:jc w:val="left"/>
        <w:rPr>
          <w:sz w:val="18"/>
        </w:rPr>
      </w:pPr>
      <w:r>
        <w:rPr>
          <w:w w:val="105"/>
          <w:sz w:val="18"/>
        </w:rPr>
        <w:t>All members of our Board committees — the Audit Committee, the Compensation Committee, and the Nominating Committee — are independent.</w:t>
      </w:r>
    </w:p>
    <w:p>
      <w:pPr>
        <w:pStyle w:val="BodyText"/>
        <w:spacing w:before="154"/>
        <w:ind w:left="1772"/>
      </w:pPr>
      <w:r>
        <w:rPr>
          <w:w w:val="105"/>
          <w:u w:val="single"/>
        </w:rPr>
        <w:t>Ma</w:t>
      </w:r>
      <w:r>
        <w:rPr>
          <w:w w:val="105"/>
        </w:rPr>
        <w:t>j</w:t>
      </w:r>
      <w:r>
        <w:rPr>
          <w:w w:val="105"/>
          <w:u w:val="single"/>
        </w:rPr>
        <w:t>ority</w:t>
      </w:r>
      <w:r>
        <w:rPr>
          <w:spacing w:val="11"/>
          <w:w w:val="105"/>
          <w:u w:val="single"/>
        </w:rPr>
        <w:t> </w:t>
      </w:r>
      <w:r>
        <w:rPr>
          <w:spacing w:val="-2"/>
          <w:w w:val="105"/>
          <w:u w:val="single"/>
        </w:rPr>
        <w:t>Voting</w:t>
      </w:r>
    </w:p>
    <w:p>
      <w:pPr>
        <w:pStyle w:val="ListParagraph"/>
        <w:numPr>
          <w:ilvl w:val="0"/>
          <w:numId w:val="20"/>
        </w:numPr>
        <w:tabs>
          <w:tab w:pos="1960" w:val="left" w:leader="none"/>
        </w:tabs>
        <w:spacing w:line="259" w:lineRule="auto" w:before="128" w:after="0"/>
        <w:ind w:left="1959" w:right="1443" w:hanging="187"/>
        <w:jc w:val="left"/>
        <w:rPr>
          <w:sz w:val="18"/>
        </w:rPr>
      </w:pPr>
      <w:r>
        <w:rPr>
          <w:w w:val="105"/>
          <w:sz w:val="18"/>
        </w:rPr>
        <w:t>Our</w:t>
      </w:r>
      <w:r>
        <w:rPr>
          <w:spacing w:val="30"/>
          <w:w w:val="105"/>
          <w:sz w:val="18"/>
        </w:rPr>
        <w:t> </w:t>
      </w:r>
      <w:r>
        <w:rPr>
          <w:w w:val="105"/>
          <w:sz w:val="18"/>
        </w:rPr>
        <w:t>Bylaws</w:t>
      </w:r>
      <w:r>
        <w:rPr>
          <w:spacing w:val="30"/>
          <w:w w:val="105"/>
          <w:sz w:val="18"/>
        </w:rPr>
        <w:t> </w:t>
      </w:r>
      <w:r>
        <w:rPr>
          <w:w w:val="105"/>
          <w:sz w:val="18"/>
        </w:rPr>
        <w:t>and</w:t>
      </w:r>
      <w:r>
        <w:rPr>
          <w:spacing w:val="30"/>
          <w:w w:val="105"/>
          <w:sz w:val="18"/>
        </w:rPr>
        <w:t> </w:t>
      </w:r>
      <w:r>
        <w:rPr>
          <w:w w:val="105"/>
          <w:sz w:val="18"/>
        </w:rPr>
        <w:t>Corporate</w:t>
      </w:r>
      <w:r>
        <w:rPr>
          <w:spacing w:val="30"/>
          <w:w w:val="105"/>
          <w:sz w:val="18"/>
        </w:rPr>
        <w:t> </w:t>
      </w:r>
      <w:r>
        <w:rPr>
          <w:w w:val="105"/>
          <w:sz w:val="18"/>
        </w:rPr>
        <w:t>Governance</w:t>
      </w:r>
      <w:r>
        <w:rPr>
          <w:spacing w:val="30"/>
          <w:w w:val="105"/>
          <w:sz w:val="18"/>
        </w:rPr>
        <w:t> </w:t>
      </w:r>
      <w:r>
        <w:rPr>
          <w:w w:val="105"/>
          <w:sz w:val="18"/>
        </w:rPr>
        <w:t>Guidelines</w:t>
      </w:r>
      <w:r>
        <w:rPr>
          <w:spacing w:val="30"/>
          <w:w w:val="105"/>
          <w:sz w:val="18"/>
        </w:rPr>
        <w:t> </w:t>
      </w:r>
      <w:r>
        <w:rPr>
          <w:w w:val="105"/>
          <w:sz w:val="18"/>
        </w:rPr>
        <w:t>include</w:t>
      </w:r>
      <w:r>
        <w:rPr>
          <w:spacing w:val="30"/>
          <w:w w:val="105"/>
          <w:sz w:val="18"/>
        </w:rPr>
        <w:t> </w:t>
      </w:r>
      <w:r>
        <w:rPr>
          <w:w w:val="105"/>
          <w:sz w:val="18"/>
        </w:rPr>
        <w:t>a</w:t>
      </w:r>
      <w:r>
        <w:rPr>
          <w:spacing w:val="30"/>
          <w:w w:val="105"/>
          <w:sz w:val="18"/>
        </w:rPr>
        <w:t> </w:t>
      </w:r>
      <w:r>
        <w:rPr>
          <w:w w:val="105"/>
          <w:sz w:val="18"/>
        </w:rPr>
        <w:t>majority</w:t>
      </w:r>
      <w:r>
        <w:rPr>
          <w:spacing w:val="30"/>
          <w:w w:val="105"/>
          <w:sz w:val="18"/>
        </w:rPr>
        <w:t> </w:t>
      </w:r>
      <w:r>
        <w:rPr>
          <w:w w:val="105"/>
          <w:sz w:val="18"/>
        </w:rPr>
        <w:t>voting</w:t>
      </w:r>
      <w:r>
        <w:rPr>
          <w:spacing w:val="30"/>
          <w:w w:val="105"/>
          <w:sz w:val="18"/>
        </w:rPr>
        <w:t> </w:t>
      </w:r>
      <w:r>
        <w:rPr>
          <w:w w:val="105"/>
          <w:sz w:val="18"/>
        </w:rPr>
        <w:t>standard</w:t>
      </w:r>
      <w:r>
        <w:rPr>
          <w:spacing w:val="30"/>
          <w:w w:val="105"/>
          <w:sz w:val="18"/>
        </w:rPr>
        <w:t> </w:t>
      </w:r>
      <w:r>
        <w:rPr>
          <w:w w:val="105"/>
          <w:sz w:val="18"/>
        </w:rPr>
        <w:t>for</w:t>
      </w:r>
      <w:r>
        <w:rPr>
          <w:w w:val="105"/>
          <w:sz w:val="18"/>
        </w:rPr>
        <w:t> uncontested</w:t>
      </w:r>
      <w:r>
        <w:rPr>
          <w:spacing w:val="22"/>
          <w:w w:val="105"/>
          <w:sz w:val="18"/>
        </w:rPr>
        <w:t> </w:t>
      </w:r>
      <w:r>
        <w:rPr>
          <w:w w:val="105"/>
          <w:sz w:val="18"/>
        </w:rPr>
        <w:t>director</w:t>
      </w:r>
      <w:r>
        <w:rPr>
          <w:spacing w:val="22"/>
          <w:w w:val="105"/>
          <w:sz w:val="18"/>
        </w:rPr>
        <w:t> </w:t>
      </w:r>
      <w:r>
        <w:rPr>
          <w:w w:val="105"/>
          <w:sz w:val="18"/>
        </w:rPr>
        <w:t>elections.</w:t>
      </w:r>
      <w:r>
        <w:rPr>
          <w:spacing w:val="22"/>
          <w:w w:val="105"/>
          <w:sz w:val="18"/>
        </w:rPr>
        <w:t> </w:t>
      </w:r>
      <w:r>
        <w:rPr>
          <w:w w:val="105"/>
          <w:sz w:val="18"/>
        </w:rPr>
        <w:t>Under</w:t>
      </w:r>
      <w:r>
        <w:rPr>
          <w:spacing w:val="22"/>
          <w:w w:val="105"/>
          <w:sz w:val="18"/>
        </w:rPr>
        <w:t> </w:t>
      </w:r>
      <w:r>
        <w:rPr>
          <w:w w:val="105"/>
          <w:sz w:val="18"/>
        </w:rPr>
        <w:t>this</w:t>
      </w:r>
      <w:r>
        <w:rPr>
          <w:spacing w:val="22"/>
          <w:w w:val="105"/>
          <w:sz w:val="18"/>
        </w:rPr>
        <w:t> </w:t>
      </w:r>
      <w:r>
        <w:rPr>
          <w:w w:val="105"/>
          <w:sz w:val="18"/>
        </w:rPr>
        <w:t>standard,</w:t>
      </w:r>
      <w:r>
        <w:rPr>
          <w:spacing w:val="22"/>
          <w:w w:val="105"/>
          <w:sz w:val="18"/>
        </w:rPr>
        <w:t> </w:t>
      </w:r>
      <w:r>
        <w:rPr>
          <w:w w:val="105"/>
          <w:sz w:val="18"/>
        </w:rPr>
        <w:t>if</w:t>
      </w:r>
      <w:r>
        <w:rPr>
          <w:spacing w:val="22"/>
          <w:w w:val="105"/>
          <w:sz w:val="18"/>
        </w:rPr>
        <w:t> </w:t>
      </w:r>
      <w:r>
        <w:rPr>
          <w:w w:val="105"/>
          <w:sz w:val="18"/>
        </w:rPr>
        <w:t>the</w:t>
      </w:r>
      <w:r>
        <w:rPr>
          <w:spacing w:val="22"/>
          <w:w w:val="105"/>
          <w:sz w:val="18"/>
        </w:rPr>
        <w:t> </w:t>
      </w:r>
      <w:r>
        <w:rPr>
          <w:w w:val="105"/>
          <w:sz w:val="18"/>
        </w:rPr>
        <w:t>number</w:t>
      </w:r>
      <w:r>
        <w:rPr>
          <w:spacing w:val="22"/>
          <w:w w:val="105"/>
          <w:sz w:val="18"/>
        </w:rPr>
        <w:t> </w:t>
      </w:r>
      <w:r>
        <w:rPr>
          <w:w w:val="105"/>
          <w:sz w:val="18"/>
        </w:rPr>
        <w:t>of</w:t>
      </w:r>
      <w:r>
        <w:rPr>
          <w:spacing w:val="22"/>
          <w:w w:val="105"/>
          <w:sz w:val="18"/>
        </w:rPr>
        <w:t> </w:t>
      </w:r>
      <w:r>
        <w:rPr>
          <w:w w:val="105"/>
          <w:sz w:val="18"/>
        </w:rPr>
        <w:t>nominees</w:t>
      </w:r>
      <w:r>
        <w:rPr>
          <w:spacing w:val="22"/>
          <w:w w:val="105"/>
          <w:sz w:val="18"/>
        </w:rPr>
        <w:t> </w:t>
      </w:r>
      <w:r>
        <w:rPr>
          <w:w w:val="105"/>
          <w:sz w:val="18"/>
        </w:rPr>
        <w:t>timely</w:t>
      </w:r>
      <w:r>
        <w:rPr>
          <w:spacing w:val="22"/>
          <w:w w:val="105"/>
          <w:sz w:val="18"/>
        </w:rPr>
        <w:t> </w:t>
      </w:r>
      <w:r>
        <w:rPr>
          <w:w w:val="105"/>
          <w:sz w:val="18"/>
        </w:rPr>
        <w:t>nominated</w:t>
      </w:r>
      <w:r>
        <w:rPr>
          <w:spacing w:val="22"/>
          <w:w w:val="105"/>
          <w:sz w:val="18"/>
        </w:rPr>
        <w:t> </w:t>
      </w:r>
      <w:r>
        <w:rPr>
          <w:w w:val="105"/>
          <w:sz w:val="18"/>
        </w:rPr>
        <w:t>for an</w:t>
      </w:r>
      <w:r>
        <w:rPr>
          <w:spacing w:val="22"/>
          <w:w w:val="105"/>
          <w:sz w:val="18"/>
        </w:rPr>
        <w:t> </w:t>
      </w:r>
      <w:r>
        <w:rPr>
          <w:w w:val="105"/>
          <w:sz w:val="18"/>
        </w:rPr>
        <w:t>annual</w:t>
      </w:r>
      <w:r>
        <w:rPr>
          <w:spacing w:val="22"/>
          <w:w w:val="105"/>
          <w:sz w:val="18"/>
        </w:rPr>
        <w:t> </w:t>
      </w:r>
      <w:r>
        <w:rPr>
          <w:w w:val="105"/>
          <w:sz w:val="18"/>
        </w:rPr>
        <w:t>meeting</w:t>
      </w:r>
      <w:r>
        <w:rPr>
          <w:spacing w:val="22"/>
          <w:w w:val="105"/>
          <w:sz w:val="18"/>
        </w:rPr>
        <w:t> </w:t>
      </w:r>
      <w:r>
        <w:rPr>
          <w:w w:val="105"/>
          <w:sz w:val="18"/>
        </w:rPr>
        <w:t>does</w:t>
      </w:r>
      <w:r>
        <w:rPr>
          <w:spacing w:val="22"/>
          <w:w w:val="105"/>
          <w:sz w:val="18"/>
        </w:rPr>
        <w:t> </w:t>
      </w:r>
      <w:r>
        <w:rPr>
          <w:w w:val="105"/>
          <w:sz w:val="18"/>
        </w:rPr>
        <w:t>not</w:t>
      </w:r>
      <w:r>
        <w:rPr>
          <w:spacing w:val="22"/>
          <w:w w:val="105"/>
          <w:sz w:val="18"/>
        </w:rPr>
        <w:t> </w:t>
      </w:r>
      <w:r>
        <w:rPr>
          <w:w w:val="105"/>
          <w:sz w:val="18"/>
        </w:rPr>
        <w:t>exceed</w:t>
      </w:r>
      <w:r>
        <w:rPr>
          <w:spacing w:val="22"/>
          <w:w w:val="105"/>
          <w:sz w:val="18"/>
        </w:rPr>
        <w:t> </w:t>
      </w:r>
      <w:r>
        <w:rPr>
          <w:w w:val="105"/>
          <w:sz w:val="18"/>
        </w:rPr>
        <w:t>the</w:t>
      </w:r>
      <w:r>
        <w:rPr>
          <w:spacing w:val="22"/>
          <w:w w:val="105"/>
          <w:sz w:val="18"/>
        </w:rPr>
        <w:t> </w:t>
      </w:r>
      <w:r>
        <w:rPr>
          <w:w w:val="105"/>
          <w:sz w:val="18"/>
        </w:rPr>
        <w:t>number</w:t>
      </w:r>
      <w:r>
        <w:rPr>
          <w:spacing w:val="22"/>
          <w:w w:val="105"/>
          <w:sz w:val="18"/>
        </w:rPr>
        <w:t> </w:t>
      </w:r>
      <w:r>
        <w:rPr>
          <w:w w:val="105"/>
          <w:sz w:val="18"/>
        </w:rPr>
        <w:t>of</w:t>
      </w:r>
      <w:r>
        <w:rPr>
          <w:spacing w:val="22"/>
          <w:w w:val="105"/>
          <w:sz w:val="18"/>
        </w:rPr>
        <w:t> </w:t>
      </w:r>
      <w:r>
        <w:rPr>
          <w:w w:val="105"/>
          <w:sz w:val="18"/>
        </w:rPr>
        <w:t>directors</w:t>
      </w:r>
      <w:r>
        <w:rPr>
          <w:spacing w:val="22"/>
          <w:w w:val="105"/>
          <w:sz w:val="18"/>
        </w:rPr>
        <w:t> </w:t>
      </w:r>
      <w:r>
        <w:rPr>
          <w:w w:val="105"/>
          <w:sz w:val="18"/>
        </w:rPr>
        <w:t>to</w:t>
      </w:r>
      <w:r>
        <w:rPr>
          <w:spacing w:val="22"/>
          <w:w w:val="105"/>
          <w:sz w:val="18"/>
        </w:rPr>
        <w:t> </w:t>
      </w:r>
      <w:r>
        <w:rPr>
          <w:w w:val="105"/>
          <w:sz w:val="18"/>
        </w:rPr>
        <w:t>be</w:t>
      </w:r>
      <w:r>
        <w:rPr>
          <w:spacing w:val="22"/>
          <w:w w:val="105"/>
          <w:sz w:val="18"/>
        </w:rPr>
        <w:t> </w:t>
      </w:r>
      <w:r>
        <w:rPr>
          <w:w w:val="105"/>
          <w:sz w:val="18"/>
        </w:rPr>
        <w:t>elected,</w:t>
      </w:r>
      <w:r>
        <w:rPr>
          <w:spacing w:val="22"/>
          <w:w w:val="105"/>
          <w:sz w:val="18"/>
        </w:rPr>
        <w:t> </w:t>
      </w:r>
      <w:r>
        <w:rPr>
          <w:w w:val="105"/>
          <w:sz w:val="18"/>
        </w:rPr>
        <w:t>each</w:t>
      </w:r>
      <w:r>
        <w:rPr>
          <w:spacing w:val="22"/>
          <w:w w:val="105"/>
          <w:sz w:val="18"/>
        </w:rPr>
        <w:t> </w:t>
      </w:r>
      <w:r>
        <w:rPr>
          <w:w w:val="105"/>
          <w:sz w:val="18"/>
        </w:rPr>
        <w:t>director</w:t>
      </w:r>
      <w:r>
        <w:rPr>
          <w:spacing w:val="22"/>
          <w:w w:val="105"/>
          <w:sz w:val="18"/>
        </w:rPr>
        <w:t> </w:t>
      </w:r>
      <w:r>
        <w:rPr>
          <w:w w:val="105"/>
          <w:sz w:val="18"/>
        </w:rPr>
        <w:t>shall</w:t>
      </w:r>
      <w:r>
        <w:rPr>
          <w:spacing w:val="22"/>
          <w:w w:val="105"/>
          <w:sz w:val="18"/>
        </w:rPr>
        <w:t> </w:t>
      </w:r>
      <w:r>
        <w:rPr>
          <w:w w:val="105"/>
          <w:sz w:val="18"/>
        </w:rPr>
        <w:t>be elected if the number of shares voted “for” a director’s election exceeds 50% of the number of votes</w:t>
      </w:r>
      <w:r>
        <w:rPr>
          <w:spacing w:val="40"/>
          <w:w w:val="105"/>
          <w:sz w:val="18"/>
        </w:rPr>
        <w:t> </w:t>
      </w:r>
      <w:r>
        <w:rPr>
          <w:w w:val="105"/>
          <w:sz w:val="18"/>
        </w:rPr>
        <w:t>cast with respect to that director’s election. Votes cast shall include direction to withhold authority in each</w:t>
      </w:r>
      <w:r>
        <w:rPr>
          <w:spacing w:val="28"/>
          <w:w w:val="105"/>
          <w:sz w:val="18"/>
        </w:rPr>
        <w:t> </w:t>
      </w:r>
      <w:r>
        <w:rPr>
          <w:w w:val="105"/>
          <w:sz w:val="18"/>
        </w:rPr>
        <w:t>case</w:t>
      </w:r>
      <w:r>
        <w:rPr>
          <w:spacing w:val="28"/>
          <w:w w:val="105"/>
          <w:sz w:val="18"/>
        </w:rPr>
        <w:t> </w:t>
      </w:r>
      <w:r>
        <w:rPr>
          <w:w w:val="105"/>
          <w:sz w:val="18"/>
        </w:rPr>
        <w:t>and</w:t>
      </w:r>
      <w:r>
        <w:rPr>
          <w:spacing w:val="28"/>
          <w:w w:val="105"/>
          <w:sz w:val="18"/>
        </w:rPr>
        <w:t> </w:t>
      </w:r>
      <w:r>
        <w:rPr>
          <w:w w:val="105"/>
          <w:sz w:val="18"/>
        </w:rPr>
        <w:t>exclude</w:t>
      </w:r>
      <w:r>
        <w:rPr>
          <w:spacing w:val="28"/>
          <w:w w:val="105"/>
          <w:sz w:val="18"/>
        </w:rPr>
        <w:t> </w:t>
      </w:r>
      <w:r>
        <w:rPr>
          <w:w w:val="105"/>
          <w:sz w:val="18"/>
        </w:rPr>
        <w:t>abstentions</w:t>
      </w:r>
      <w:r>
        <w:rPr>
          <w:spacing w:val="28"/>
          <w:w w:val="105"/>
          <w:sz w:val="18"/>
        </w:rPr>
        <w:t> </w:t>
      </w:r>
      <w:r>
        <w:rPr>
          <w:w w:val="105"/>
          <w:sz w:val="18"/>
        </w:rPr>
        <w:t>with</w:t>
      </w:r>
      <w:r>
        <w:rPr>
          <w:spacing w:val="28"/>
          <w:w w:val="105"/>
          <w:sz w:val="18"/>
        </w:rPr>
        <w:t> </w:t>
      </w:r>
      <w:r>
        <w:rPr>
          <w:w w:val="105"/>
          <w:sz w:val="18"/>
        </w:rPr>
        <w:t>respect</w:t>
      </w:r>
      <w:r>
        <w:rPr>
          <w:spacing w:val="28"/>
          <w:w w:val="105"/>
          <w:sz w:val="18"/>
        </w:rPr>
        <w:t> </w:t>
      </w:r>
      <w:r>
        <w:rPr>
          <w:w w:val="105"/>
          <w:sz w:val="18"/>
        </w:rPr>
        <w:t>to</w:t>
      </w:r>
      <w:r>
        <w:rPr>
          <w:spacing w:val="28"/>
          <w:w w:val="105"/>
          <w:sz w:val="18"/>
        </w:rPr>
        <w:t> </w:t>
      </w:r>
      <w:r>
        <w:rPr>
          <w:w w:val="105"/>
          <w:sz w:val="18"/>
        </w:rPr>
        <w:t>that</w:t>
      </w:r>
      <w:r>
        <w:rPr>
          <w:spacing w:val="28"/>
          <w:w w:val="105"/>
          <w:sz w:val="18"/>
        </w:rPr>
        <w:t> </w:t>
      </w:r>
      <w:r>
        <w:rPr>
          <w:w w:val="105"/>
          <w:sz w:val="18"/>
        </w:rPr>
        <w:t>director’s</w:t>
      </w:r>
      <w:r>
        <w:rPr>
          <w:spacing w:val="28"/>
          <w:w w:val="105"/>
          <w:sz w:val="18"/>
        </w:rPr>
        <w:t> </w:t>
      </w:r>
      <w:r>
        <w:rPr>
          <w:w w:val="105"/>
          <w:sz w:val="18"/>
        </w:rPr>
        <w:t>election. Any</w:t>
      </w:r>
      <w:r>
        <w:rPr>
          <w:spacing w:val="28"/>
          <w:w w:val="105"/>
          <w:sz w:val="18"/>
        </w:rPr>
        <w:t> </w:t>
      </w:r>
      <w:r>
        <w:rPr>
          <w:w w:val="105"/>
          <w:sz w:val="18"/>
        </w:rPr>
        <w:t>incumbent</w:t>
      </w:r>
      <w:r>
        <w:rPr>
          <w:spacing w:val="28"/>
          <w:w w:val="105"/>
          <w:sz w:val="18"/>
        </w:rPr>
        <w:t> </w:t>
      </w:r>
      <w:r>
        <w:rPr>
          <w:w w:val="105"/>
          <w:sz w:val="18"/>
        </w:rPr>
        <w:t>director who is not re-elected by the majority voting standard will be required to tender his or her resignation</w:t>
      </w:r>
      <w:r>
        <w:rPr>
          <w:spacing w:val="40"/>
          <w:w w:val="105"/>
          <w:sz w:val="18"/>
        </w:rPr>
        <w:t> </w:t>
      </w:r>
      <w:r>
        <w:rPr>
          <w:w w:val="105"/>
          <w:sz w:val="18"/>
        </w:rPr>
        <w:t>promptly following the certification of the stockholders’ vote. The Nominating Committee will</w:t>
      </w:r>
      <w:r>
        <w:rPr>
          <w:spacing w:val="80"/>
          <w:w w:val="105"/>
          <w:sz w:val="18"/>
        </w:rPr>
        <w:t> </w:t>
      </w:r>
      <w:r>
        <w:rPr>
          <w:w w:val="105"/>
          <w:sz w:val="18"/>
        </w:rPr>
        <w:t>consider such resignation and recommend to the Board whether to accept or reject the resignation, or</w:t>
      </w:r>
      <w:r>
        <w:rPr>
          <w:spacing w:val="40"/>
          <w:w w:val="105"/>
          <w:sz w:val="18"/>
        </w:rPr>
        <w:t> </w:t>
      </w:r>
      <w:r>
        <w:rPr>
          <w:w w:val="105"/>
          <w:sz w:val="18"/>
        </w:rPr>
        <w:t>whether other action should be taken. The Board will act on the Nominating Committee’s recommendation at the next regularly scheduled Board meeting following receipt of such recommendation and will promptly disclose publicly its decision regarding whether to accept the director’s resignation.</w:t>
      </w:r>
    </w:p>
    <w:p>
      <w:pPr>
        <w:pStyle w:val="BodyText"/>
        <w:spacing w:before="156"/>
        <w:ind w:left="1772"/>
      </w:pPr>
      <w:r>
        <w:rPr>
          <w:w w:val="105"/>
          <w:u w:val="single"/>
        </w:rPr>
        <w:t>Board</w:t>
      </w:r>
      <w:r>
        <w:rPr>
          <w:spacing w:val="9"/>
          <w:w w:val="105"/>
          <w:u w:val="single"/>
        </w:rPr>
        <w:t> </w:t>
      </w:r>
      <w:r>
        <w:rPr>
          <w:spacing w:val="-2"/>
          <w:w w:val="105"/>
          <w:u w:val="single"/>
        </w:rPr>
        <w:t>Structure</w:t>
      </w:r>
    </w:p>
    <w:p>
      <w:pPr>
        <w:pStyle w:val="ListParagraph"/>
        <w:numPr>
          <w:ilvl w:val="0"/>
          <w:numId w:val="20"/>
        </w:numPr>
        <w:tabs>
          <w:tab w:pos="1960" w:val="left" w:leader="none"/>
        </w:tabs>
        <w:spacing w:line="240" w:lineRule="auto" w:before="129" w:after="0"/>
        <w:ind w:left="1959" w:right="0" w:hanging="188"/>
        <w:jc w:val="left"/>
        <w:rPr>
          <w:sz w:val="18"/>
        </w:rPr>
      </w:pPr>
      <w:r>
        <w:rPr>
          <w:w w:val="105"/>
          <w:sz w:val="18"/>
        </w:rPr>
        <w:t>Our</w:t>
      </w:r>
      <w:r>
        <w:rPr>
          <w:spacing w:val="10"/>
          <w:w w:val="105"/>
          <w:sz w:val="18"/>
        </w:rPr>
        <w:t> </w:t>
      </w:r>
      <w:r>
        <w:rPr>
          <w:w w:val="105"/>
          <w:sz w:val="18"/>
        </w:rPr>
        <w:t>entire</w:t>
      </w:r>
      <w:r>
        <w:rPr>
          <w:spacing w:val="11"/>
          <w:w w:val="105"/>
          <w:sz w:val="18"/>
        </w:rPr>
        <w:t> </w:t>
      </w:r>
      <w:r>
        <w:rPr>
          <w:w w:val="105"/>
          <w:sz w:val="18"/>
        </w:rPr>
        <w:t>Board</w:t>
      </w:r>
      <w:r>
        <w:rPr>
          <w:spacing w:val="10"/>
          <w:w w:val="105"/>
          <w:sz w:val="18"/>
        </w:rPr>
        <w:t> </w:t>
      </w:r>
      <w:r>
        <w:rPr>
          <w:w w:val="105"/>
          <w:sz w:val="18"/>
        </w:rPr>
        <w:t>is</w:t>
      </w:r>
      <w:r>
        <w:rPr>
          <w:spacing w:val="11"/>
          <w:w w:val="105"/>
          <w:sz w:val="18"/>
        </w:rPr>
        <w:t> </w:t>
      </w:r>
      <w:r>
        <w:rPr>
          <w:w w:val="105"/>
          <w:sz w:val="18"/>
        </w:rPr>
        <w:t>elected</w:t>
      </w:r>
      <w:r>
        <w:rPr>
          <w:spacing w:val="10"/>
          <w:w w:val="105"/>
          <w:sz w:val="18"/>
        </w:rPr>
        <w:t> </w:t>
      </w:r>
      <w:r>
        <w:rPr>
          <w:spacing w:val="-2"/>
          <w:w w:val="105"/>
          <w:sz w:val="18"/>
        </w:rPr>
        <w:t>annually.</w:t>
      </w:r>
    </w:p>
    <w:p>
      <w:pPr>
        <w:pStyle w:val="ListParagraph"/>
        <w:numPr>
          <w:ilvl w:val="0"/>
          <w:numId w:val="20"/>
        </w:numPr>
        <w:tabs>
          <w:tab w:pos="1960" w:val="left" w:leader="none"/>
        </w:tabs>
        <w:spacing w:line="240" w:lineRule="auto" w:before="128" w:after="0"/>
        <w:ind w:left="1959" w:right="0" w:hanging="188"/>
        <w:jc w:val="left"/>
        <w:rPr>
          <w:sz w:val="18"/>
        </w:rPr>
      </w:pPr>
      <w:r>
        <w:rPr>
          <w:w w:val="105"/>
          <w:sz w:val="18"/>
        </w:rPr>
        <w:t>Our</w:t>
      </w:r>
      <w:r>
        <w:rPr>
          <w:spacing w:val="9"/>
          <w:w w:val="105"/>
          <w:sz w:val="18"/>
        </w:rPr>
        <w:t> </w:t>
      </w:r>
      <w:r>
        <w:rPr>
          <w:w w:val="105"/>
          <w:sz w:val="18"/>
        </w:rPr>
        <w:t>Board</w:t>
      </w:r>
      <w:r>
        <w:rPr>
          <w:spacing w:val="9"/>
          <w:w w:val="105"/>
          <w:sz w:val="18"/>
        </w:rPr>
        <w:t> </w:t>
      </w:r>
      <w:r>
        <w:rPr>
          <w:w w:val="105"/>
          <w:sz w:val="18"/>
        </w:rPr>
        <w:t>is</w:t>
      </w:r>
      <w:r>
        <w:rPr>
          <w:spacing w:val="10"/>
          <w:w w:val="105"/>
          <w:sz w:val="18"/>
        </w:rPr>
        <w:t> </w:t>
      </w:r>
      <w:r>
        <w:rPr>
          <w:w w:val="105"/>
          <w:sz w:val="18"/>
        </w:rPr>
        <w:t>committed</w:t>
      </w:r>
      <w:r>
        <w:rPr>
          <w:spacing w:val="9"/>
          <w:w w:val="105"/>
          <w:sz w:val="18"/>
        </w:rPr>
        <w:t> </w:t>
      </w:r>
      <w:r>
        <w:rPr>
          <w:w w:val="105"/>
          <w:sz w:val="18"/>
        </w:rPr>
        <w:t>to</w:t>
      </w:r>
      <w:r>
        <w:rPr>
          <w:spacing w:val="10"/>
          <w:w w:val="105"/>
          <w:sz w:val="18"/>
        </w:rPr>
        <w:t> </w:t>
      </w:r>
      <w:r>
        <w:rPr>
          <w:w w:val="105"/>
          <w:sz w:val="18"/>
        </w:rPr>
        <w:t>inclusiveness</w:t>
      </w:r>
      <w:r>
        <w:rPr>
          <w:spacing w:val="9"/>
          <w:w w:val="105"/>
          <w:sz w:val="18"/>
        </w:rPr>
        <w:t> </w:t>
      </w:r>
      <w:r>
        <w:rPr>
          <w:w w:val="105"/>
          <w:sz w:val="18"/>
        </w:rPr>
        <w:t>and</w:t>
      </w:r>
      <w:r>
        <w:rPr>
          <w:spacing w:val="9"/>
          <w:w w:val="105"/>
          <w:sz w:val="18"/>
        </w:rPr>
        <w:t> </w:t>
      </w:r>
      <w:r>
        <w:rPr>
          <w:w w:val="105"/>
          <w:sz w:val="18"/>
        </w:rPr>
        <w:t>diversity,</w:t>
      </w:r>
      <w:r>
        <w:rPr>
          <w:spacing w:val="10"/>
          <w:w w:val="105"/>
          <w:sz w:val="18"/>
        </w:rPr>
        <w:t> </w:t>
      </w:r>
      <w:r>
        <w:rPr>
          <w:w w:val="105"/>
          <w:sz w:val="18"/>
        </w:rPr>
        <w:t>and</w:t>
      </w:r>
      <w:r>
        <w:rPr>
          <w:spacing w:val="9"/>
          <w:w w:val="105"/>
          <w:sz w:val="18"/>
        </w:rPr>
        <w:t> </w:t>
      </w:r>
      <w:r>
        <w:rPr>
          <w:w w:val="105"/>
          <w:sz w:val="18"/>
        </w:rPr>
        <w:t>50%</w:t>
      </w:r>
      <w:r>
        <w:rPr>
          <w:spacing w:val="10"/>
          <w:w w:val="105"/>
          <w:sz w:val="18"/>
        </w:rPr>
        <w:t> </w:t>
      </w:r>
      <w:r>
        <w:rPr>
          <w:w w:val="105"/>
          <w:sz w:val="18"/>
        </w:rPr>
        <w:t>of</w:t>
      </w:r>
      <w:r>
        <w:rPr>
          <w:spacing w:val="9"/>
          <w:w w:val="105"/>
          <w:sz w:val="18"/>
        </w:rPr>
        <w:t> </w:t>
      </w:r>
      <w:r>
        <w:rPr>
          <w:w w:val="105"/>
          <w:sz w:val="18"/>
        </w:rPr>
        <w:t>our</w:t>
      </w:r>
      <w:r>
        <w:rPr>
          <w:spacing w:val="9"/>
          <w:w w:val="105"/>
          <w:sz w:val="18"/>
        </w:rPr>
        <w:t> </w:t>
      </w:r>
      <w:r>
        <w:rPr>
          <w:w w:val="105"/>
          <w:sz w:val="18"/>
        </w:rPr>
        <w:t>Board</w:t>
      </w:r>
      <w:r>
        <w:rPr>
          <w:spacing w:val="10"/>
          <w:w w:val="105"/>
          <w:sz w:val="18"/>
        </w:rPr>
        <w:t> </w:t>
      </w:r>
      <w:r>
        <w:rPr>
          <w:w w:val="105"/>
          <w:sz w:val="18"/>
        </w:rPr>
        <w:t>is</w:t>
      </w:r>
      <w:r>
        <w:rPr>
          <w:spacing w:val="9"/>
          <w:w w:val="105"/>
          <w:sz w:val="18"/>
        </w:rPr>
        <w:t> </w:t>
      </w:r>
      <w:r>
        <w:rPr>
          <w:spacing w:val="-2"/>
          <w:w w:val="105"/>
          <w:sz w:val="18"/>
        </w:rPr>
        <w:t>diverse.</w:t>
      </w:r>
    </w:p>
    <w:p>
      <w:pPr>
        <w:pStyle w:val="ListParagraph"/>
        <w:numPr>
          <w:ilvl w:val="0"/>
          <w:numId w:val="20"/>
        </w:numPr>
        <w:tabs>
          <w:tab w:pos="1960" w:val="left" w:leader="none"/>
        </w:tabs>
        <w:spacing w:line="259" w:lineRule="auto" w:before="129" w:after="0"/>
        <w:ind w:left="1959" w:right="1614" w:hanging="187"/>
        <w:jc w:val="left"/>
        <w:rPr>
          <w:sz w:val="18"/>
        </w:rPr>
      </w:pPr>
      <w:r>
        <w:rPr>
          <w:w w:val="105"/>
          <w:sz w:val="18"/>
        </w:rPr>
        <w:t>Our Board has adopted a guideline for director retirement that provides that nominees for directors</w:t>
      </w:r>
      <w:r>
        <w:rPr>
          <w:spacing w:val="40"/>
          <w:w w:val="105"/>
          <w:sz w:val="18"/>
        </w:rPr>
        <w:t> </w:t>
      </w:r>
      <w:r>
        <w:rPr>
          <w:w w:val="105"/>
          <w:sz w:val="18"/>
        </w:rPr>
        <w:t>should be 75 years or younger at the time of their election or re-election. This guideline may be waived if the Board deems it appropriate.</w:t>
      </w:r>
    </w:p>
    <w:p>
      <w:pPr>
        <w:spacing w:after="0" w:line="259" w:lineRule="auto"/>
        <w:jc w:val="left"/>
        <w:rPr>
          <w:sz w:val="18"/>
        </w:rPr>
        <w:sectPr>
          <w:headerReference w:type="default" r:id="rId65"/>
          <w:footerReference w:type="default" r:id="rId66"/>
          <w:pgSz w:w="12240" w:h="15840"/>
          <w:pgMar w:header="0" w:footer="1009" w:top="500" w:bottom="120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132" coordorigin="0,0" coordsize="11100,28">
            <v:rect style="position:absolute;left:0;top:0;width:11100;height:14" id="docshape133" filled="true" fillcolor="#999999" stroked="false">
              <v:fill type="solid"/>
            </v:rect>
            <v:shape style="position:absolute;left:-1;top:0;width:11100;height:28" id="docshape134" coordorigin="0,0" coordsize="11100,28" path="m11100,0l11086,14,0,14,0,28,11086,28,11100,28,11100,14,11100,0xe" filled="true" fillcolor="#ededed" stroked="false">
              <v:path arrowok="t"/>
              <v:fill type="solid"/>
            </v:shape>
            <v:shape style="position:absolute;left:0;top:0;width:14;height:28" id="docshape135"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67"/>
          <w:footerReference w:type="default" r:id="rId68"/>
          <w:pgSz w:w="12240" w:h="15840"/>
          <w:pgMar w:header="0" w:footer="0" w:top="580" w:bottom="280" w:left="480" w:right="460"/>
        </w:sectPr>
      </w:pPr>
    </w:p>
    <w:p>
      <w:pPr>
        <w:spacing w:before="49"/>
        <w:ind w:left="101"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p>
      <w:pPr>
        <w:pStyle w:val="BodyText"/>
        <w:rPr>
          <w:rFonts w:ascii="Calibri"/>
          <w:sz w:val="20"/>
        </w:rPr>
      </w:pPr>
    </w:p>
    <w:p>
      <w:pPr>
        <w:pStyle w:val="BodyText"/>
        <w:rPr>
          <w:rFonts w:ascii="Calibri"/>
          <w:sz w:val="20"/>
        </w:rPr>
      </w:pPr>
    </w:p>
    <w:p>
      <w:pPr>
        <w:pStyle w:val="BodyText"/>
        <w:spacing w:before="1"/>
        <w:rPr>
          <w:rFonts w:ascii="Calibri"/>
          <w:sz w:val="23"/>
        </w:rPr>
      </w:pPr>
    </w:p>
    <w:p>
      <w:pPr>
        <w:pStyle w:val="ListParagraph"/>
        <w:numPr>
          <w:ilvl w:val="0"/>
          <w:numId w:val="20"/>
        </w:numPr>
        <w:tabs>
          <w:tab w:pos="1960" w:val="left" w:leader="none"/>
        </w:tabs>
        <w:spacing w:line="259" w:lineRule="auto" w:before="98" w:after="0"/>
        <w:ind w:left="1959" w:right="1417" w:hanging="187"/>
        <w:jc w:val="left"/>
        <w:rPr>
          <w:sz w:val="18"/>
        </w:rPr>
      </w:pPr>
      <w:r>
        <w:rPr>
          <w:w w:val="105"/>
          <w:sz w:val="18"/>
        </w:rPr>
        <w:t>Our Board does not believe that rotating committee members at set intervals should be mandated as a</w:t>
      </w:r>
      <w:r>
        <w:rPr>
          <w:spacing w:val="40"/>
          <w:w w:val="105"/>
          <w:sz w:val="18"/>
        </w:rPr>
        <w:t> </w:t>
      </w:r>
      <w:r>
        <w:rPr>
          <w:w w:val="105"/>
          <w:sz w:val="18"/>
        </w:rPr>
        <w:t>policy since there may be reasons at a given point in time to maintain an individual Board member’s</w:t>
      </w:r>
      <w:r>
        <w:rPr>
          <w:spacing w:val="40"/>
          <w:w w:val="105"/>
          <w:sz w:val="18"/>
        </w:rPr>
        <w:t> </w:t>
      </w:r>
      <w:r>
        <w:rPr>
          <w:w w:val="105"/>
          <w:sz w:val="18"/>
        </w:rPr>
        <w:t>committee membership for a longer period. However, for the Board’s standing committees, our guidelines</w:t>
      </w:r>
      <w:r>
        <w:rPr>
          <w:spacing w:val="28"/>
          <w:w w:val="105"/>
          <w:sz w:val="18"/>
        </w:rPr>
        <w:t> </w:t>
      </w:r>
      <w:r>
        <w:rPr>
          <w:w w:val="105"/>
          <w:sz w:val="18"/>
        </w:rPr>
        <w:t>state</w:t>
      </w:r>
      <w:r>
        <w:rPr>
          <w:spacing w:val="28"/>
          <w:w w:val="105"/>
          <w:sz w:val="18"/>
        </w:rPr>
        <w:t> </w:t>
      </w:r>
      <w:r>
        <w:rPr>
          <w:w w:val="105"/>
          <w:sz w:val="18"/>
        </w:rPr>
        <w:t>that</w:t>
      </w:r>
      <w:r>
        <w:rPr>
          <w:spacing w:val="28"/>
          <w:w w:val="105"/>
          <w:sz w:val="18"/>
        </w:rPr>
        <w:t> </w:t>
      </w:r>
      <w:r>
        <w:rPr>
          <w:w w:val="105"/>
          <w:sz w:val="18"/>
        </w:rPr>
        <w:t>the</w:t>
      </w:r>
      <w:r>
        <w:rPr>
          <w:spacing w:val="28"/>
          <w:w w:val="105"/>
          <w:sz w:val="18"/>
        </w:rPr>
        <w:t> </w:t>
      </w:r>
      <w:r>
        <w:rPr>
          <w:w w:val="105"/>
          <w:sz w:val="18"/>
        </w:rPr>
        <w:t>Nominating</w:t>
      </w:r>
      <w:r>
        <w:rPr>
          <w:spacing w:val="28"/>
          <w:w w:val="105"/>
          <w:sz w:val="18"/>
        </w:rPr>
        <w:t> </w:t>
      </w:r>
      <w:r>
        <w:rPr>
          <w:w w:val="105"/>
          <w:sz w:val="18"/>
        </w:rPr>
        <w:t>Committee</w:t>
      </w:r>
      <w:r>
        <w:rPr>
          <w:spacing w:val="28"/>
          <w:w w:val="105"/>
          <w:sz w:val="18"/>
        </w:rPr>
        <w:t> </w:t>
      </w:r>
      <w:r>
        <w:rPr>
          <w:w w:val="105"/>
          <w:sz w:val="18"/>
        </w:rPr>
        <w:t>should</w:t>
      </w:r>
      <w:r>
        <w:rPr>
          <w:spacing w:val="28"/>
          <w:w w:val="105"/>
          <w:sz w:val="18"/>
        </w:rPr>
        <w:t> </w:t>
      </w:r>
      <w:r>
        <w:rPr>
          <w:w w:val="105"/>
          <w:sz w:val="18"/>
        </w:rPr>
        <w:t>consider</w:t>
      </w:r>
      <w:r>
        <w:rPr>
          <w:spacing w:val="28"/>
          <w:w w:val="105"/>
          <w:sz w:val="18"/>
        </w:rPr>
        <w:t> </w:t>
      </w:r>
      <w:r>
        <w:rPr>
          <w:w w:val="105"/>
          <w:sz w:val="18"/>
        </w:rPr>
        <w:t>recommending</w:t>
      </w:r>
      <w:r>
        <w:rPr>
          <w:spacing w:val="28"/>
          <w:w w:val="105"/>
          <w:sz w:val="18"/>
        </w:rPr>
        <w:t> </w:t>
      </w:r>
      <w:r>
        <w:rPr>
          <w:w w:val="105"/>
          <w:sz w:val="18"/>
        </w:rPr>
        <w:t>a</w:t>
      </w:r>
      <w:r>
        <w:rPr>
          <w:spacing w:val="28"/>
          <w:w w:val="105"/>
          <w:sz w:val="18"/>
        </w:rPr>
        <w:t> </w:t>
      </w:r>
      <w:r>
        <w:rPr>
          <w:w w:val="105"/>
          <w:sz w:val="18"/>
        </w:rPr>
        <w:t>new</w:t>
      </w:r>
      <w:r>
        <w:rPr>
          <w:spacing w:val="28"/>
          <w:w w:val="105"/>
          <w:sz w:val="18"/>
        </w:rPr>
        <w:t> </w:t>
      </w:r>
      <w:r>
        <w:rPr>
          <w:w w:val="105"/>
          <w:sz w:val="18"/>
        </w:rPr>
        <w:t>member</w:t>
      </w:r>
      <w:r>
        <w:rPr>
          <w:spacing w:val="28"/>
          <w:w w:val="105"/>
          <w:sz w:val="18"/>
        </w:rPr>
        <w:t> </w:t>
      </w:r>
      <w:r>
        <w:rPr>
          <w:w w:val="105"/>
          <w:sz w:val="18"/>
        </w:rPr>
        <w:t>to each committee every three years and rotating the Chair of a committee as appropriate.</w:t>
      </w:r>
    </w:p>
    <w:p>
      <w:pPr>
        <w:pStyle w:val="ListParagraph"/>
        <w:numPr>
          <w:ilvl w:val="0"/>
          <w:numId w:val="20"/>
        </w:numPr>
        <w:tabs>
          <w:tab w:pos="1960" w:val="left" w:leader="none"/>
        </w:tabs>
        <w:spacing w:line="259" w:lineRule="auto" w:before="112" w:after="0"/>
        <w:ind w:left="1959" w:right="1531" w:hanging="187"/>
        <w:jc w:val="left"/>
        <w:rPr>
          <w:sz w:val="18"/>
        </w:rPr>
      </w:pPr>
      <w:r>
        <w:rPr>
          <w:w w:val="105"/>
          <w:sz w:val="18"/>
        </w:rPr>
        <w:t>The annual cycle of agenda items for Board and committee meetings reflects Board and committee requests</w:t>
      </w:r>
      <w:r>
        <w:rPr>
          <w:spacing w:val="31"/>
          <w:w w:val="105"/>
          <w:sz w:val="18"/>
        </w:rPr>
        <w:t> </w:t>
      </w:r>
      <w:r>
        <w:rPr>
          <w:w w:val="105"/>
          <w:sz w:val="18"/>
        </w:rPr>
        <w:t>and</w:t>
      </w:r>
      <w:r>
        <w:rPr>
          <w:spacing w:val="31"/>
          <w:w w:val="105"/>
          <w:sz w:val="18"/>
        </w:rPr>
        <w:t> </w:t>
      </w:r>
      <w:r>
        <w:rPr>
          <w:w w:val="105"/>
          <w:sz w:val="18"/>
        </w:rPr>
        <w:t>changing</w:t>
      </w:r>
      <w:r>
        <w:rPr>
          <w:spacing w:val="31"/>
          <w:w w:val="105"/>
          <w:sz w:val="18"/>
        </w:rPr>
        <w:t> </w:t>
      </w:r>
      <w:r>
        <w:rPr>
          <w:w w:val="105"/>
          <w:sz w:val="18"/>
        </w:rPr>
        <w:t>business</w:t>
      </w:r>
      <w:r>
        <w:rPr>
          <w:spacing w:val="31"/>
          <w:w w:val="105"/>
          <w:sz w:val="18"/>
        </w:rPr>
        <w:t> </w:t>
      </w:r>
      <w:r>
        <w:rPr>
          <w:w w:val="105"/>
          <w:sz w:val="18"/>
        </w:rPr>
        <w:t>and</w:t>
      </w:r>
      <w:r>
        <w:rPr>
          <w:spacing w:val="31"/>
          <w:w w:val="105"/>
          <w:sz w:val="18"/>
        </w:rPr>
        <w:t> </w:t>
      </w:r>
      <w:r>
        <w:rPr>
          <w:w w:val="105"/>
          <w:sz w:val="18"/>
        </w:rPr>
        <w:t>legal</w:t>
      </w:r>
      <w:r>
        <w:rPr>
          <w:spacing w:val="31"/>
          <w:w w:val="105"/>
          <w:sz w:val="18"/>
        </w:rPr>
        <w:t> </w:t>
      </w:r>
      <w:r>
        <w:rPr>
          <w:w w:val="105"/>
          <w:sz w:val="18"/>
        </w:rPr>
        <w:t>issues. The</w:t>
      </w:r>
      <w:r>
        <w:rPr>
          <w:spacing w:val="31"/>
          <w:w w:val="105"/>
          <w:sz w:val="18"/>
        </w:rPr>
        <w:t> </w:t>
      </w:r>
      <w:r>
        <w:rPr>
          <w:w w:val="105"/>
          <w:sz w:val="18"/>
        </w:rPr>
        <w:t>Board</w:t>
      </w:r>
      <w:r>
        <w:rPr>
          <w:spacing w:val="31"/>
          <w:w w:val="105"/>
          <w:sz w:val="18"/>
        </w:rPr>
        <w:t> </w:t>
      </w:r>
      <w:r>
        <w:rPr>
          <w:w w:val="105"/>
          <w:sz w:val="18"/>
        </w:rPr>
        <w:t>receives</w:t>
      </w:r>
      <w:r>
        <w:rPr>
          <w:spacing w:val="31"/>
          <w:w w:val="105"/>
          <w:sz w:val="18"/>
        </w:rPr>
        <w:t> </w:t>
      </w:r>
      <w:r>
        <w:rPr>
          <w:w w:val="105"/>
          <w:sz w:val="18"/>
        </w:rPr>
        <w:t>regularly</w:t>
      </w:r>
      <w:r>
        <w:rPr>
          <w:spacing w:val="31"/>
          <w:w w:val="105"/>
          <w:sz w:val="18"/>
        </w:rPr>
        <w:t> </w:t>
      </w:r>
      <w:r>
        <w:rPr>
          <w:w w:val="105"/>
          <w:sz w:val="18"/>
        </w:rPr>
        <w:t>scheduled presentations from our finance, legal and compliance departments and major business units and operations,</w:t>
      </w:r>
      <w:r>
        <w:rPr>
          <w:spacing w:val="28"/>
          <w:w w:val="105"/>
          <w:sz w:val="18"/>
        </w:rPr>
        <w:t> </w:t>
      </w:r>
      <w:r>
        <w:rPr>
          <w:w w:val="105"/>
          <w:sz w:val="18"/>
        </w:rPr>
        <w:t>and</w:t>
      </w:r>
      <w:r>
        <w:rPr>
          <w:spacing w:val="28"/>
          <w:w w:val="105"/>
          <w:sz w:val="18"/>
        </w:rPr>
        <w:t> </w:t>
      </w:r>
      <w:r>
        <w:rPr>
          <w:w w:val="105"/>
          <w:sz w:val="18"/>
        </w:rPr>
        <w:t>reviews</w:t>
      </w:r>
      <w:r>
        <w:rPr>
          <w:spacing w:val="28"/>
          <w:w w:val="105"/>
          <w:sz w:val="18"/>
        </w:rPr>
        <w:t> </w:t>
      </w:r>
      <w:r>
        <w:rPr>
          <w:w w:val="105"/>
          <w:sz w:val="18"/>
        </w:rPr>
        <w:t>enterprise</w:t>
      </w:r>
      <w:r>
        <w:rPr>
          <w:spacing w:val="28"/>
          <w:w w:val="105"/>
          <w:sz w:val="18"/>
        </w:rPr>
        <w:t> </w:t>
      </w:r>
      <w:r>
        <w:rPr>
          <w:w w:val="105"/>
          <w:sz w:val="18"/>
        </w:rPr>
        <w:t>risk</w:t>
      </w:r>
      <w:r>
        <w:rPr>
          <w:spacing w:val="28"/>
          <w:w w:val="105"/>
          <w:sz w:val="18"/>
        </w:rPr>
        <w:t> </w:t>
      </w:r>
      <w:r>
        <w:rPr>
          <w:w w:val="105"/>
          <w:sz w:val="18"/>
        </w:rPr>
        <w:t>at</w:t>
      </w:r>
      <w:r>
        <w:rPr>
          <w:spacing w:val="28"/>
          <w:w w:val="105"/>
          <w:sz w:val="18"/>
        </w:rPr>
        <w:t> </w:t>
      </w:r>
      <w:r>
        <w:rPr>
          <w:w w:val="105"/>
          <w:sz w:val="18"/>
        </w:rPr>
        <w:t>least</w:t>
      </w:r>
      <w:r>
        <w:rPr>
          <w:spacing w:val="28"/>
          <w:w w:val="105"/>
          <w:sz w:val="18"/>
        </w:rPr>
        <w:t> </w:t>
      </w:r>
      <w:r>
        <w:rPr>
          <w:w w:val="105"/>
          <w:sz w:val="18"/>
        </w:rPr>
        <w:t>annually.</w:t>
      </w:r>
      <w:r>
        <w:rPr>
          <w:spacing w:val="22"/>
          <w:w w:val="105"/>
          <w:sz w:val="18"/>
        </w:rPr>
        <w:t> </w:t>
      </w:r>
      <w:r>
        <w:rPr>
          <w:w w:val="105"/>
          <w:sz w:val="18"/>
        </w:rPr>
        <w:t>The</w:t>
      </w:r>
      <w:r>
        <w:rPr>
          <w:spacing w:val="28"/>
          <w:w w:val="105"/>
          <w:sz w:val="18"/>
        </w:rPr>
        <w:t> </w:t>
      </w:r>
      <w:r>
        <w:rPr>
          <w:w w:val="105"/>
          <w:sz w:val="18"/>
        </w:rPr>
        <w:t>Board’s</w:t>
      </w:r>
      <w:r>
        <w:rPr>
          <w:spacing w:val="28"/>
          <w:w w:val="105"/>
          <w:sz w:val="18"/>
        </w:rPr>
        <w:t> </w:t>
      </w:r>
      <w:r>
        <w:rPr>
          <w:w w:val="105"/>
          <w:sz w:val="18"/>
        </w:rPr>
        <w:t>and</w:t>
      </w:r>
      <w:r>
        <w:rPr>
          <w:spacing w:val="28"/>
          <w:w w:val="105"/>
          <w:sz w:val="18"/>
        </w:rPr>
        <w:t> </w:t>
      </w:r>
      <w:r>
        <w:rPr>
          <w:w w:val="105"/>
          <w:sz w:val="18"/>
        </w:rPr>
        <w:t>committees’ annual agendas include review of, among other items, our long-term strategic plans and periodic reports on</w:t>
      </w:r>
      <w:r>
        <w:rPr>
          <w:spacing w:val="40"/>
          <w:w w:val="105"/>
          <w:sz w:val="18"/>
        </w:rPr>
        <w:t> </w:t>
      </w:r>
      <w:r>
        <w:rPr>
          <w:w w:val="105"/>
          <w:sz w:val="18"/>
        </w:rPr>
        <w:t>progress</w:t>
      </w:r>
      <w:r>
        <w:rPr>
          <w:spacing w:val="34"/>
          <w:w w:val="105"/>
          <w:sz w:val="18"/>
        </w:rPr>
        <w:t> </w:t>
      </w:r>
      <w:r>
        <w:rPr>
          <w:w w:val="105"/>
          <w:sz w:val="18"/>
        </w:rPr>
        <w:t>against</w:t>
      </w:r>
      <w:r>
        <w:rPr>
          <w:spacing w:val="34"/>
          <w:w w:val="105"/>
          <w:sz w:val="18"/>
        </w:rPr>
        <w:t> </w:t>
      </w:r>
      <w:r>
        <w:rPr>
          <w:w w:val="105"/>
          <w:sz w:val="18"/>
        </w:rPr>
        <w:t>these</w:t>
      </w:r>
      <w:r>
        <w:rPr>
          <w:spacing w:val="34"/>
          <w:w w:val="105"/>
          <w:sz w:val="18"/>
        </w:rPr>
        <w:t> </w:t>
      </w:r>
      <w:r>
        <w:rPr>
          <w:w w:val="105"/>
          <w:sz w:val="18"/>
        </w:rPr>
        <w:t>plans,</w:t>
      </w:r>
      <w:r>
        <w:rPr>
          <w:spacing w:val="34"/>
          <w:w w:val="105"/>
          <w:sz w:val="18"/>
        </w:rPr>
        <w:t> </w:t>
      </w:r>
      <w:r>
        <w:rPr>
          <w:w w:val="105"/>
          <w:sz w:val="18"/>
        </w:rPr>
        <w:t>emerging</w:t>
      </w:r>
      <w:r>
        <w:rPr>
          <w:spacing w:val="34"/>
          <w:w w:val="105"/>
          <w:sz w:val="18"/>
        </w:rPr>
        <w:t> </w:t>
      </w:r>
      <w:r>
        <w:rPr>
          <w:w w:val="105"/>
          <w:sz w:val="18"/>
        </w:rPr>
        <w:t>and</w:t>
      </w:r>
      <w:r>
        <w:rPr>
          <w:spacing w:val="34"/>
          <w:w w:val="105"/>
          <w:sz w:val="18"/>
        </w:rPr>
        <w:t> </w:t>
      </w:r>
      <w:r>
        <w:rPr>
          <w:w w:val="105"/>
          <w:sz w:val="18"/>
        </w:rPr>
        <w:t>disruptive</w:t>
      </w:r>
      <w:r>
        <w:rPr>
          <w:spacing w:val="34"/>
          <w:w w:val="105"/>
          <w:sz w:val="18"/>
        </w:rPr>
        <w:t> </w:t>
      </w:r>
      <w:r>
        <w:rPr>
          <w:w w:val="105"/>
          <w:sz w:val="18"/>
        </w:rPr>
        <w:t>technologies,</w:t>
      </w:r>
      <w:r>
        <w:rPr>
          <w:spacing w:val="34"/>
          <w:w w:val="105"/>
          <w:sz w:val="18"/>
        </w:rPr>
        <w:t> </w:t>
      </w:r>
      <w:r>
        <w:rPr>
          <w:w w:val="105"/>
          <w:sz w:val="18"/>
        </w:rPr>
        <w:t>potential</w:t>
      </w:r>
      <w:r>
        <w:rPr>
          <w:spacing w:val="34"/>
          <w:w w:val="105"/>
          <w:sz w:val="18"/>
        </w:rPr>
        <w:t> </w:t>
      </w:r>
      <w:r>
        <w:rPr>
          <w:w w:val="105"/>
          <w:sz w:val="18"/>
        </w:rPr>
        <w:t>acquisition</w:t>
      </w:r>
      <w:r>
        <w:rPr>
          <w:spacing w:val="34"/>
          <w:w w:val="105"/>
          <w:sz w:val="18"/>
        </w:rPr>
        <w:t> </w:t>
      </w:r>
      <w:r>
        <w:rPr>
          <w:w w:val="105"/>
          <w:sz w:val="18"/>
        </w:rPr>
        <w:t>or investment targets, capital projects, the evaluation of our Chief Executive Officer and management, and Board succession.</w:t>
      </w:r>
    </w:p>
    <w:p>
      <w:pPr>
        <w:pStyle w:val="BodyText"/>
        <w:spacing w:before="155"/>
        <w:ind w:left="1772"/>
      </w:pPr>
      <w:r>
        <w:rPr>
          <w:w w:val="105"/>
          <w:u w:val="single"/>
        </w:rPr>
        <w:t>Director</w:t>
      </w:r>
      <w:r>
        <w:rPr>
          <w:spacing w:val="13"/>
          <w:w w:val="105"/>
          <w:u w:val="single"/>
        </w:rPr>
        <w:t> </w:t>
      </w:r>
      <w:r>
        <w:rPr>
          <w:w w:val="105"/>
          <w:u w:val="single"/>
        </w:rPr>
        <w:t>and</w:t>
      </w:r>
      <w:r>
        <w:rPr>
          <w:spacing w:val="13"/>
          <w:w w:val="105"/>
          <w:u w:val="single"/>
        </w:rPr>
        <w:t> </w:t>
      </w:r>
      <w:r>
        <w:rPr>
          <w:w w:val="105"/>
          <w:u w:val="single"/>
        </w:rPr>
        <w:t>Executive</w:t>
      </w:r>
      <w:r>
        <w:rPr>
          <w:spacing w:val="13"/>
          <w:w w:val="105"/>
          <w:u w:val="single"/>
        </w:rPr>
        <w:t> </w:t>
      </w:r>
      <w:r>
        <w:rPr>
          <w:spacing w:val="-2"/>
          <w:w w:val="105"/>
          <w:u w:val="single"/>
        </w:rPr>
        <w:t>Compensation</w:t>
      </w:r>
    </w:p>
    <w:p>
      <w:pPr>
        <w:pStyle w:val="ListParagraph"/>
        <w:numPr>
          <w:ilvl w:val="0"/>
          <w:numId w:val="20"/>
        </w:numPr>
        <w:tabs>
          <w:tab w:pos="1960" w:val="left" w:leader="none"/>
        </w:tabs>
        <w:spacing w:line="259" w:lineRule="auto" w:before="129" w:after="0"/>
        <w:ind w:left="1959" w:right="1472" w:hanging="187"/>
        <w:jc w:val="left"/>
        <w:rPr>
          <w:sz w:val="18"/>
        </w:rPr>
      </w:pPr>
      <w:r>
        <w:rPr>
          <w:w w:val="105"/>
          <w:sz w:val="18"/>
        </w:rPr>
        <w:t>The</w:t>
      </w:r>
      <w:r>
        <w:rPr>
          <w:spacing w:val="27"/>
          <w:w w:val="105"/>
          <w:sz w:val="18"/>
        </w:rPr>
        <w:t> </w:t>
      </w:r>
      <w:r>
        <w:rPr>
          <w:w w:val="105"/>
          <w:sz w:val="18"/>
        </w:rPr>
        <w:t>Board</w:t>
      </w:r>
      <w:r>
        <w:rPr>
          <w:spacing w:val="27"/>
          <w:w w:val="105"/>
          <w:sz w:val="18"/>
        </w:rPr>
        <w:t> </w:t>
      </w:r>
      <w:r>
        <w:rPr>
          <w:w w:val="105"/>
          <w:sz w:val="18"/>
        </w:rPr>
        <w:t>has</w:t>
      </w:r>
      <w:r>
        <w:rPr>
          <w:spacing w:val="27"/>
          <w:w w:val="105"/>
          <w:sz w:val="18"/>
        </w:rPr>
        <w:t> </w:t>
      </w:r>
      <w:r>
        <w:rPr>
          <w:w w:val="105"/>
          <w:sz w:val="18"/>
        </w:rPr>
        <w:t>adopted</w:t>
      </w:r>
      <w:r>
        <w:rPr>
          <w:spacing w:val="27"/>
          <w:w w:val="105"/>
          <w:sz w:val="18"/>
        </w:rPr>
        <w:t> </w:t>
      </w:r>
      <w:r>
        <w:rPr>
          <w:w w:val="105"/>
          <w:sz w:val="18"/>
        </w:rPr>
        <w:t>stock</w:t>
      </w:r>
      <w:r>
        <w:rPr>
          <w:spacing w:val="27"/>
          <w:w w:val="105"/>
          <w:sz w:val="18"/>
        </w:rPr>
        <w:t> </w:t>
      </w:r>
      <w:r>
        <w:rPr>
          <w:w w:val="105"/>
          <w:sz w:val="18"/>
        </w:rPr>
        <w:t>ownership</w:t>
      </w:r>
      <w:r>
        <w:rPr>
          <w:spacing w:val="27"/>
          <w:w w:val="105"/>
          <w:sz w:val="18"/>
        </w:rPr>
        <w:t> </w:t>
      </w:r>
      <w:r>
        <w:rPr>
          <w:w w:val="105"/>
          <w:sz w:val="18"/>
        </w:rPr>
        <w:t>guidelines</w:t>
      </w:r>
      <w:r>
        <w:rPr>
          <w:spacing w:val="27"/>
          <w:w w:val="105"/>
          <w:sz w:val="18"/>
        </w:rPr>
        <w:t> </w:t>
      </w:r>
      <w:r>
        <w:rPr>
          <w:w w:val="105"/>
          <w:sz w:val="18"/>
        </w:rPr>
        <w:t>for</w:t>
      </w:r>
      <w:r>
        <w:rPr>
          <w:spacing w:val="27"/>
          <w:w w:val="105"/>
          <w:sz w:val="18"/>
        </w:rPr>
        <w:t> </w:t>
      </w:r>
      <w:r>
        <w:rPr>
          <w:w w:val="105"/>
          <w:sz w:val="18"/>
        </w:rPr>
        <w:t>our</w:t>
      </w:r>
      <w:r>
        <w:rPr>
          <w:spacing w:val="27"/>
          <w:w w:val="105"/>
          <w:sz w:val="18"/>
        </w:rPr>
        <w:t> </w:t>
      </w:r>
      <w:r>
        <w:rPr>
          <w:w w:val="105"/>
          <w:sz w:val="18"/>
        </w:rPr>
        <w:t>directors</w:t>
      </w:r>
      <w:r>
        <w:rPr>
          <w:spacing w:val="27"/>
          <w:w w:val="105"/>
          <w:sz w:val="18"/>
        </w:rPr>
        <w:t> </w:t>
      </w:r>
      <w:r>
        <w:rPr>
          <w:w w:val="105"/>
          <w:sz w:val="18"/>
        </w:rPr>
        <w:t>and</w:t>
      </w:r>
      <w:r>
        <w:rPr>
          <w:spacing w:val="27"/>
          <w:w w:val="105"/>
          <w:sz w:val="18"/>
        </w:rPr>
        <w:t> </w:t>
      </w:r>
      <w:r>
        <w:rPr>
          <w:w w:val="105"/>
          <w:sz w:val="18"/>
        </w:rPr>
        <w:t>executive</w:t>
      </w:r>
      <w:r>
        <w:rPr>
          <w:spacing w:val="27"/>
          <w:w w:val="105"/>
          <w:sz w:val="18"/>
        </w:rPr>
        <w:t> </w:t>
      </w:r>
      <w:r>
        <w:rPr>
          <w:w w:val="105"/>
          <w:sz w:val="18"/>
        </w:rPr>
        <w:t>officers.</w:t>
      </w:r>
      <w:r>
        <w:rPr>
          <w:spacing w:val="27"/>
          <w:w w:val="105"/>
          <w:sz w:val="18"/>
        </w:rPr>
        <w:t> </w:t>
      </w:r>
      <w:r>
        <w:rPr>
          <w:w w:val="105"/>
          <w:sz w:val="18"/>
        </w:rPr>
        <w:t>Each non-employee</w:t>
      </w:r>
      <w:r>
        <w:rPr>
          <w:spacing w:val="26"/>
          <w:w w:val="105"/>
          <w:sz w:val="18"/>
        </w:rPr>
        <w:t> </w:t>
      </w:r>
      <w:r>
        <w:rPr>
          <w:w w:val="105"/>
          <w:sz w:val="18"/>
        </w:rPr>
        <w:t>director</w:t>
      </w:r>
      <w:r>
        <w:rPr>
          <w:spacing w:val="26"/>
          <w:w w:val="105"/>
          <w:sz w:val="18"/>
        </w:rPr>
        <w:t> </w:t>
      </w:r>
      <w:r>
        <w:rPr>
          <w:w w:val="105"/>
          <w:sz w:val="18"/>
        </w:rPr>
        <w:t>is</w:t>
      </w:r>
      <w:r>
        <w:rPr>
          <w:spacing w:val="26"/>
          <w:w w:val="105"/>
          <w:sz w:val="18"/>
        </w:rPr>
        <w:t> </w:t>
      </w:r>
      <w:r>
        <w:rPr>
          <w:w w:val="105"/>
          <w:sz w:val="18"/>
        </w:rPr>
        <w:t>expected</w:t>
      </w:r>
      <w:r>
        <w:rPr>
          <w:spacing w:val="26"/>
          <w:w w:val="105"/>
          <w:sz w:val="18"/>
        </w:rPr>
        <w:t> </w:t>
      </w:r>
      <w:r>
        <w:rPr>
          <w:w w:val="105"/>
          <w:sz w:val="18"/>
        </w:rPr>
        <w:t>to</w:t>
      </w:r>
      <w:r>
        <w:rPr>
          <w:spacing w:val="26"/>
          <w:w w:val="105"/>
          <w:sz w:val="18"/>
        </w:rPr>
        <w:t> </w:t>
      </w:r>
      <w:r>
        <w:rPr>
          <w:w w:val="105"/>
          <w:sz w:val="18"/>
        </w:rPr>
        <w:t>own</w:t>
      </w:r>
      <w:r>
        <w:rPr>
          <w:spacing w:val="26"/>
          <w:w w:val="105"/>
          <w:sz w:val="18"/>
        </w:rPr>
        <w:t> </w:t>
      </w:r>
      <w:r>
        <w:rPr>
          <w:w w:val="105"/>
          <w:sz w:val="18"/>
        </w:rPr>
        <w:t>shares</w:t>
      </w:r>
      <w:r>
        <w:rPr>
          <w:spacing w:val="26"/>
          <w:w w:val="105"/>
          <w:sz w:val="18"/>
        </w:rPr>
        <w:t> </w:t>
      </w:r>
      <w:r>
        <w:rPr>
          <w:w w:val="105"/>
          <w:sz w:val="18"/>
        </w:rPr>
        <w:t>valued</w:t>
      </w:r>
      <w:r>
        <w:rPr>
          <w:spacing w:val="26"/>
          <w:w w:val="105"/>
          <w:sz w:val="18"/>
        </w:rPr>
        <w:t> </w:t>
      </w:r>
      <w:r>
        <w:rPr>
          <w:w w:val="105"/>
          <w:sz w:val="18"/>
        </w:rPr>
        <w:t>at</w:t>
      </w:r>
      <w:r>
        <w:rPr>
          <w:spacing w:val="26"/>
          <w:w w:val="105"/>
          <w:sz w:val="18"/>
        </w:rPr>
        <w:t> </w:t>
      </w:r>
      <w:r>
        <w:rPr>
          <w:w w:val="105"/>
          <w:sz w:val="18"/>
        </w:rPr>
        <w:t>five</w:t>
      </w:r>
      <w:r>
        <w:rPr>
          <w:spacing w:val="26"/>
          <w:w w:val="105"/>
          <w:sz w:val="18"/>
        </w:rPr>
        <w:t> </w:t>
      </w:r>
      <w:r>
        <w:rPr>
          <w:w w:val="105"/>
          <w:sz w:val="18"/>
        </w:rPr>
        <w:t>times</w:t>
      </w:r>
      <w:r>
        <w:rPr>
          <w:spacing w:val="26"/>
          <w:w w:val="105"/>
          <w:sz w:val="18"/>
        </w:rPr>
        <w:t> </w:t>
      </w:r>
      <w:r>
        <w:rPr>
          <w:w w:val="105"/>
          <w:sz w:val="18"/>
        </w:rPr>
        <w:t>the</w:t>
      </w:r>
      <w:r>
        <w:rPr>
          <w:spacing w:val="26"/>
          <w:w w:val="105"/>
          <w:sz w:val="18"/>
        </w:rPr>
        <w:t> </w:t>
      </w:r>
      <w:r>
        <w:rPr>
          <w:w w:val="105"/>
          <w:sz w:val="18"/>
        </w:rPr>
        <w:t>directors’ annual</w:t>
      </w:r>
      <w:r>
        <w:rPr>
          <w:spacing w:val="26"/>
          <w:w w:val="105"/>
          <w:sz w:val="18"/>
        </w:rPr>
        <w:t> </w:t>
      </w:r>
      <w:r>
        <w:rPr>
          <w:w w:val="105"/>
          <w:sz w:val="18"/>
        </w:rPr>
        <w:t>retainer fee. Our Chief Executive Officer is expected to own shares valued at six times base salary, our Chief Financial</w:t>
      </w:r>
      <w:r>
        <w:rPr>
          <w:spacing w:val="22"/>
          <w:w w:val="105"/>
          <w:sz w:val="18"/>
        </w:rPr>
        <w:t> </w:t>
      </w:r>
      <w:r>
        <w:rPr>
          <w:w w:val="105"/>
          <w:sz w:val="18"/>
        </w:rPr>
        <w:t>Officer</w:t>
      </w:r>
      <w:r>
        <w:rPr>
          <w:spacing w:val="22"/>
          <w:w w:val="105"/>
          <w:sz w:val="18"/>
        </w:rPr>
        <w:t> </w:t>
      </w:r>
      <w:r>
        <w:rPr>
          <w:w w:val="105"/>
          <w:sz w:val="18"/>
        </w:rPr>
        <w:t>at</w:t>
      </w:r>
      <w:r>
        <w:rPr>
          <w:spacing w:val="22"/>
          <w:w w:val="105"/>
          <w:sz w:val="18"/>
        </w:rPr>
        <w:t> </w:t>
      </w:r>
      <w:r>
        <w:rPr>
          <w:w w:val="105"/>
          <w:sz w:val="18"/>
        </w:rPr>
        <w:t>three</w:t>
      </w:r>
      <w:r>
        <w:rPr>
          <w:spacing w:val="22"/>
          <w:w w:val="105"/>
          <w:sz w:val="18"/>
        </w:rPr>
        <w:t> </w:t>
      </w:r>
      <w:r>
        <w:rPr>
          <w:w w:val="105"/>
          <w:sz w:val="18"/>
        </w:rPr>
        <w:t>times</w:t>
      </w:r>
      <w:r>
        <w:rPr>
          <w:spacing w:val="22"/>
          <w:w w:val="105"/>
          <w:sz w:val="18"/>
        </w:rPr>
        <w:t> </w:t>
      </w:r>
      <w:r>
        <w:rPr>
          <w:w w:val="105"/>
          <w:sz w:val="18"/>
        </w:rPr>
        <w:t>base</w:t>
      </w:r>
      <w:r>
        <w:rPr>
          <w:spacing w:val="22"/>
          <w:w w:val="105"/>
          <w:sz w:val="18"/>
        </w:rPr>
        <w:t> </w:t>
      </w:r>
      <w:r>
        <w:rPr>
          <w:w w:val="105"/>
          <w:sz w:val="18"/>
        </w:rPr>
        <w:t>salary,</w:t>
      </w:r>
      <w:r>
        <w:rPr>
          <w:spacing w:val="22"/>
          <w:w w:val="105"/>
          <w:sz w:val="18"/>
        </w:rPr>
        <w:t> </w:t>
      </w:r>
      <w:r>
        <w:rPr>
          <w:w w:val="105"/>
          <w:sz w:val="18"/>
        </w:rPr>
        <w:t>and</w:t>
      </w:r>
      <w:r>
        <w:rPr>
          <w:spacing w:val="22"/>
          <w:w w:val="105"/>
          <w:sz w:val="18"/>
        </w:rPr>
        <w:t> </w:t>
      </w:r>
      <w:r>
        <w:rPr>
          <w:w w:val="105"/>
          <w:sz w:val="18"/>
        </w:rPr>
        <w:t>each</w:t>
      </w:r>
      <w:r>
        <w:rPr>
          <w:spacing w:val="22"/>
          <w:w w:val="105"/>
          <w:sz w:val="18"/>
        </w:rPr>
        <w:t> </w:t>
      </w:r>
      <w:r>
        <w:rPr>
          <w:w w:val="105"/>
          <w:sz w:val="18"/>
        </w:rPr>
        <w:t>of</w:t>
      </w:r>
      <w:r>
        <w:rPr>
          <w:spacing w:val="22"/>
          <w:w w:val="105"/>
          <w:sz w:val="18"/>
        </w:rPr>
        <w:t> </w:t>
      </w:r>
      <w:r>
        <w:rPr>
          <w:w w:val="105"/>
          <w:sz w:val="18"/>
        </w:rPr>
        <w:t>our</w:t>
      </w:r>
      <w:r>
        <w:rPr>
          <w:spacing w:val="22"/>
          <w:w w:val="105"/>
          <w:sz w:val="18"/>
        </w:rPr>
        <w:t> </w:t>
      </w:r>
      <w:r>
        <w:rPr>
          <w:w w:val="105"/>
          <w:sz w:val="18"/>
        </w:rPr>
        <w:t>other</w:t>
      </w:r>
      <w:r>
        <w:rPr>
          <w:spacing w:val="22"/>
          <w:w w:val="105"/>
          <w:sz w:val="18"/>
        </w:rPr>
        <w:t> </w:t>
      </w:r>
      <w:r>
        <w:rPr>
          <w:w w:val="105"/>
          <w:sz w:val="18"/>
        </w:rPr>
        <w:t>executive</w:t>
      </w:r>
      <w:r>
        <w:rPr>
          <w:spacing w:val="22"/>
          <w:w w:val="105"/>
          <w:sz w:val="18"/>
        </w:rPr>
        <w:t> </w:t>
      </w:r>
      <w:r>
        <w:rPr>
          <w:w w:val="105"/>
          <w:sz w:val="18"/>
        </w:rPr>
        <w:t>officers</w:t>
      </w:r>
      <w:r>
        <w:rPr>
          <w:spacing w:val="22"/>
          <w:w w:val="105"/>
          <w:sz w:val="18"/>
        </w:rPr>
        <w:t> </w:t>
      </w:r>
      <w:r>
        <w:rPr>
          <w:w w:val="105"/>
          <w:sz w:val="18"/>
        </w:rPr>
        <w:t>at</w:t>
      </w:r>
      <w:r>
        <w:rPr>
          <w:spacing w:val="22"/>
          <w:w w:val="105"/>
          <w:sz w:val="18"/>
        </w:rPr>
        <w:t> </w:t>
      </w:r>
      <w:r>
        <w:rPr>
          <w:w w:val="105"/>
          <w:sz w:val="18"/>
        </w:rPr>
        <w:t>one</w:t>
      </w:r>
      <w:r>
        <w:rPr>
          <w:spacing w:val="22"/>
          <w:w w:val="105"/>
          <w:sz w:val="18"/>
        </w:rPr>
        <w:t> </w:t>
      </w:r>
      <w:r>
        <w:rPr>
          <w:w w:val="105"/>
          <w:sz w:val="18"/>
        </w:rPr>
        <w:t>times base</w:t>
      </w:r>
      <w:r>
        <w:rPr>
          <w:spacing w:val="28"/>
          <w:w w:val="105"/>
          <w:sz w:val="18"/>
        </w:rPr>
        <w:t> </w:t>
      </w:r>
      <w:r>
        <w:rPr>
          <w:w w:val="105"/>
          <w:sz w:val="18"/>
        </w:rPr>
        <w:t>salary.</w:t>
      </w:r>
      <w:r>
        <w:rPr>
          <w:spacing w:val="28"/>
          <w:w w:val="105"/>
          <w:sz w:val="18"/>
        </w:rPr>
        <w:t> </w:t>
      </w:r>
      <w:r>
        <w:rPr>
          <w:w w:val="105"/>
          <w:sz w:val="18"/>
        </w:rPr>
        <w:t>Individuals</w:t>
      </w:r>
      <w:r>
        <w:rPr>
          <w:spacing w:val="28"/>
          <w:w w:val="105"/>
          <w:sz w:val="18"/>
        </w:rPr>
        <w:t> </w:t>
      </w:r>
      <w:r>
        <w:rPr>
          <w:w w:val="105"/>
          <w:sz w:val="18"/>
        </w:rPr>
        <w:t>who</w:t>
      </w:r>
      <w:r>
        <w:rPr>
          <w:spacing w:val="28"/>
          <w:w w:val="105"/>
          <w:sz w:val="18"/>
        </w:rPr>
        <w:t> </w:t>
      </w:r>
      <w:r>
        <w:rPr>
          <w:w w:val="105"/>
          <w:sz w:val="18"/>
        </w:rPr>
        <w:t>become</w:t>
      </w:r>
      <w:r>
        <w:rPr>
          <w:spacing w:val="28"/>
          <w:w w:val="105"/>
          <w:sz w:val="18"/>
        </w:rPr>
        <w:t> </w:t>
      </w:r>
      <w:r>
        <w:rPr>
          <w:w w:val="105"/>
          <w:sz w:val="18"/>
        </w:rPr>
        <w:t>subject</w:t>
      </w:r>
      <w:r>
        <w:rPr>
          <w:spacing w:val="28"/>
          <w:w w:val="105"/>
          <w:sz w:val="18"/>
        </w:rPr>
        <w:t> </w:t>
      </w:r>
      <w:r>
        <w:rPr>
          <w:w w:val="105"/>
          <w:sz w:val="18"/>
        </w:rPr>
        <w:t>to</w:t>
      </w:r>
      <w:r>
        <w:rPr>
          <w:spacing w:val="28"/>
          <w:w w:val="105"/>
          <w:sz w:val="18"/>
        </w:rPr>
        <w:t> </w:t>
      </w:r>
      <w:r>
        <w:rPr>
          <w:w w:val="105"/>
          <w:sz w:val="18"/>
        </w:rPr>
        <w:t>these</w:t>
      </w:r>
      <w:r>
        <w:rPr>
          <w:spacing w:val="28"/>
          <w:w w:val="105"/>
          <w:sz w:val="18"/>
        </w:rPr>
        <w:t> </w:t>
      </w:r>
      <w:r>
        <w:rPr>
          <w:w w:val="105"/>
          <w:sz w:val="18"/>
        </w:rPr>
        <w:t>stock</w:t>
      </w:r>
      <w:r>
        <w:rPr>
          <w:spacing w:val="28"/>
          <w:w w:val="105"/>
          <w:sz w:val="18"/>
        </w:rPr>
        <w:t> </w:t>
      </w:r>
      <w:r>
        <w:rPr>
          <w:w w:val="105"/>
          <w:sz w:val="18"/>
        </w:rPr>
        <w:t>ownership</w:t>
      </w:r>
      <w:r>
        <w:rPr>
          <w:spacing w:val="28"/>
          <w:w w:val="105"/>
          <w:sz w:val="18"/>
        </w:rPr>
        <w:t> </w:t>
      </w:r>
      <w:r>
        <w:rPr>
          <w:w w:val="105"/>
          <w:sz w:val="18"/>
        </w:rPr>
        <w:t>guidelines</w:t>
      </w:r>
      <w:r>
        <w:rPr>
          <w:spacing w:val="28"/>
          <w:w w:val="105"/>
          <w:sz w:val="18"/>
        </w:rPr>
        <w:t> </w:t>
      </w:r>
      <w:r>
        <w:rPr>
          <w:w w:val="105"/>
          <w:sz w:val="18"/>
        </w:rPr>
        <w:t>are</w:t>
      </w:r>
      <w:r>
        <w:rPr>
          <w:spacing w:val="28"/>
          <w:w w:val="105"/>
          <w:sz w:val="18"/>
        </w:rPr>
        <w:t> </w:t>
      </w:r>
      <w:r>
        <w:rPr>
          <w:w w:val="105"/>
          <w:sz w:val="18"/>
        </w:rPr>
        <w:t>generally required to achieve the applicable ownership level within five years of first becoming subject to the</w:t>
      </w:r>
      <w:r>
        <w:rPr>
          <w:spacing w:val="40"/>
          <w:w w:val="105"/>
          <w:sz w:val="18"/>
        </w:rPr>
        <w:t> </w:t>
      </w:r>
      <w:r>
        <w:rPr>
          <w:spacing w:val="-2"/>
          <w:w w:val="105"/>
          <w:sz w:val="18"/>
        </w:rPr>
        <w:t>guidelines.</w:t>
      </w:r>
    </w:p>
    <w:p>
      <w:pPr>
        <w:pStyle w:val="ListParagraph"/>
        <w:numPr>
          <w:ilvl w:val="0"/>
          <w:numId w:val="20"/>
        </w:numPr>
        <w:tabs>
          <w:tab w:pos="1960" w:val="left" w:leader="none"/>
        </w:tabs>
        <w:spacing w:line="259" w:lineRule="auto" w:before="113" w:after="0"/>
        <w:ind w:left="1959" w:right="1650" w:hanging="187"/>
        <w:jc w:val="left"/>
        <w:rPr>
          <w:sz w:val="18"/>
        </w:rPr>
      </w:pPr>
      <w:r>
        <w:rPr>
          <w:w w:val="105"/>
          <w:sz w:val="18"/>
        </w:rPr>
        <w:t>The Board has adopted a recoupment policy to recover certain cash and equity incentive payments made to executives in the event of a restatement of our financial statements.</w:t>
      </w:r>
    </w:p>
    <w:p>
      <w:pPr>
        <w:pStyle w:val="BodyText"/>
        <w:spacing w:before="10"/>
        <w:rPr>
          <w:sz w:val="10"/>
        </w:rPr>
      </w:pPr>
    </w:p>
    <w:p>
      <w:pPr>
        <w:spacing w:before="98"/>
        <w:ind w:left="1772" w:right="0" w:firstLine="0"/>
        <w:jc w:val="left"/>
        <w:rPr>
          <w:i/>
          <w:sz w:val="18"/>
        </w:rPr>
      </w:pPr>
      <w:r>
        <w:rPr>
          <w:i/>
          <w:w w:val="105"/>
          <w:sz w:val="18"/>
        </w:rPr>
        <w:t>Director</w:t>
      </w:r>
      <w:r>
        <w:rPr>
          <w:i/>
          <w:spacing w:val="8"/>
          <w:w w:val="105"/>
          <w:sz w:val="18"/>
        </w:rPr>
        <w:t> </w:t>
      </w:r>
      <w:r>
        <w:rPr>
          <w:i/>
          <w:spacing w:val="-2"/>
          <w:w w:val="105"/>
          <w:sz w:val="18"/>
        </w:rPr>
        <w:t>Independence</w:t>
      </w:r>
    </w:p>
    <w:p>
      <w:pPr>
        <w:pStyle w:val="BodyText"/>
        <w:spacing w:line="249" w:lineRule="auto" w:before="157"/>
        <w:ind w:left="1400" w:right="1680" w:firstLine="372"/>
      </w:pPr>
      <w:r>
        <w:rPr>
          <w:w w:val="105"/>
        </w:rPr>
        <w:t>The Board has determined that Ms. Bardwell, Dr. Chertoff, Mr. Guertin, Mr. Kunkel, Dr. Naumann- Etienne, Mr. Rosebrough, and Ms. Tsingos are “independent” for purposes of SEC regulations, Nasdaq</w:t>
      </w:r>
      <w:r>
        <w:rPr>
          <w:spacing w:val="80"/>
          <w:w w:val="105"/>
        </w:rPr>
        <w:t> </w:t>
      </w:r>
      <w:r>
        <w:rPr>
          <w:w w:val="105"/>
        </w:rPr>
        <w:t>listing requirements, and under our Corporate Governance Guidelines. Mr. Sanyal, our President and Chief Executive Officer, is an employee and therefore not “independent.” The Board considered transactions and relationships (such as Ms. Tsingos’ service on the board of Envista Holdings Corporation, the parent</w:t>
      </w:r>
      <w:r>
        <w:rPr>
          <w:spacing w:val="80"/>
          <w:w w:val="105"/>
        </w:rPr>
        <w:t> </w:t>
      </w:r>
      <w:r>
        <w:rPr>
          <w:w w:val="105"/>
        </w:rPr>
        <w:t>company to a customer of the Company), both direct and indirect, between each director (and his or her</w:t>
      </w:r>
      <w:r>
        <w:rPr>
          <w:spacing w:val="40"/>
          <w:w w:val="105"/>
        </w:rPr>
        <w:t> </w:t>
      </w:r>
      <w:r>
        <w:rPr>
          <w:w w:val="105"/>
        </w:rPr>
        <w:t>immediate family) and the Company and its subsidiaries and affirmatively determined that none of</w:t>
      </w:r>
    </w:p>
    <w:p>
      <w:pPr>
        <w:pStyle w:val="BodyText"/>
        <w:spacing w:before="3"/>
        <w:ind w:left="1400"/>
      </w:pPr>
      <w:r>
        <w:rPr>
          <w:w w:val="105"/>
        </w:rPr>
        <w:t>Ms.</w:t>
      </w:r>
      <w:r>
        <w:rPr>
          <w:spacing w:val="8"/>
          <w:w w:val="105"/>
        </w:rPr>
        <w:t> </w:t>
      </w:r>
      <w:r>
        <w:rPr>
          <w:w w:val="105"/>
        </w:rPr>
        <w:t>Bardwell,</w:t>
      </w:r>
      <w:r>
        <w:rPr>
          <w:spacing w:val="8"/>
          <w:w w:val="105"/>
        </w:rPr>
        <w:t> </w:t>
      </w:r>
      <w:r>
        <w:rPr>
          <w:w w:val="105"/>
        </w:rPr>
        <w:t>Dr.</w:t>
      </w:r>
      <w:r>
        <w:rPr>
          <w:spacing w:val="8"/>
          <w:w w:val="105"/>
        </w:rPr>
        <w:t> </w:t>
      </w:r>
      <w:r>
        <w:rPr>
          <w:w w:val="105"/>
        </w:rPr>
        <w:t>Chertoff,</w:t>
      </w:r>
      <w:r>
        <w:rPr>
          <w:spacing w:val="9"/>
          <w:w w:val="105"/>
        </w:rPr>
        <w:t> </w:t>
      </w:r>
      <w:r>
        <w:rPr>
          <w:w w:val="105"/>
        </w:rPr>
        <w:t>Mr.</w:t>
      </w:r>
      <w:r>
        <w:rPr>
          <w:spacing w:val="8"/>
          <w:w w:val="105"/>
        </w:rPr>
        <w:t> </w:t>
      </w:r>
      <w:r>
        <w:rPr>
          <w:w w:val="105"/>
        </w:rPr>
        <w:t>Guertin,</w:t>
      </w:r>
      <w:r>
        <w:rPr>
          <w:spacing w:val="8"/>
          <w:w w:val="105"/>
        </w:rPr>
        <w:t> </w:t>
      </w:r>
      <w:r>
        <w:rPr>
          <w:w w:val="105"/>
        </w:rPr>
        <w:t>Mr.</w:t>
      </w:r>
      <w:r>
        <w:rPr>
          <w:spacing w:val="8"/>
          <w:w w:val="105"/>
        </w:rPr>
        <w:t> </w:t>
      </w:r>
      <w:r>
        <w:rPr>
          <w:w w:val="105"/>
        </w:rPr>
        <w:t>Kunkel,</w:t>
      </w:r>
      <w:r>
        <w:rPr>
          <w:spacing w:val="9"/>
          <w:w w:val="105"/>
        </w:rPr>
        <w:t> </w:t>
      </w:r>
      <w:r>
        <w:rPr>
          <w:w w:val="105"/>
        </w:rPr>
        <w:t>Dr.</w:t>
      </w:r>
      <w:r>
        <w:rPr>
          <w:spacing w:val="8"/>
          <w:w w:val="105"/>
        </w:rPr>
        <w:t> </w:t>
      </w:r>
      <w:r>
        <w:rPr>
          <w:w w:val="105"/>
        </w:rPr>
        <w:t>Naumann-Etienne,</w:t>
      </w:r>
      <w:r>
        <w:rPr>
          <w:spacing w:val="8"/>
          <w:w w:val="105"/>
        </w:rPr>
        <w:t> </w:t>
      </w:r>
      <w:r>
        <w:rPr>
          <w:w w:val="105"/>
        </w:rPr>
        <w:t>Mr.</w:t>
      </w:r>
      <w:r>
        <w:rPr>
          <w:spacing w:val="8"/>
          <w:w w:val="105"/>
        </w:rPr>
        <w:t> </w:t>
      </w:r>
      <w:r>
        <w:rPr>
          <w:w w:val="105"/>
        </w:rPr>
        <w:t>Rosebrough,</w:t>
      </w:r>
      <w:r>
        <w:rPr>
          <w:spacing w:val="9"/>
          <w:w w:val="105"/>
        </w:rPr>
        <w:t> </w:t>
      </w:r>
      <w:r>
        <w:rPr>
          <w:spacing w:val="-5"/>
          <w:w w:val="105"/>
        </w:rPr>
        <w:t>or</w:t>
      </w:r>
    </w:p>
    <w:p>
      <w:pPr>
        <w:pStyle w:val="BodyText"/>
        <w:spacing w:line="242" w:lineRule="auto" w:before="3"/>
        <w:ind w:left="1400" w:right="1551"/>
      </w:pPr>
      <w:r>
        <w:rPr>
          <w:w w:val="105"/>
        </w:rPr>
        <w:t>Ms. Tsingos have any material relationship, either direct or indirect, with us other than as a director and</w:t>
      </w:r>
      <w:r>
        <w:rPr>
          <w:spacing w:val="40"/>
          <w:w w:val="105"/>
        </w:rPr>
        <w:t> </w:t>
      </w:r>
      <w:r>
        <w:rPr>
          <w:spacing w:val="-2"/>
          <w:w w:val="105"/>
        </w:rPr>
        <w:t>stockholder.</w:t>
      </w:r>
    </w:p>
    <w:p>
      <w:pPr>
        <w:pStyle w:val="BodyText"/>
        <w:spacing w:before="6"/>
        <w:rPr>
          <w:sz w:val="19"/>
        </w:rPr>
      </w:pPr>
    </w:p>
    <w:p>
      <w:pPr>
        <w:spacing w:before="0"/>
        <w:ind w:left="1772" w:right="0" w:firstLine="0"/>
        <w:jc w:val="left"/>
        <w:rPr>
          <w:i/>
          <w:sz w:val="18"/>
        </w:rPr>
      </w:pPr>
      <w:r>
        <w:rPr>
          <w:i/>
          <w:w w:val="105"/>
          <w:sz w:val="18"/>
        </w:rPr>
        <w:t>Board</w:t>
      </w:r>
      <w:r>
        <w:rPr>
          <w:i/>
          <w:spacing w:val="2"/>
          <w:w w:val="105"/>
          <w:sz w:val="18"/>
        </w:rPr>
        <w:t> </w:t>
      </w:r>
      <w:r>
        <w:rPr>
          <w:i/>
          <w:spacing w:val="-2"/>
          <w:w w:val="105"/>
          <w:sz w:val="18"/>
        </w:rPr>
        <w:t>Meetings</w:t>
      </w:r>
    </w:p>
    <w:p>
      <w:pPr>
        <w:pStyle w:val="BodyText"/>
        <w:spacing w:line="249" w:lineRule="auto" w:before="171"/>
        <w:ind w:left="1400" w:right="1505" w:firstLine="372"/>
      </w:pPr>
      <w:r>
        <w:rPr>
          <w:w w:val="105"/>
        </w:rPr>
        <w:t>The</w:t>
      </w:r>
      <w:r>
        <w:rPr>
          <w:spacing w:val="23"/>
          <w:w w:val="105"/>
        </w:rPr>
        <w:t> </w:t>
      </w:r>
      <w:r>
        <w:rPr>
          <w:w w:val="105"/>
        </w:rPr>
        <w:t>Board</w:t>
      </w:r>
      <w:r>
        <w:rPr>
          <w:spacing w:val="23"/>
          <w:w w:val="105"/>
        </w:rPr>
        <w:t> </w:t>
      </w:r>
      <w:r>
        <w:rPr>
          <w:w w:val="105"/>
        </w:rPr>
        <w:t>met</w:t>
      </w:r>
      <w:r>
        <w:rPr>
          <w:spacing w:val="23"/>
          <w:w w:val="105"/>
        </w:rPr>
        <w:t> </w:t>
      </w:r>
      <w:r>
        <w:rPr>
          <w:w w:val="105"/>
        </w:rPr>
        <w:t>eight</w:t>
      </w:r>
      <w:r>
        <w:rPr>
          <w:spacing w:val="23"/>
          <w:w w:val="105"/>
        </w:rPr>
        <w:t> </w:t>
      </w:r>
      <w:r>
        <w:rPr>
          <w:w w:val="105"/>
        </w:rPr>
        <w:t>times</w:t>
      </w:r>
      <w:r>
        <w:rPr>
          <w:spacing w:val="23"/>
          <w:w w:val="105"/>
        </w:rPr>
        <w:t> </w:t>
      </w:r>
      <w:r>
        <w:rPr>
          <w:w w:val="105"/>
        </w:rPr>
        <w:t>in</w:t>
      </w:r>
      <w:r>
        <w:rPr>
          <w:spacing w:val="23"/>
          <w:w w:val="105"/>
        </w:rPr>
        <w:t> </w:t>
      </w:r>
      <w:r>
        <w:rPr>
          <w:w w:val="105"/>
        </w:rPr>
        <w:t>fiscal</w:t>
      </w:r>
      <w:r>
        <w:rPr>
          <w:spacing w:val="23"/>
          <w:w w:val="105"/>
        </w:rPr>
        <w:t> </w:t>
      </w:r>
      <w:r>
        <w:rPr>
          <w:w w:val="105"/>
        </w:rPr>
        <w:t>year</w:t>
      </w:r>
      <w:r>
        <w:rPr>
          <w:spacing w:val="23"/>
          <w:w w:val="105"/>
        </w:rPr>
        <w:t> </w:t>
      </w:r>
      <w:r>
        <w:rPr>
          <w:w w:val="105"/>
        </w:rPr>
        <w:t>2022.</w:t>
      </w:r>
      <w:r>
        <w:rPr>
          <w:spacing w:val="23"/>
          <w:w w:val="105"/>
        </w:rPr>
        <w:t> </w:t>
      </w:r>
      <w:r>
        <w:rPr>
          <w:w w:val="105"/>
        </w:rPr>
        <w:t>Each</w:t>
      </w:r>
      <w:r>
        <w:rPr>
          <w:spacing w:val="23"/>
          <w:w w:val="105"/>
        </w:rPr>
        <w:t> </w:t>
      </w:r>
      <w:r>
        <w:rPr>
          <w:w w:val="105"/>
        </w:rPr>
        <w:t>of</w:t>
      </w:r>
      <w:r>
        <w:rPr>
          <w:spacing w:val="23"/>
          <w:w w:val="105"/>
        </w:rPr>
        <w:t> </w:t>
      </w:r>
      <w:r>
        <w:rPr>
          <w:w w:val="105"/>
        </w:rPr>
        <w:t>the</w:t>
      </w:r>
      <w:r>
        <w:rPr>
          <w:spacing w:val="23"/>
          <w:w w:val="105"/>
        </w:rPr>
        <w:t> </w:t>
      </w:r>
      <w:r>
        <w:rPr>
          <w:w w:val="105"/>
        </w:rPr>
        <w:t>regularly</w:t>
      </w:r>
      <w:r>
        <w:rPr>
          <w:spacing w:val="23"/>
          <w:w w:val="105"/>
        </w:rPr>
        <w:t> </w:t>
      </w:r>
      <w:r>
        <w:rPr>
          <w:w w:val="105"/>
        </w:rPr>
        <w:t>scheduled</w:t>
      </w:r>
      <w:r>
        <w:rPr>
          <w:spacing w:val="23"/>
          <w:w w:val="105"/>
        </w:rPr>
        <w:t> </w:t>
      </w:r>
      <w:r>
        <w:rPr>
          <w:w w:val="105"/>
        </w:rPr>
        <w:t>Board</w:t>
      </w:r>
      <w:r>
        <w:rPr>
          <w:spacing w:val="23"/>
          <w:w w:val="105"/>
        </w:rPr>
        <w:t> </w:t>
      </w:r>
      <w:r>
        <w:rPr>
          <w:w w:val="105"/>
        </w:rPr>
        <w:t>meetings</w:t>
      </w:r>
      <w:r>
        <w:rPr>
          <w:w w:val="105"/>
        </w:rPr>
        <w:t> included</w:t>
      </w:r>
      <w:r>
        <w:rPr>
          <w:spacing w:val="29"/>
          <w:w w:val="105"/>
        </w:rPr>
        <w:t> </w:t>
      </w:r>
      <w:r>
        <w:rPr>
          <w:w w:val="105"/>
        </w:rPr>
        <w:t>executive</w:t>
      </w:r>
      <w:r>
        <w:rPr>
          <w:spacing w:val="29"/>
          <w:w w:val="105"/>
        </w:rPr>
        <w:t> </w:t>
      </w:r>
      <w:r>
        <w:rPr>
          <w:w w:val="105"/>
        </w:rPr>
        <w:t>sessions</w:t>
      </w:r>
      <w:r>
        <w:rPr>
          <w:spacing w:val="29"/>
          <w:w w:val="105"/>
        </w:rPr>
        <w:t> </w:t>
      </w:r>
      <w:r>
        <w:rPr>
          <w:w w:val="105"/>
        </w:rPr>
        <w:t>of</w:t>
      </w:r>
      <w:r>
        <w:rPr>
          <w:spacing w:val="29"/>
          <w:w w:val="105"/>
        </w:rPr>
        <w:t> </w:t>
      </w:r>
      <w:r>
        <w:rPr>
          <w:w w:val="105"/>
        </w:rPr>
        <w:t>either</w:t>
      </w:r>
      <w:r>
        <w:rPr>
          <w:spacing w:val="29"/>
          <w:w w:val="105"/>
        </w:rPr>
        <w:t> </w:t>
      </w:r>
      <w:r>
        <w:rPr>
          <w:w w:val="105"/>
        </w:rPr>
        <w:t>the</w:t>
      </w:r>
      <w:r>
        <w:rPr>
          <w:spacing w:val="29"/>
          <w:w w:val="105"/>
        </w:rPr>
        <w:t> </w:t>
      </w:r>
      <w:r>
        <w:rPr>
          <w:w w:val="105"/>
        </w:rPr>
        <w:t>independent</w:t>
      </w:r>
      <w:r>
        <w:rPr>
          <w:spacing w:val="29"/>
          <w:w w:val="105"/>
        </w:rPr>
        <w:t> </w:t>
      </w:r>
      <w:r>
        <w:rPr>
          <w:w w:val="105"/>
        </w:rPr>
        <w:t>directors</w:t>
      </w:r>
      <w:r>
        <w:rPr>
          <w:spacing w:val="29"/>
          <w:w w:val="105"/>
        </w:rPr>
        <w:t> </w:t>
      </w:r>
      <w:r>
        <w:rPr>
          <w:w w:val="105"/>
        </w:rPr>
        <w:t>or</w:t>
      </w:r>
      <w:r>
        <w:rPr>
          <w:spacing w:val="29"/>
          <w:w w:val="105"/>
        </w:rPr>
        <w:t> </w:t>
      </w:r>
      <w:r>
        <w:rPr>
          <w:w w:val="105"/>
        </w:rPr>
        <w:t>the</w:t>
      </w:r>
      <w:r>
        <w:rPr>
          <w:spacing w:val="29"/>
          <w:w w:val="105"/>
        </w:rPr>
        <w:t> </w:t>
      </w:r>
      <w:r>
        <w:rPr>
          <w:w w:val="105"/>
        </w:rPr>
        <w:t>non-management</w:t>
      </w:r>
      <w:r>
        <w:rPr>
          <w:spacing w:val="29"/>
          <w:w w:val="105"/>
        </w:rPr>
        <w:t> </w:t>
      </w:r>
      <w:r>
        <w:rPr>
          <w:w w:val="105"/>
        </w:rPr>
        <w:t>directors,</w:t>
      </w:r>
      <w:r>
        <w:rPr>
          <w:spacing w:val="29"/>
          <w:w w:val="105"/>
        </w:rPr>
        <w:t> </w:t>
      </w:r>
      <w:r>
        <w:rPr>
          <w:w w:val="105"/>
        </w:rPr>
        <w:t>or</w:t>
      </w:r>
      <w:r>
        <w:rPr>
          <w:spacing w:val="29"/>
          <w:w w:val="105"/>
        </w:rPr>
        <w:t> </w:t>
      </w:r>
      <w:r>
        <w:rPr>
          <w:w w:val="105"/>
        </w:rPr>
        <w:t>both, with Dr. Naumann-Etienne presiding at such meetings. We have three standing committees of the Board: the Audit Committee, the Compensation Committee, and the Nominating Committee. Each current director attended at least 75% of the total Board meetings and meetings of the committees on which such director</w:t>
      </w:r>
      <w:r>
        <w:rPr>
          <w:spacing w:val="40"/>
          <w:w w:val="105"/>
        </w:rPr>
        <w:t> </w:t>
      </w:r>
      <w:r>
        <w:rPr>
          <w:w w:val="105"/>
        </w:rPr>
        <w:t>served</w:t>
      </w:r>
      <w:r>
        <w:rPr>
          <w:spacing w:val="23"/>
          <w:w w:val="105"/>
        </w:rPr>
        <w:t> </w:t>
      </w:r>
      <w:r>
        <w:rPr>
          <w:w w:val="105"/>
        </w:rPr>
        <w:t>that</w:t>
      </w:r>
      <w:r>
        <w:rPr>
          <w:spacing w:val="23"/>
          <w:w w:val="105"/>
        </w:rPr>
        <w:t> </w:t>
      </w:r>
      <w:r>
        <w:rPr>
          <w:w w:val="105"/>
        </w:rPr>
        <w:t>were</w:t>
      </w:r>
      <w:r>
        <w:rPr>
          <w:spacing w:val="23"/>
          <w:w w:val="105"/>
        </w:rPr>
        <w:t> </w:t>
      </w:r>
      <w:r>
        <w:rPr>
          <w:w w:val="105"/>
        </w:rPr>
        <w:t>held</w:t>
      </w:r>
      <w:r>
        <w:rPr>
          <w:spacing w:val="23"/>
          <w:w w:val="105"/>
        </w:rPr>
        <w:t> </w:t>
      </w:r>
      <w:r>
        <w:rPr>
          <w:w w:val="105"/>
        </w:rPr>
        <w:t>in</w:t>
      </w:r>
      <w:r>
        <w:rPr>
          <w:spacing w:val="23"/>
          <w:w w:val="105"/>
        </w:rPr>
        <w:t> </w:t>
      </w:r>
      <w:r>
        <w:rPr>
          <w:w w:val="105"/>
        </w:rPr>
        <w:t>fiscal</w:t>
      </w:r>
      <w:r>
        <w:rPr>
          <w:spacing w:val="23"/>
          <w:w w:val="105"/>
        </w:rPr>
        <w:t> </w:t>
      </w:r>
      <w:r>
        <w:rPr>
          <w:w w:val="105"/>
        </w:rPr>
        <w:t>year</w:t>
      </w:r>
      <w:r>
        <w:rPr>
          <w:spacing w:val="23"/>
          <w:w w:val="105"/>
        </w:rPr>
        <w:t> </w:t>
      </w:r>
      <w:r>
        <w:rPr>
          <w:w w:val="105"/>
        </w:rPr>
        <w:t>2022.</w:t>
      </w:r>
      <w:r>
        <w:rPr>
          <w:spacing w:val="23"/>
          <w:w w:val="105"/>
        </w:rPr>
        <w:t> </w:t>
      </w:r>
      <w:r>
        <w:rPr>
          <w:w w:val="105"/>
        </w:rPr>
        <w:t>Directors</w:t>
      </w:r>
      <w:r>
        <w:rPr>
          <w:spacing w:val="23"/>
          <w:w w:val="105"/>
        </w:rPr>
        <w:t> </w:t>
      </w:r>
      <w:r>
        <w:rPr>
          <w:w w:val="105"/>
        </w:rPr>
        <w:t>are</w:t>
      </w:r>
      <w:r>
        <w:rPr>
          <w:spacing w:val="23"/>
          <w:w w:val="105"/>
        </w:rPr>
        <w:t> </w:t>
      </w:r>
      <w:r>
        <w:rPr>
          <w:w w:val="105"/>
        </w:rPr>
        <w:t>encouraged</w:t>
      </w:r>
      <w:r>
        <w:rPr>
          <w:spacing w:val="23"/>
          <w:w w:val="105"/>
        </w:rPr>
        <w:t> </w:t>
      </w:r>
      <w:r>
        <w:rPr>
          <w:w w:val="105"/>
        </w:rPr>
        <w:t>to</w:t>
      </w:r>
      <w:r>
        <w:rPr>
          <w:spacing w:val="23"/>
          <w:w w:val="105"/>
        </w:rPr>
        <w:t> </w:t>
      </w:r>
      <w:r>
        <w:rPr>
          <w:w w:val="105"/>
        </w:rPr>
        <w:t>attend</w:t>
      </w:r>
      <w:r>
        <w:rPr>
          <w:spacing w:val="23"/>
          <w:w w:val="105"/>
        </w:rPr>
        <w:t> </w:t>
      </w:r>
      <w:r>
        <w:rPr>
          <w:w w:val="105"/>
        </w:rPr>
        <w:t>meetings</w:t>
      </w:r>
      <w:r>
        <w:rPr>
          <w:spacing w:val="23"/>
          <w:w w:val="105"/>
        </w:rPr>
        <w:t> </w:t>
      </w:r>
      <w:r>
        <w:rPr>
          <w:w w:val="105"/>
        </w:rPr>
        <w:t>of</w:t>
      </w:r>
      <w:r>
        <w:rPr>
          <w:spacing w:val="23"/>
          <w:w w:val="105"/>
        </w:rPr>
        <w:t> </w:t>
      </w:r>
      <w:r>
        <w:rPr>
          <w:w w:val="105"/>
        </w:rPr>
        <w:t>committees</w:t>
      </w:r>
      <w:r>
        <w:rPr>
          <w:spacing w:val="23"/>
          <w:w w:val="105"/>
        </w:rPr>
        <w:t> </w:t>
      </w:r>
      <w:r>
        <w:rPr>
          <w:w w:val="105"/>
        </w:rPr>
        <w:t>on which</w:t>
      </w:r>
      <w:r>
        <w:rPr>
          <w:spacing w:val="23"/>
          <w:w w:val="105"/>
        </w:rPr>
        <w:t> </w:t>
      </w:r>
      <w:r>
        <w:rPr>
          <w:w w:val="105"/>
        </w:rPr>
        <w:t>they</w:t>
      </w:r>
      <w:r>
        <w:rPr>
          <w:spacing w:val="23"/>
          <w:w w:val="105"/>
        </w:rPr>
        <w:t> </w:t>
      </w:r>
      <w:r>
        <w:rPr>
          <w:w w:val="105"/>
        </w:rPr>
        <w:t>do</w:t>
      </w:r>
      <w:r>
        <w:rPr>
          <w:spacing w:val="23"/>
          <w:w w:val="105"/>
        </w:rPr>
        <w:t> </w:t>
      </w:r>
      <w:r>
        <w:rPr>
          <w:w w:val="105"/>
        </w:rPr>
        <w:t>not</w:t>
      </w:r>
      <w:r>
        <w:rPr>
          <w:spacing w:val="23"/>
          <w:w w:val="105"/>
        </w:rPr>
        <w:t> </w:t>
      </w:r>
      <w:r>
        <w:rPr>
          <w:w w:val="105"/>
        </w:rPr>
        <w:t>serve</w:t>
      </w:r>
      <w:r>
        <w:rPr>
          <w:spacing w:val="23"/>
          <w:w w:val="105"/>
        </w:rPr>
        <w:t> </w:t>
      </w:r>
      <w:r>
        <w:rPr>
          <w:w w:val="105"/>
        </w:rPr>
        <w:t>as</w:t>
      </w:r>
      <w:r>
        <w:rPr>
          <w:spacing w:val="23"/>
          <w:w w:val="105"/>
        </w:rPr>
        <w:t> </w:t>
      </w:r>
      <w:r>
        <w:rPr>
          <w:w w:val="105"/>
        </w:rPr>
        <w:t>members.</w:t>
      </w:r>
      <w:r>
        <w:rPr>
          <w:spacing w:val="8"/>
          <w:w w:val="105"/>
        </w:rPr>
        <w:t> </w:t>
      </w:r>
      <w:r>
        <w:rPr>
          <w:w w:val="105"/>
        </w:rPr>
        <w:t>All</w:t>
      </w:r>
      <w:r>
        <w:rPr>
          <w:spacing w:val="23"/>
          <w:w w:val="105"/>
        </w:rPr>
        <w:t> </w:t>
      </w:r>
      <w:r>
        <w:rPr>
          <w:w w:val="105"/>
        </w:rPr>
        <w:t>our</w:t>
      </w:r>
      <w:r>
        <w:rPr>
          <w:spacing w:val="23"/>
          <w:w w:val="105"/>
        </w:rPr>
        <w:t> </w:t>
      </w:r>
      <w:r>
        <w:rPr>
          <w:w w:val="105"/>
        </w:rPr>
        <w:t>directors</w:t>
      </w:r>
      <w:r>
        <w:rPr>
          <w:spacing w:val="23"/>
          <w:w w:val="105"/>
        </w:rPr>
        <w:t> </w:t>
      </w:r>
      <w:r>
        <w:rPr>
          <w:w w:val="105"/>
        </w:rPr>
        <w:t>are</w:t>
      </w:r>
      <w:r>
        <w:rPr>
          <w:spacing w:val="23"/>
          <w:w w:val="105"/>
        </w:rPr>
        <w:t> </w:t>
      </w:r>
      <w:r>
        <w:rPr>
          <w:w w:val="105"/>
        </w:rPr>
        <w:t>strongly</w:t>
      </w:r>
      <w:r>
        <w:rPr>
          <w:spacing w:val="23"/>
          <w:w w:val="105"/>
        </w:rPr>
        <w:t> </w:t>
      </w:r>
      <w:r>
        <w:rPr>
          <w:w w:val="105"/>
        </w:rPr>
        <w:t>encouraged</w:t>
      </w:r>
      <w:r>
        <w:rPr>
          <w:spacing w:val="23"/>
          <w:w w:val="105"/>
        </w:rPr>
        <w:t> </w:t>
      </w:r>
      <w:r>
        <w:rPr>
          <w:w w:val="105"/>
        </w:rPr>
        <w:t>to</w:t>
      </w:r>
      <w:r>
        <w:rPr>
          <w:spacing w:val="23"/>
          <w:w w:val="105"/>
        </w:rPr>
        <w:t> </w:t>
      </w:r>
      <w:r>
        <w:rPr>
          <w:w w:val="105"/>
        </w:rPr>
        <w:t>attend</w:t>
      </w:r>
      <w:r>
        <w:rPr>
          <w:spacing w:val="23"/>
          <w:w w:val="105"/>
        </w:rPr>
        <w:t> </w:t>
      </w:r>
      <w:r>
        <w:rPr>
          <w:w w:val="105"/>
        </w:rPr>
        <w:t>our</w:t>
      </w:r>
      <w:r>
        <w:rPr>
          <w:spacing w:val="23"/>
          <w:w w:val="105"/>
        </w:rPr>
        <w:t> </w:t>
      </w:r>
      <w:r>
        <w:rPr>
          <w:w w:val="105"/>
        </w:rPr>
        <w:t>annual meetings</w:t>
      </w:r>
      <w:r>
        <w:rPr>
          <w:spacing w:val="23"/>
          <w:w w:val="105"/>
        </w:rPr>
        <w:t> </w:t>
      </w:r>
      <w:r>
        <w:rPr>
          <w:w w:val="105"/>
        </w:rPr>
        <w:t>of</w:t>
      </w:r>
      <w:r>
        <w:rPr>
          <w:spacing w:val="23"/>
          <w:w w:val="105"/>
        </w:rPr>
        <w:t> </w:t>
      </w:r>
      <w:r>
        <w:rPr>
          <w:w w:val="105"/>
        </w:rPr>
        <w:t>stockholders. All</w:t>
      </w:r>
      <w:r>
        <w:rPr>
          <w:spacing w:val="23"/>
          <w:w w:val="105"/>
        </w:rPr>
        <w:t> </w:t>
      </w:r>
      <w:r>
        <w:rPr>
          <w:w w:val="105"/>
        </w:rPr>
        <w:t>the</w:t>
      </w:r>
      <w:r>
        <w:rPr>
          <w:spacing w:val="23"/>
          <w:w w:val="105"/>
        </w:rPr>
        <w:t> </w:t>
      </w:r>
      <w:r>
        <w:rPr>
          <w:w w:val="105"/>
        </w:rPr>
        <w:t>directors</w:t>
      </w:r>
      <w:r>
        <w:rPr>
          <w:spacing w:val="23"/>
          <w:w w:val="105"/>
        </w:rPr>
        <w:t> </w:t>
      </w:r>
      <w:r>
        <w:rPr>
          <w:w w:val="105"/>
        </w:rPr>
        <w:t>then</w:t>
      </w:r>
      <w:r>
        <w:rPr>
          <w:spacing w:val="23"/>
          <w:w w:val="105"/>
        </w:rPr>
        <w:t> </w:t>
      </w:r>
      <w:r>
        <w:rPr>
          <w:w w:val="105"/>
        </w:rPr>
        <w:t>serving</w:t>
      </w:r>
      <w:r>
        <w:rPr>
          <w:spacing w:val="23"/>
          <w:w w:val="105"/>
        </w:rPr>
        <w:t> </w:t>
      </w:r>
      <w:r>
        <w:rPr>
          <w:w w:val="105"/>
        </w:rPr>
        <w:t>on</w:t>
      </w:r>
      <w:r>
        <w:rPr>
          <w:spacing w:val="23"/>
          <w:w w:val="105"/>
        </w:rPr>
        <w:t> </w:t>
      </w:r>
      <w:r>
        <w:rPr>
          <w:w w:val="105"/>
        </w:rPr>
        <w:t>the</w:t>
      </w:r>
      <w:r>
        <w:rPr>
          <w:spacing w:val="23"/>
          <w:w w:val="105"/>
        </w:rPr>
        <w:t> </w:t>
      </w:r>
      <w:r>
        <w:rPr>
          <w:w w:val="105"/>
        </w:rPr>
        <w:t>Board</w:t>
      </w:r>
      <w:r>
        <w:rPr>
          <w:spacing w:val="23"/>
          <w:w w:val="105"/>
        </w:rPr>
        <w:t> </w:t>
      </w:r>
      <w:r>
        <w:rPr>
          <w:w w:val="105"/>
        </w:rPr>
        <w:t>were</w:t>
      </w:r>
      <w:r>
        <w:rPr>
          <w:spacing w:val="23"/>
          <w:w w:val="105"/>
        </w:rPr>
        <w:t> </w:t>
      </w:r>
      <w:r>
        <w:rPr>
          <w:w w:val="105"/>
        </w:rPr>
        <w:t>present</w:t>
      </w:r>
      <w:r>
        <w:rPr>
          <w:spacing w:val="23"/>
          <w:w w:val="105"/>
        </w:rPr>
        <w:t> </w:t>
      </w:r>
      <w:r>
        <w:rPr>
          <w:w w:val="105"/>
        </w:rPr>
        <w:t>at</w:t>
      </w:r>
      <w:r>
        <w:rPr>
          <w:spacing w:val="23"/>
          <w:w w:val="105"/>
        </w:rPr>
        <w:t> </w:t>
      </w:r>
      <w:r>
        <w:rPr>
          <w:w w:val="105"/>
        </w:rPr>
        <w:t>our</w:t>
      </w:r>
      <w:r>
        <w:rPr>
          <w:spacing w:val="23"/>
          <w:w w:val="105"/>
        </w:rPr>
        <w:t> </w:t>
      </w:r>
      <w:r>
        <w:rPr>
          <w:w w:val="105"/>
        </w:rPr>
        <w:t>2022 Annual </w:t>
      </w:r>
      <w:r>
        <w:rPr>
          <w:spacing w:val="-2"/>
          <w:w w:val="105"/>
        </w:rPr>
        <w:t>Meeting.</w:t>
      </w:r>
    </w:p>
    <w:p>
      <w:pPr>
        <w:pStyle w:val="BodyText"/>
        <w:spacing w:before="8"/>
      </w:pPr>
    </w:p>
    <w:p>
      <w:pPr>
        <w:spacing w:before="0"/>
        <w:ind w:left="1772" w:right="0" w:firstLine="0"/>
        <w:jc w:val="left"/>
        <w:rPr>
          <w:i/>
          <w:sz w:val="18"/>
        </w:rPr>
      </w:pPr>
      <w:r>
        <w:rPr>
          <w:i/>
          <w:w w:val="105"/>
          <w:sz w:val="18"/>
        </w:rPr>
        <w:t>Board</w:t>
      </w:r>
      <w:r>
        <w:rPr>
          <w:i/>
          <w:spacing w:val="10"/>
          <w:w w:val="105"/>
          <w:sz w:val="18"/>
        </w:rPr>
        <w:t> </w:t>
      </w:r>
      <w:r>
        <w:rPr>
          <w:i/>
          <w:w w:val="105"/>
          <w:sz w:val="18"/>
        </w:rPr>
        <w:t>Leadership</w:t>
      </w:r>
      <w:r>
        <w:rPr>
          <w:i/>
          <w:spacing w:val="10"/>
          <w:w w:val="105"/>
          <w:sz w:val="18"/>
        </w:rPr>
        <w:t> </w:t>
      </w:r>
      <w:r>
        <w:rPr>
          <w:i/>
          <w:spacing w:val="-2"/>
          <w:w w:val="105"/>
          <w:sz w:val="18"/>
        </w:rPr>
        <w:t>Structure</w:t>
      </w:r>
    </w:p>
    <w:p>
      <w:pPr>
        <w:pStyle w:val="BodyText"/>
        <w:spacing w:line="249" w:lineRule="auto" w:before="171"/>
        <w:ind w:left="1400" w:right="1680" w:firstLine="372"/>
      </w:pPr>
      <w:r>
        <w:rPr>
          <w:w w:val="105"/>
        </w:rPr>
        <w:t>The Board has adopted Corporate Governance Guidelines designed to promote the functioning of the Board and its committees. The Corporate Governance Guidelines and our Bylaws address Board composition, Board functions and responsibilities, qualifications, leadership structure, committees, and</w:t>
      </w:r>
      <w:r>
        <w:rPr>
          <w:spacing w:val="40"/>
          <w:w w:val="105"/>
        </w:rPr>
        <w:t> </w:t>
      </w:r>
      <w:r>
        <w:rPr>
          <w:spacing w:val="-2"/>
          <w:w w:val="105"/>
        </w:rPr>
        <w:t>meetings.</w:t>
      </w:r>
    </w:p>
    <w:p>
      <w:pPr>
        <w:pStyle w:val="BodyText"/>
        <w:spacing w:line="242" w:lineRule="auto" w:before="145"/>
        <w:ind w:left="1400" w:right="1551" w:firstLine="372"/>
      </w:pPr>
      <w:r>
        <w:rPr>
          <w:w w:val="105"/>
        </w:rPr>
        <w:t>Our Bylaws require that the Chair of the Board be chosen from among the directors and may not be the</w:t>
      </w:r>
      <w:r>
        <w:rPr>
          <w:spacing w:val="40"/>
          <w:w w:val="105"/>
        </w:rPr>
        <w:t> </w:t>
      </w:r>
      <w:r>
        <w:rPr>
          <w:w w:val="105"/>
        </w:rPr>
        <w:t>Chief Executive Officer. The Board has determined that having a director who is “independent” within the meaning of the Nasdaq listing standards (Mr. Naumann-Etienne through the Annual Meeting) serve as Chair</w:t>
      </w:r>
    </w:p>
    <w:p>
      <w:pPr>
        <w:spacing w:after="0" w:line="242" w:lineRule="auto"/>
        <w:sectPr>
          <w:headerReference w:type="default" r:id="rId69"/>
          <w:footerReference w:type="default" r:id="rId70"/>
          <w:pgSz w:w="12240" w:h="15840"/>
          <w:pgMar w:header="0" w:footer="0" w:top="500" w:bottom="280" w:left="480" w:right="460"/>
        </w:sectPr>
      </w:pPr>
    </w:p>
    <w:p>
      <w:pPr>
        <w:pStyle w:val="BodyText"/>
        <w:spacing w:before="79"/>
        <w:ind w:left="142" w:right="143"/>
        <w:jc w:val="center"/>
      </w:pPr>
      <w:r>
        <w:rPr>
          <w:spacing w:val="-5"/>
          <w:w w:val="105"/>
        </w:rPr>
        <w:t>18</w:t>
      </w:r>
    </w:p>
    <w:p>
      <w:pPr>
        <w:pStyle w:val="BodyText"/>
        <w:rPr>
          <w:sz w:val="20"/>
        </w:rPr>
      </w:pPr>
    </w:p>
    <w:p>
      <w:pPr>
        <w:pStyle w:val="BodyText"/>
        <w:spacing w:before="8"/>
        <w:rPr>
          <w:sz w:val="14"/>
        </w:rPr>
      </w:pPr>
      <w:r>
        <w:rPr/>
        <w:pict>
          <v:group style="position:absolute;margin-left:28.999998pt;margin-top:9.655624pt;width:555pt;height:1.4pt;mso-position-horizontal-relative:page;mso-position-vertical-relative:paragraph;z-index:-15709184;mso-wrap-distance-left:0;mso-wrap-distance-right:0" id="docshapegroup136" coordorigin="580,193" coordsize="11100,28">
            <v:rect style="position:absolute;left:580;top:193;width:11100;height:14" id="docshape137" filled="true" fillcolor="#999999" stroked="false">
              <v:fill type="solid"/>
            </v:rect>
            <v:shape style="position:absolute;left:579;top:193;width:11100;height:28" id="docshape138" coordorigin="580,193" coordsize="11100,28" path="m11680,193l11666,207,580,207,580,221,11666,221,11680,221,11680,207,11680,193xe" filled="true" fillcolor="#ededed" stroked="false">
              <v:path arrowok="t"/>
              <v:fill type="solid"/>
            </v:shape>
            <v:shape style="position:absolute;left:580;top:193;width:14;height:28" id="docshape139" coordorigin="580,193" coordsize="14,28" path="m580,221l580,193,594,193,594,207,580,221xe" filled="true" fillcolor="#999999" stroked="false">
              <v:path arrowok="t"/>
              <v:fill type="solid"/>
            </v:shape>
            <w10:wrap type="topAndBottom"/>
          </v:group>
        </w:pict>
      </w:r>
    </w:p>
    <w:p>
      <w:pPr>
        <w:spacing w:after="0"/>
        <w:rPr>
          <w:sz w:val="14"/>
        </w:rPr>
        <w:sectPr>
          <w:headerReference w:type="default" r:id="rId71"/>
          <w:footerReference w:type="default" r:id="rId72"/>
          <w:pgSz w:w="12240" w:h="15840"/>
          <w:pgMar w:header="0" w:footer="0" w:top="500" w:bottom="280" w:left="480" w:right="460"/>
        </w:sectPr>
      </w:pPr>
    </w:p>
    <w:p>
      <w:pPr>
        <w:pStyle w:val="BodyText"/>
        <w:rPr>
          <w:sz w:val="20"/>
        </w:rPr>
      </w:pPr>
    </w:p>
    <w:p>
      <w:pPr>
        <w:pStyle w:val="BodyText"/>
        <w:rPr>
          <w:sz w:val="20"/>
        </w:rPr>
      </w:pPr>
    </w:p>
    <w:p>
      <w:pPr>
        <w:pStyle w:val="BodyText"/>
        <w:spacing w:before="2"/>
        <w:rPr>
          <w:sz w:val="27"/>
        </w:rPr>
      </w:pPr>
    </w:p>
    <w:p>
      <w:pPr>
        <w:pStyle w:val="BodyText"/>
        <w:spacing w:line="249" w:lineRule="auto" w:before="98"/>
        <w:ind w:left="1400" w:right="1680"/>
      </w:pPr>
      <w:r>
        <w:rPr>
          <w:w w:val="105"/>
        </w:rPr>
        <w:t>and Mr. Sanyal serve as Chief Executive Officer is in the best interests of the stockholders. We have separated the roles of Chief Executive Officer and Chair in recognition of the differences between the two</w:t>
      </w:r>
      <w:r>
        <w:rPr>
          <w:spacing w:val="40"/>
          <w:w w:val="105"/>
        </w:rPr>
        <w:t> </w:t>
      </w:r>
      <w:r>
        <w:rPr>
          <w:w w:val="105"/>
        </w:rPr>
        <w:t>roles, and we believe the separation of roles improves Board engagement and oversight. The duties of the</w:t>
      </w:r>
      <w:r>
        <w:rPr>
          <w:spacing w:val="40"/>
          <w:w w:val="105"/>
        </w:rPr>
        <w:t> </w:t>
      </w:r>
      <w:r>
        <w:rPr>
          <w:w w:val="105"/>
        </w:rPr>
        <w:t>Chair of the Board and the Chief Executive Officer are set forth in the table below:</w:t>
      </w:r>
    </w:p>
    <w:p>
      <w:pPr>
        <w:tabs>
          <w:tab w:pos="3991" w:val="left" w:leader="none"/>
        </w:tabs>
        <w:spacing w:before="160"/>
        <w:ind w:left="142" w:right="0" w:firstLine="0"/>
        <w:jc w:val="center"/>
        <w:rPr>
          <w:b/>
          <w:sz w:val="15"/>
        </w:rPr>
      </w:pPr>
      <w:r>
        <w:rPr/>
        <w:pict>
          <v:rect style="position:absolute;margin-left:112.879082pt;margin-top:19.195385pt;width:188.028948pt;height:.698992pt;mso-position-horizontal-relative:page;mso-position-vertical-relative:paragraph;z-index:15749120" id="docshape142" filled="true" fillcolor="#000000" stroked="false">
            <v:fill type="solid"/>
            <w10:wrap type="none"/>
          </v:rect>
        </w:pict>
      </w:r>
      <w:r>
        <w:rPr>
          <w:b/>
          <w:spacing w:val="-4"/>
          <w:sz w:val="15"/>
        </w:rPr>
        <w:t>Chair</w:t>
      </w:r>
      <w:r>
        <w:rPr>
          <w:b/>
          <w:spacing w:val="-6"/>
          <w:sz w:val="15"/>
        </w:rPr>
        <w:t> </w:t>
      </w:r>
      <w:r>
        <w:rPr>
          <w:b/>
          <w:spacing w:val="-4"/>
          <w:sz w:val="15"/>
        </w:rPr>
        <w:t>of</w:t>
      </w:r>
      <w:r>
        <w:rPr>
          <w:b/>
          <w:spacing w:val="-3"/>
          <w:sz w:val="15"/>
        </w:rPr>
        <w:t> </w:t>
      </w:r>
      <w:r>
        <w:rPr>
          <w:b/>
          <w:spacing w:val="-4"/>
          <w:sz w:val="15"/>
        </w:rPr>
        <w:t>the</w:t>
      </w:r>
      <w:r>
        <w:rPr>
          <w:b/>
          <w:spacing w:val="-2"/>
          <w:sz w:val="15"/>
        </w:rPr>
        <w:t> </w:t>
      </w:r>
      <w:r>
        <w:rPr>
          <w:b/>
          <w:spacing w:val="-4"/>
          <w:sz w:val="15"/>
        </w:rPr>
        <w:t>Board</w:t>
      </w:r>
      <w:r>
        <w:rPr>
          <w:b/>
          <w:sz w:val="15"/>
        </w:rPr>
        <w:tab/>
      </w:r>
      <w:r>
        <w:rPr>
          <w:b/>
          <w:spacing w:val="-4"/>
          <w:sz w:val="15"/>
        </w:rPr>
        <w:t>Chief</w:t>
      </w:r>
      <w:r>
        <w:rPr>
          <w:b/>
          <w:spacing w:val="-2"/>
          <w:sz w:val="15"/>
        </w:rPr>
        <w:t> </w:t>
      </w:r>
      <w:r>
        <w:rPr>
          <w:b/>
          <w:spacing w:val="-4"/>
          <w:sz w:val="15"/>
        </w:rPr>
        <w:t>Executive</w:t>
      </w:r>
      <w:r>
        <w:rPr>
          <w:b/>
          <w:spacing w:val="-2"/>
          <w:sz w:val="15"/>
        </w:rPr>
        <w:t> </w:t>
      </w:r>
      <w:r>
        <w:rPr>
          <w:b/>
          <w:spacing w:val="-4"/>
          <w:sz w:val="15"/>
        </w:rPr>
        <w:t>Officer</w:t>
      </w:r>
    </w:p>
    <w:p>
      <w:pPr>
        <w:spacing w:after="0"/>
        <w:jc w:val="center"/>
        <w:rPr>
          <w:sz w:val="15"/>
        </w:rPr>
        <w:sectPr>
          <w:headerReference w:type="default" r:id="rId73"/>
          <w:footerReference w:type="default" r:id="rId74"/>
          <w:pgSz w:w="12240" w:h="15840"/>
          <w:pgMar w:header="529" w:footer="1037" w:top="720" w:bottom="1220" w:left="480" w:right="460"/>
        </w:sectPr>
      </w:pPr>
    </w:p>
    <w:p>
      <w:pPr>
        <w:pStyle w:val="ListParagraph"/>
        <w:numPr>
          <w:ilvl w:val="0"/>
          <w:numId w:val="20"/>
        </w:numPr>
        <w:tabs>
          <w:tab w:pos="1960" w:val="left" w:leader="none"/>
        </w:tabs>
        <w:spacing w:line="259" w:lineRule="auto" w:before="135" w:after="0"/>
        <w:ind w:left="1959" w:right="205" w:hanging="187"/>
        <w:jc w:val="left"/>
        <w:rPr>
          <w:sz w:val="18"/>
        </w:rPr>
      </w:pPr>
      <w:r>
        <w:rPr>
          <w:w w:val="105"/>
          <w:sz w:val="18"/>
        </w:rPr>
        <w:t>Coordinates agendas for Board meetings, information flow to the Board and other matters pertinent to the Company and the </w:t>
      </w:r>
      <w:r>
        <w:rPr>
          <w:spacing w:val="-2"/>
          <w:w w:val="105"/>
          <w:sz w:val="18"/>
        </w:rPr>
        <w:t>Board</w:t>
      </w:r>
    </w:p>
    <w:p>
      <w:pPr>
        <w:pStyle w:val="ListParagraph"/>
        <w:numPr>
          <w:ilvl w:val="0"/>
          <w:numId w:val="20"/>
        </w:numPr>
        <w:tabs>
          <w:tab w:pos="1960" w:val="left" w:leader="none"/>
        </w:tabs>
        <w:spacing w:line="259" w:lineRule="auto" w:before="154" w:after="0"/>
        <w:ind w:left="1959" w:right="0" w:hanging="187"/>
        <w:jc w:val="left"/>
        <w:rPr>
          <w:sz w:val="18"/>
        </w:rPr>
      </w:pPr>
      <w:r>
        <w:rPr>
          <w:w w:val="105"/>
          <w:sz w:val="18"/>
        </w:rPr>
        <w:t>Presides over meetings of the full Board, including executive sessions of independent </w:t>
      </w:r>
      <w:r>
        <w:rPr>
          <w:spacing w:val="-2"/>
          <w:w w:val="105"/>
          <w:sz w:val="18"/>
        </w:rPr>
        <w:t>directors</w:t>
      </w:r>
    </w:p>
    <w:p>
      <w:pPr>
        <w:pStyle w:val="ListParagraph"/>
        <w:numPr>
          <w:ilvl w:val="0"/>
          <w:numId w:val="20"/>
        </w:numPr>
        <w:tabs>
          <w:tab w:pos="1960" w:val="left" w:leader="none"/>
        </w:tabs>
        <w:spacing w:line="259" w:lineRule="auto" w:before="140" w:after="0"/>
        <w:ind w:left="1959" w:right="65" w:hanging="187"/>
        <w:jc w:val="left"/>
        <w:rPr>
          <w:sz w:val="18"/>
        </w:rPr>
      </w:pPr>
      <w:r>
        <w:rPr>
          <w:w w:val="105"/>
          <w:sz w:val="18"/>
        </w:rPr>
        <w:t>Serves as a liaison to and acts as a communication channel between the Board and our Chief Executive Officer</w:t>
      </w:r>
    </w:p>
    <w:p>
      <w:pPr>
        <w:pStyle w:val="ListParagraph"/>
        <w:numPr>
          <w:ilvl w:val="0"/>
          <w:numId w:val="20"/>
        </w:numPr>
        <w:tabs>
          <w:tab w:pos="1960" w:val="left" w:leader="none"/>
        </w:tabs>
        <w:spacing w:line="240" w:lineRule="auto" w:before="141" w:after="0"/>
        <w:ind w:left="1959" w:right="0" w:hanging="188"/>
        <w:jc w:val="left"/>
        <w:rPr>
          <w:sz w:val="18"/>
        </w:rPr>
      </w:pPr>
      <w:r>
        <w:rPr>
          <w:w w:val="105"/>
          <w:sz w:val="18"/>
        </w:rPr>
        <w:t>Presides</w:t>
      </w:r>
      <w:r>
        <w:rPr>
          <w:spacing w:val="11"/>
          <w:w w:val="105"/>
          <w:sz w:val="18"/>
        </w:rPr>
        <w:t> </w:t>
      </w:r>
      <w:r>
        <w:rPr>
          <w:w w:val="105"/>
          <w:sz w:val="18"/>
        </w:rPr>
        <w:t>over</w:t>
      </w:r>
      <w:r>
        <w:rPr>
          <w:spacing w:val="12"/>
          <w:w w:val="105"/>
          <w:sz w:val="18"/>
        </w:rPr>
        <w:t> </w:t>
      </w:r>
      <w:r>
        <w:rPr>
          <w:w w:val="105"/>
          <w:sz w:val="18"/>
        </w:rPr>
        <w:t>meetings</w:t>
      </w:r>
      <w:r>
        <w:rPr>
          <w:spacing w:val="11"/>
          <w:w w:val="105"/>
          <w:sz w:val="18"/>
        </w:rPr>
        <w:t> </w:t>
      </w:r>
      <w:r>
        <w:rPr>
          <w:w w:val="105"/>
          <w:sz w:val="18"/>
        </w:rPr>
        <w:t>of</w:t>
      </w:r>
      <w:r>
        <w:rPr>
          <w:spacing w:val="12"/>
          <w:w w:val="105"/>
          <w:sz w:val="18"/>
        </w:rPr>
        <w:t> </w:t>
      </w:r>
      <w:r>
        <w:rPr>
          <w:spacing w:val="-2"/>
          <w:w w:val="105"/>
          <w:sz w:val="18"/>
        </w:rPr>
        <w:t>stockholders</w:t>
      </w:r>
    </w:p>
    <w:p>
      <w:pPr>
        <w:spacing w:line="240" w:lineRule="auto" w:before="5"/>
        <w:rPr>
          <w:sz w:val="4"/>
        </w:rPr>
      </w:pPr>
      <w:r>
        <w:rPr/>
        <w:br w:type="column"/>
      </w:r>
      <w:r>
        <w:rPr>
          <w:sz w:val="4"/>
        </w:rPr>
      </w:r>
    </w:p>
    <w:p>
      <w:pPr>
        <w:pStyle w:val="BodyText"/>
        <w:spacing w:line="20" w:lineRule="exact"/>
        <w:ind w:left="325"/>
        <w:rPr>
          <w:sz w:val="2"/>
        </w:rPr>
      </w:pPr>
      <w:r>
        <w:rPr>
          <w:sz w:val="2"/>
        </w:rPr>
        <w:pict>
          <v:group style="width:188.05pt;height:.7pt;mso-position-horizontal-relative:char;mso-position-vertical-relative:line" id="docshapegroup143" coordorigin="0,0" coordsize="3761,14">
            <v:rect style="position:absolute;left:0;top:0;width:3761;height:14" id="docshape144" filled="true" fillcolor="#000000" stroked="false">
              <v:fill type="solid"/>
            </v:rect>
          </v:group>
        </w:pict>
      </w:r>
      <w:r>
        <w:rPr>
          <w:sz w:val="2"/>
        </w:rPr>
      </w:r>
    </w:p>
    <w:p>
      <w:pPr>
        <w:pStyle w:val="ListParagraph"/>
        <w:numPr>
          <w:ilvl w:val="0"/>
          <w:numId w:val="20"/>
        </w:numPr>
        <w:tabs>
          <w:tab w:pos="512" w:val="left" w:leader="none"/>
        </w:tabs>
        <w:spacing w:line="259" w:lineRule="auto" w:before="64" w:after="0"/>
        <w:ind w:left="511" w:right="1857" w:hanging="187"/>
        <w:jc w:val="left"/>
        <w:rPr>
          <w:sz w:val="18"/>
        </w:rPr>
      </w:pPr>
      <w:r>
        <w:rPr>
          <w:w w:val="105"/>
          <w:sz w:val="18"/>
        </w:rPr>
        <w:t>Sets and oversees execution of our corporate strategic direction</w:t>
      </w:r>
    </w:p>
    <w:p>
      <w:pPr>
        <w:pStyle w:val="ListParagraph"/>
        <w:numPr>
          <w:ilvl w:val="0"/>
          <w:numId w:val="20"/>
        </w:numPr>
        <w:tabs>
          <w:tab w:pos="512" w:val="left" w:leader="none"/>
        </w:tabs>
        <w:spacing w:line="259" w:lineRule="auto" w:before="154" w:after="0"/>
        <w:ind w:left="511" w:right="2043" w:hanging="187"/>
        <w:jc w:val="left"/>
        <w:rPr>
          <w:sz w:val="18"/>
        </w:rPr>
      </w:pPr>
      <w:r>
        <w:rPr>
          <w:w w:val="105"/>
          <w:sz w:val="18"/>
        </w:rPr>
        <w:t>Creates and implements our vision, values and mission that steer our culture</w:t>
      </w:r>
    </w:p>
    <w:p>
      <w:pPr>
        <w:pStyle w:val="ListParagraph"/>
        <w:numPr>
          <w:ilvl w:val="0"/>
          <w:numId w:val="20"/>
        </w:numPr>
        <w:tabs>
          <w:tab w:pos="512" w:val="left" w:leader="none"/>
        </w:tabs>
        <w:spacing w:line="259" w:lineRule="auto" w:before="140" w:after="0"/>
        <w:ind w:left="511" w:right="1782" w:hanging="187"/>
        <w:jc w:val="left"/>
        <w:rPr>
          <w:sz w:val="18"/>
        </w:rPr>
      </w:pPr>
      <w:r>
        <w:rPr>
          <w:w w:val="105"/>
          <w:sz w:val="18"/>
        </w:rPr>
        <w:t>Leads our affairs, subject to the overall direction and supervision of the Board and its committees and subject to such powers as reserved by the Board and its committees</w:t>
      </w:r>
    </w:p>
    <w:p>
      <w:pPr>
        <w:spacing w:after="0" w:line="259" w:lineRule="auto"/>
        <w:jc w:val="left"/>
        <w:rPr>
          <w:sz w:val="18"/>
        </w:rPr>
        <w:sectPr>
          <w:type w:val="continuous"/>
          <w:pgSz w:w="12240" w:h="15840"/>
          <w:pgMar w:header="529" w:footer="1037" w:top="600" w:bottom="960" w:left="480" w:right="460"/>
          <w:cols w:num="2" w:equalWidth="0">
            <w:col w:w="5397" w:space="40"/>
            <w:col w:w="5863"/>
          </w:cols>
        </w:sectPr>
      </w:pPr>
    </w:p>
    <w:p>
      <w:pPr>
        <w:pStyle w:val="BodyText"/>
        <w:rPr>
          <w:sz w:val="16"/>
        </w:rPr>
      </w:pPr>
      <w:r>
        <w:rPr/>
        <w:pict>
          <v:group style="position:absolute;margin-left:28.999998pt;margin-top:761.544128pt;width:555pt;height:1.4pt;mso-position-horizontal-relative:page;mso-position-vertical-relative:page;z-index:15749632" id="docshapegroup145" coordorigin="580,15231" coordsize="11100,28">
            <v:rect style="position:absolute;left:580;top:15230;width:11100;height:14" id="docshape146" filled="true" fillcolor="#999999" stroked="false">
              <v:fill type="solid"/>
            </v:rect>
            <v:shape style="position:absolute;left:579;top:15230;width:11100;height:28" id="docshape147" coordorigin="580,15231" coordsize="11100,28" path="m11680,15231l11666,15245,580,15245,580,15259,11666,15259,11680,15259,11680,15245,11680,15231xe" filled="true" fillcolor="#ededed" stroked="false">
              <v:path arrowok="t"/>
              <v:fill type="solid"/>
            </v:shape>
            <v:shape style="position:absolute;left:580;top:15230;width:14;height:28" id="docshape148" coordorigin="580,15231" coordsize="14,28" path="m580,15259l580,15231,594,15231,594,15245,580,15259xe" filled="true" fillcolor="#999999" stroked="false">
              <v:path arrowok="t"/>
              <v:fill type="solid"/>
            </v:shape>
            <w10:wrap type="none"/>
          </v:group>
        </w:pict>
      </w:r>
    </w:p>
    <w:p>
      <w:pPr>
        <w:pStyle w:val="BodyText"/>
        <w:spacing w:line="247" w:lineRule="auto"/>
        <w:ind w:left="1400" w:right="1680" w:firstLine="372"/>
      </w:pPr>
      <w:r>
        <w:rPr>
          <w:w w:val="105"/>
        </w:rPr>
        <w:t>The Board believes that this overall structure of a separate Chair of the Board and Chief Executive</w:t>
      </w:r>
      <w:r>
        <w:rPr>
          <w:spacing w:val="40"/>
          <w:w w:val="105"/>
        </w:rPr>
        <w:t> </w:t>
      </w:r>
      <w:r>
        <w:rPr>
          <w:w w:val="105"/>
        </w:rPr>
        <w:t>Officer results in an effective balancing of responsibilities, experience and independent perspectives that</w:t>
      </w:r>
      <w:r>
        <w:rPr>
          <w:spacing w:val="40"/>
          <w:w w:val="105"/>
        </w:rPr>
        <w:t> </w:t>
      </w:r>
      <w:r>
        <w:rPr>
          <w:w w:val="105"/>
        </w:rPr>
        <w:t>meets the current corporate governance needs and oversight responsibilities of the Board. The Board also</w:t>
      </w:r>
      <w:r>
        <w:rPr>
          <w:spacing w:val="40"/>
          <w:w w:val="105"/>
        </w:rPr>
        <w:t> </w:t>
      </w:r>
      <w:r>
        <w:rPr>
          <w:w w:val="105"/>
        </w:rPr>
        <w:t>believes that this structure benefits our Company by enabling our Chief Executive Officer to focus on</w:t>
      </w:r>
      <w:r>
        <w:rPr>
          <w:spacing w:val="40"/>
          <w:w w:val="105"/>
        </w:rPr>
        <w:t> </w:t>
      </w:r>
      <w:r>
        <w:rPr>
          <w:w w:val="105"/>
        </w:rPr>
        <w:t>strategic matters while the Chair of the Board focuses on Board process and governance matters.</w:t>
      </w:r>
    </w:p>
    <w:p>
      <w:pPr>
        <w:pStyle w:val="BodyText"/>
        <w:spacing w:before="2"/>
        <w:rPr>
          <w:sz w:val="19"/>
        </w:rPr>
      </w:pPr>
    </w:p>
    <w:p>
      <w:pPr>
        <w:spacing w:before="0"/>
        <w:ind w:left="1772" w:right="0" w:firstLine="0"/>
        <w:jc w:val="left"/>
        <w:rPr>
          <w:i/>
          <w:sz w:val="18"/>
        </w:rPr>
      </w:pPr>
      <w:r>
        <w:rPr>
          <w:i/>
          <w:w w:val="105"/>
          <w:sz w:val="18"/>
        </w:rPr>
        <w:t>The</w:t>
      </w:r>
      <w:r>
        <w:rPr>
          <w:i/>
          <w:spacing w:val="3"/>
          <w:w w:val="105"/>
          <w:sz w:val="18"/>
        </w:rPr>
        <w:t> </w:t>
      </w:r>
      <w:r>
        <w:rPr>
          <w:i/>
          <w:w w:val="105"/>
          <w:sz w:val="18"/>
        </w:rPr>
        <w:t>Board’s</w:t>
      </w:r>
      <w:r>
        <w:rPr>
          <w:i/>
          <w:spacing w:val="3"/>
          <w:w w:val="105"/>
          <w:sz w:val="18"/>
        </w:rPr>
        <w:t> </w:t>
      </w:r>
      <w:r>
        <w:rPr>
          <w:i/>
          <w:w w:val="105"/>
          <w:sz w:val="18"/>
        </w:rPr>
        <w:t>Role</w:t>
      </w:r>
      <w:r>
        <w:rPr>
          <w:i/>
          <w:spacing w:val="3"/>
          <w:w w:val="105"/>
          <w:sz w:val="18"/>
        </w:rPr>
        <w:t> </w:t>
      </w:r>
      <w:r>
        <w:rPr>
          <w:i/>
          <w:w w:val="105"/>
          <w:sz w:val="18"/>
        </w:rPr>
        <w:t>in</w:t>
      </w:r>
      <w:r>
        <w:rPr>
          <w:i/>
          <w:spacing w:val="3"/>
          <w:w w:val="105"/>
          <w:sz w:val="18"/>
        </w:rPr>
        <w:t> </w:t>
      </w:r>
      <w:r>
        <w:rPr>
          <w:i/>
          <w:w w:val="105"/>
          <w:sz w:val="18"/>
        </w:rPr>
        <w:t>Risk</w:t>
      </w:r>
      <w:r>
        <w:rPr>
          <w:i/>
          <w:spacing w:val="3"/>
          <w:w w:val="105"/>
          <w:sz w:val="18"/>
        </w:rPr>
        <w:t> </w:t>
      </w:r>
      <w:r>
        <w:rPr>
          <w:i/>
          <w:spacing w:val="-2"/>
          <w:w w:val="105"/>
          <w:sz w:val="18"/>
        </w:rPr>
        <w:t>Oversight</w:t>
      </w:r>
    </w:p>
    <w:p>
      <w:pPr>
        <w:pStyle w:val="BodyText"/>
        <w:spacing w:line="249" w:lineRule="auto" w:before="170"/>
        <w:ind w:left="1400" w:right="1451" w:firstLine="372"/>
      </w:pPr>
      <w:r>
        <w:rPr>
          <w:w w:val="105"/>
        </w:rPr>
        <w:t>We</w:t>
      </w:r>
      <w:r>
        <w:rPr>
          <w:spacing w:val="30"/>
          <w:w w:val="105"/>
        </w:rPr>
        <w:t> </w:t>
      </w:r>
      <w:r>
        <w:rPr>
          <w:w w:val="105"/>
        </w:rPr>
        <w:t>face</w:t>
      </w:r>
      <w:r>
        <w:rPr>
          <w:spacing w:val="30"/>
          <w:w w:val="105"/>
        </w:rPr>
        <w:t> </w:t>
      </w:r>
      <w:r>
        <w:rPr>
          <w:w w:val="105"/>
        </w:rPr>
        <w:t>many</w:t>
      </w:r>
      <w:r>
        <w:rPr>
          <w:spacing w:val="30"/>
          <w:w w:val="105"/>
        </w:rPr>
        <w:t> </w:t>
      </w:r>
      <w:r>
        <w:rPr>
          <w:w w:val="105"/>
        </w:rPr>
        <w:t>risks,</w:t>
      </w:r>
      <w:r>
        <w:rPr>
          <w:spacing w:val="30"/>
          <w:w w:val="105"/>
        </w:rPr>
        <w:t> </w:t>
      </w:r>
      <w:r>
        <w:rPr>
          <w:w w:val="105"/>
        </w:rPr>
        <w:t>including</w:t>
      </w:r>
      <w:r>
        <w:rPr>
          <w:spacing w:val="30"/>
          <w:w w:val="105"/>
        </w:rPr>
        <w:t> </w:t>
      </w:r>
      <w:r>
        <w:rPr>
          <w:w w:val="105"/>
        </w:rPr>
        <w:t>operational,</w:t>
      </w:r>
      <w:r>
        <w:rPr>
          <w:spacing w:val="30"/>
          <w:w w:val="105"/>
        </w:rPr>
        <w:t> </w:t>
      </w:r>
      <w:r>
        <w:rPr>
          <w:w w:val="105"/>
        </w:rPr>
        <w:t>economic,</w:t>
      </w:r>
      <w:r>
        <w:rPr>
          <w:spacing w:val="30"/>
          <w:w w:val="105"/>
        </w:rPr>
        <w:t> </w:t>
      </w:r>
      <w:r>
        <w:rPr>
          <w:w w:val="105"/>
        </w:rPr>
        <w:t>financial,</w:t>
      </w:r>
      <w:r>
        <w:rPr>
          <w:spacing w:val="30"/>
          <w:w w:val="105"/>
        </w:rPr>
        <w:t> </w:t>
      </w:r>
      <w:r>
        <w:rPr>
          <w:w w:val="105"/>
        </w:rPr>
        <w:t>legal,</w:t>
      </w:r>
      <w:r>
        <w:rPr>
          <w:spacing w:val="30"/>
          <w:w w:val="105"/>
        </w:rPr>
        <w:t> </w:t>
      </w:r>
      <w:r>
        <w:rPr>
          <w:w w:val="105"/>
        </w:rPr>
        <w:t>regulatory,</w:t>
      </w:r>
      <w:r>
        <w:rPr>
          <w:spacing w:val="30"/>
          <w:w w:val="105"/>
        </w:rPr>
        <w:t> </w:t>
      </w:r>
      <w:r>
        <w:rPr>
          <w:w w:val="105"/>
        </w:rPr>
        <w:t>and</w:t>
      </w:r>
      <w:r>
        <w:rPr>
          <w:spacing w:val="30"/>
          <w:w w:val="105"/>
        </w:rPr>
        <w:t> </w:t>
      </w:r>
      <w:r>
        <w:rPr>
          <w:w w:val="105"/>
        </w:rPr>
        <w:t>competitive</w:t>
      </w:r>
      <w:r>
        <w:rPr>
          <w:w w:val="105"/>
        </w:rPr>
        <w:t> risks.</w:t>
      </w:r>
      <w:r>
        <w:rPr>
          <w:spacing w:val="14"/>
          <w:w w:val="105"/>
        </w:rPr>
        <w:t> </w:t>
      </w:r>
      <w:r>
        <w:rPr>
          <w:w w:val="105"/>
        </w:rPr>
        <w:t>Our</w:t>
      </w:r>
      <w:r>
        <w:rPr>
          <w:spacing w:val="14"/>
          <w:w w:val="105"/>
        </w:rPr>
        <w:t> </w:t>
      </w:r>
      <w:r>
        <w:rPr>
          <w:w w:val="105"/>
        </w:rPr>
        <w:t>management</w:t>
      </w:r>
      <w:r>
        <w:rPr>
          <w:spacing w:val="14"/>
          <w:w w:val="105"/>
        </w:rPr>
        <w:t> </w:t>
      </w:r>
      <w:r>
        <w:rPr>
          <w:w w:val="105"/>
        </w:rPr>
        <w:t>is</w:t>
      </w:r>
      <w:r>
        <w:rPr>
          <w:spacing w:val="14"/>
          <w:w w:val="105"/>
        </w:rPr>
        <w:t> </w:t>
      </w:r>
      <w:r>
        <w:rPr>
          <w:w w:val="105"/>
        </w:rPr>
        <w:t>responsible</w:t>
      </w:r>
      <w:r>
        <w:rPr>
          <w:spacing w:val="14"/>
          <w:w w:val="105"/>
        </w:rPr>
        <w:t> </w:t>
      </w:r>
      <w:r>
        <w:rPr>
          <w:w w:val="105"/>
        </w:rPr>
        <w:t>for</w:t>
      </w:r>
      <w:r>
        <w:rPr>
          <w:spacing w:val="14"/>
          <w:w w:val="105"/>
        </w:rPr>
        <w:t> </w:t>
      </w:r>
      <w:r>
        <w:rPr>
          <w:w w:val="105"/>
        </w:rPr>
        <w:t>the</w:t>
      </w:r>
      <w:r>
        <w:rPr>
          <w:spacing w:val="14"/>
          <w:w w:val="105"/>
        </w:rPr>
        <w:t> </w:t>
      </w:r>
      <w:r>
        <w:rPr>
          <w:w w:val="105"/>
        </w:rPr>
        <w:t>day-to-day</w:t>
      </w:r>
      <w:r>
        <w:rPr>
          <w:spacing w:val="14"/>
          <w:w w:val="105"/>
        </w:rPr>
        <w:t> </w:t>
      </w:r>
      <w:r>
        <w:rPr>
          <w:w w:val="105"/>
        </w:rPr>
        <w:t>management</w:t>
      </w:r>
      <w:r>
        <w:rPr>
          <w:spacing w:val="14"/>
          <w:w w:val="105"/>
        </w:rPr>
        <w:t> </w:t>
      </w:r>
      <w:r>
        <w:rPr>
          <w:w w:val="105"/>
        </w:rPr>
        <w:t>of</w:t>
      </w:r>
      <w:r>
        <w:rPr>
          <w:spacing w:val="14"/>
          <w:w w:val="105"/>
        </w:rPr>
        <w:t> </w:t>
      </w:r>
      <w:r>
        <w:rPr>
          <w:w w:val="105"/>
        </w:rPr>
        <w:t>the</w:t>
      </w:r>
      <w:r>
        <w:rPr>
          <w:spacing w:val="14"/>
          <w:w w:val="105"/>
        </w:rPr>
        <w:t> </w:t>
      </w:r>
      <w:r>
        <w:rPr>
          <w:w w:val="105"/>
        </w:rPr>
        <w:t>risks</w:t>
      </w:r>
      <w:r>
        <w:rPr>
          <w:spacing w:val="14"/>
          <w:w w:val="105"/>
        </w:rPr>
        <w:t> </w:t>
      </w:r>
      <w:r>
        <w:rPr>
          <w:w w:val="105"/>
        </w:rPr>
        <w:t>we</w:t>
      </w:r>
      <w:r>
        <w:rPr>
          <w:spacing w:val="14"/>
          <w:w w:val="105"/>
        </w:rPr>
        <w:t> </w:t>
      </w:r>
      <w:r>
        <w:rPr>
          <w:w w:val="105"/>
        </w:rPr>
        <w:t>face. While</w:t>
      </w:r>
      <w:r>
        <w:rPr>
          <w:spacing w:val="14"/>
          <w:w w:val="105"/>
        </w:rPr>
        <w:t> </w:t>
      </w:r>
      <w:r>
        <w:rPr>
          <w:w w:val="105"/>
        </w:rPr>
        <w:t>our</w:t>
      </w:r>
      <w:r>
        <w:rPr>
          <w:spacing w:val="14"/>
          <w:w w:val="105"/>
        </w:rPr>
        <w:t> </w:t>
      </w:r>
      <w:r>
        <w:rPr>
          <w:w w:val="105"/>
        </w:rPr>
        <w:t>Board, as a whole, has ultimate responsibility for the oversight of risk management, it administers its risk oversight</w:t>
      </w:r>
      <w:r>
        <w:rPr>
          <w:spacing w:val="40"/>
          <w:w w:val="105"/>
        </w:rPr>
        <w:t> </w:t>
      </w:r>
      <w:r>
        <w:rPr>
          <w:w w:val="105"/>
        </w:rPr>
        <w:t>role</w:t>
      </w:r>
      <w:r>
        <w:rPr>
          <w:spacing w:val="27"/>
          <w:w w:val="105"/>
        </w:rPr>
        <w:t> </w:t>
      </w:r>
      <w:r>
        <w:rPr>
          <w:w w:val="105"/>
        </w:rPr>
        <w:t>in</w:t>
      </w:r>
      <w:r>
        <w:rPr>
          <w:spacing w:val="27"/>
          <w:w w:val="105"/>
        </w:rPr>
        <w:t> </w:t>
      </w:r>
      <w:r>
        <w:rPr>
          <w:w w:val="105"/>
        </w:rPr>
        <w:t>part</w:t>
      </w:r>
      <w:r>
        <w:rPr>
          <w:spacing w:val="27"/>
          <w:w w:val="105"/>
        </w:rPr>
        <w:t> </w:t>
      </w:r>
      <w:r>
        <w:rPr>
          <w:w w:val="105"/>
        </w:rPr>
        <w:t>through</w:t>
      </w:r>
      <w:r>
        <w:rPr>
          <w:spacing w:val="27"/>
          <w:w w:val="105"/>
        </w:rPr>
        <w:t> </w:t>
      </w:r>
      <w:r>
        <w:rPr>
          <w:w w:val="105"/>
        </w:rPr>
        <w:t>the</w:t>
      </w:r>
      <w:r>
        <w:rPr>
          <w:spacing w:val="27"/>
          <w:w w:val="105"/>
        </w:rPr>
        <w:t> </w:t>
      </w:r>
      <w:r>
        <w:rPr>
          <w:w w:val="105"/>
        </w:rPr>
        <w:t>Board</w:t>
      </w:r>
      <w:r>
        <w:rPr>
          <w:spacing w:val="27"/>
          <w:w w:val="105"/>
        </w:rPr>
        <w:t> </w:t>
      </w:r>
      <w:r>
        <w:rPr>
          <w:w w:val="105"/>
        </w:rPr>
        <w:t>committee</w:t>
      </w:r>
      <w:r>
        <w:rPr>
          <w:spacing w:val="27"/>
          <w:w w:val="105"/>
        </w:rPr>
        <w:t> </w:t>
      </w:r>
      <w:r>
        <w:rPr>
          <w:w w:val="105"/>
        </w:rPr>
        <w:t>structure,</w:t>
      </w:r>
      <w:r>
        <w:rPr>
          <w:spacing w:val="27"/>
          <w:w w:val="105"/>
        </w:rPr>
        <w:t> </w:t>
      </w:r>
      <w:r>
        <w:rPr>
          <w:w w:val="105"/>
        </w:rPr>
        <w:t>with</w:t>
      </w:r>
      <w:r>
        <w:rPr>
          <w:spacing w:val="27"/>
          <w:w w:val="105"/>
        </w:rPr>
        <w:t> </w:t>
      </w:r>
      <w:r>
        <w:rPr>
          <w:w w:val="105"/>
        </w:rPr>
        <w:t>the Audit</w:t>
      </w:r>
      <w:r>
        <w:rPr>
          <w:spacing w:val="27"/>
          <w:w w:val="105"/>
        </w:rPr>
        <w:t> </w:t>
      </w:r>
      <w:r>
        <w:rPr>
          <w:w w:val="105"/>
        </w:rPr>
        <w:t>Committee,</w:t>
      </w:r>
      <w:r>
        <w:rPr>
          <w:spacing w:val="27"/>
          <w:w w:val="105"/>
        </w:rPr>
        <w:t> </w:t>
      </w:r>
      <w:r>
        <w:rPr>
          <w:w w:val="105"/>
        </w:rPr>
        <w:t>the</w:t>
      </w:r>
      <w:r>
        <w:rPr>
          <w:spacing w:val="27"/>
          <w:w w:val="105"/>
        </w:rPr>
        <w:t> </w:t>
      </w:r>
      <w:r>
        <w:rPr>
          <w:w w:val="105"/>
        </w:rPr>
        <w:t>Compensation Committee, and the Nominating Committee responsible for monitoring and reporting on the material risks</w:t>
      </w:r>
      <w:r>
        <w:rPr>
          <w:spacing w:val="40"/>
          <w:w w:val="105"/>
        </w:rPr>
        <w:t> </w:t>
      </w:r>
      <w:r>
        <w:rPr>
          <w:w w:val="105"/>
        </w:rPr>
        <w:t>associated with their respective subject matter areas.</w:t>
      </w:r>
    </w:p>
    <w:p>
      <w:pPr>
        <w:pStyle w:val="BodyText"/>
        <w:spacing w:line="247" w:lineRule="auto" w:before="149"/>
        <w:ind w:left="1400" w:right="1402" w:firstLine="372"/>
      </w:pPr>
      <w:r>
        <w:rPr>
          <w:w w:val="105"/>
        </w:rPr>
        <w:t>The</w:t>
      </w:r>
      <w:r>
        <w:rPr>
          <w:spacing w:val="25"/>
          <w:w w:val="105"/>
        </w:rPr>
        <w:t> </w:t>
      </w:r>
      <w:r>
        <w:rPr>
          <w:w w:val="105"/>
        </w:rPr>
        <w:t>Board’s</w:t>
      </w:r>
      <w:r>
        <w:rPr>
          <w:spacing w:val="25"/>
          <w:w w:val="105"/>
        </w:rPr>
        <w:t> </w:t>
      </w:r>
      <w:r>
        <w:rPr>
          <w:w w:val="105"/>
        </w:rPr>
        <w:t>role</w:t>
      </w:r>
      <w:r>
        <w:rPr>
          <w:spacing w:val="25"/>
          <w:w w:val="105"/>
        </w:rPr>
        <w:t> </w:t>
      </w:r>
      <w:r>
        <w:rPr>
          <w:w w:val="105"/>
        </w:rPr>
        <w:t>in</w:t>
      </w:r>
      <w:r>
        <w:rPr>
          <w:spacing w:val="25"/>
          <w:w w:val="105"/>
        </w:rPr>
        <w:t> </w:t>
      </w:r>
      <w:r>
        <w:rPr>
          <w:w w:val="105"/>
        </w:rPr>
        <w:t>our</w:t>
      </w:r>
      <w:r>
        <w:rPr>
          <w:spacing w:val="25"/>
          <w:w w:val="105"/>
        </w:rPr>
        <w:t> </w:t>
      </w:r>
      <w:r>
        <w:rPr>
          <w:w w:val="105"/>
        </w:rPr>
        <w:t>risk</w:t>
      </w:r>
      <w:r>
        <w:rPr>
          <w:spacing w:val="25"/>
          <w:w w:val="105"/>
        </w:rPr>
        <w:t> </w:t>
      </w:r>
      <w:r>
        <w:rPr>
          <w:w w:val="105"/>
        </w:rPr>
        <w:t>oversight</w:t>
      </w:r>
      <w:r>
        <w:rPr>
          <w:spacing w:val="25"/>
          <w:w w:val="105"/>
        </w:rPr>
        <w:t> </w:t>
      </w:r>
      <w:r>
        <w:rPr>
          <w:w w:val="105"/>
        </w:rPr>
        <w:t>process</w:t>
      </w:r>
      <w:r>
        <w:rPr>
          <w:spacing w:val="25"/>
          <w:w w:val="105"/>
        </w:rPr>
        <w:t> </w:t>
      </w:r>
      <w:r>
        <w:rPr>
          <w:w w:val="105"/>
        </w:rPr>
        <w:t>includes</w:t>
      </w:r>
      <w:r>
        <w:rPr>
          <w:spacing w:val="25"/>
          <w:w w:val="105"/>
        </w:rPr>
        <w:t> </w:t>
      </w:r>
      <w:r>
        <w:rPr>
          <w:w w:val="105"/>
        </w:rPr>
        <w:t>receiving</w:t>
      </w:r>
      <w:r>
        <w:rPr>
          <w:spacing w:val="25"/>
          <w:w w:val="105"/>
        </w:rPr>
        <w:t> </w:t>
      </w:r>
      <w:r>
        <w:rPr>
          <w:w w:val="105"/>
        </w:rPr>
        <w:t>regular</w:t>
      </w:r>
      <w:r>
        <w:rPr>
          <w:spacing w:val="25"/>
          <w:w w:val="105"/>
        </w:rPr>
        <w:t> </w:t>
      </w:r>
      <w:r>
        <w:rPr>
          <w:w w:val="105"/>
        </w:rPr>
        <w:t>reports</w:t>
      </w:r>
      <w:r>
        <w:rPr>
          <w:spacing w:val="25"/>
          <w:w w:val="105"/>
        </w:rPr>
        <w:t> </w:t>
      </w:r>
      <w:r>
        <w:rPr>
          <w:w w:val="105"/>
        </w:rPr>
        <w:t>from</w:t>
      </w:r>
      <w:r>
        <w:rPr>
          <w:spacing w:val="25"/>
          <w:w w:val="105"/>
        </w:rPr>
        <w:t> </w:t>
      </w:r>
      <w:r>
        <w:rPr>
          <w:w w:val="105"/>
        </w:rPr>
        <w:t>members</w:t>
      </w:r>
      <w:r>
        <w:rPr>
          <w:spacing w:val="25"/>
          <w:w w:val="105"/>
        </w:rPr>
        <w:t> </w:t>
      </w:r>
      <w:r>
        <w:rPr>
          <w:w w:val="105"/>
        </w:rPr>
        <w:t>of</w:t>
      </w:r>
      <w:r>
        <w:rPr>
          <w:w w:val="105"/>
        </w:rPr>
        <w:t> senior management, as well as internal audit and external advisors, on areas of material risk to us, including</w:t>
      </w:r>
      <w:r>
        <w:rPr>
          <w:spacing w:val="40"/>
          <w:w w:val="105"/>
        </w:rPr>
        <w:t> </w:t>
      </w:r>
      <w:r>
        <w:rPr>
          <w:w w:val="105"/>
        </w:rPr>
        <w:t>operational, economic, financial, legal, regulatory and competitive risks. The full Board (or the appropriate</w:t>
      </w:r>
      <w:r>
        <w:rPr>
          <w:spacing w:val="40"/>
          <w:w w:val="105"/>
        </w:rPr>
        <w:t> </w:t>
      </w:r>
      <w:r>
        <w:rPr>
          <w:w w:val="105"/>
        </w:rPr>
        <w:t>committee in the case of risks that are reviewed by a particular committee) receives these reports from those</w:t>
      </w:r>
      <w:r>
        <w:rPr>
          <w:spacing w:val="40"/>
          <w:w w:val="105"/>
        </w:rPr>
        <w:t> </w:t>
      </w:r>
      <w:r>
        <w:rPr>
          <w:w w:val="105"/>
        </w:rPr>
        <w:t>responsible for the relevant risk in order to enable it to understand our risk exposures and the steps that</w:t>
      </w:r>
      <w:r>
        <w:rPr>
          <w:spacing w:val="40"/>
          <w:w w:val="105"/>
        </w:rPr>
        <w:t> </w:t>
      </w:r>
      <w:r>
        <w:rPr>
          <w:w w:val="105"/>
        </w:rPr>
        <w:t>management has taken to monitor and control these exposures. When a committee receives the report, the</w:t>
      </w:r>
      <w:r>
        <w:rPr>
          <w:spacing w:val="80"/>
          <w:w w:val="105"/>
        </w:rPr>
        <w:t> </w:t>
      </w:r>
      <w:r>
        <w:rPr>
          <w:w w:val="105"/>
        </w:rPr>
        <w:t>Chair of the relevant committee generally provides a summary to the full Board at the next Board meeting.</w:t>
      </w:r>
      <w:r>
        <w:rPr>
          <w:spacing w:val="80"/>
          <w:w w:val="150"/>
        </w:rPr>
        <w:t> </w:t>
      </w:r>
      <w:r>
        <w:rPr>
          <w:w w:val="105"/>
        </w:rPr>
        <w:t>This enables the Board and its committees to coordinate the risk oversight role. The Audit Committee assists</w:t>
      </w:r>
      <w:r>
        <w:rPr>
          <w:spacing w:val="40"/>
          <w:w w:val="105"/>
        </w:rPr>
        <w:t> </w:t>
      </w:r>
      <w:r>
        <w:rPr>
          <w:w w:val="105"/>
        </w:rPr>
        <w:t>the</w:t>
      </w:r>
      <w:r>
        <w:rPr>
          <w:spacing w:val="27"/>
          <w:w w:val="105"/>
        </w:rPr>
        <w:t> </w:t>
      </w:r>
      <w:r>
        <w:rPr>
          <w:w w:val="105"/>
        </w:rPr>
        <w:t>Board</w:t>
      </w:r>
      <w:r>
        <w:rPr>
          <w:spacing w:val="27"/>
          <w:w w:val="105"/>
        </w:rPr>
        <w:t> </w:t>
      </w:r>
      <w:r>
        <w:rPr>
          <w:w w:val="105"/>
        </w:rPr>
        <w:t>in</w:t>
      </w:r>
      <w:r>
        <w:rPr>
          <w:spacing w:val="27"/>
          <w:w w:val="105"/>
        </w:rPr>
        <w:t> </w:t>
      </w:r>
      <w:r>
        <w:rPr>
          <w:w w:val="105"/>
        </w:rPr>
        <w:t>oversight</w:t>
      </w:r>
      <w:r>
        <w:rPr>
          <w:spacing w:val="27"/>
          <w:w w:val="105"/>
        </w:rPr>
        <w:t> </w:t>
      </w:r>
      <w:r>
        <w:rPr>
          <w:w w:val="105"/>
        </w:rPr>
        <w:t>and</w:t>
      </w:r>
      <w:r>
        <w:rPr>
          <w:spacing w:val="27"/>
          <w:w w:val="105"/>
        </w:rPr>
        <w:t> </w:t>
      </w:r>
      <w:r>
        <w:rPr>
          <w:w w:val="105"/>
        </w:rPr>
        <w:t>monitoring</w:t>
      </w:r>
      <w:r>
        <w:rPr>
          <w:spacing w:val="27"/>
          <w:w w:val="105"/>
        </w:rPr>
        <w:t> </w:t>
      </w:r>
      <w:r>
        <w:rPr>
          <w:w w:val="105"/>
        </w:rPr>
        <w:t>of</w:t>
      </w:r>
      <w:r>
        <w:rPr>
          <w:spacing w:val="27"/>
          <w:w w:val="105"/>
        </w:rPr>
        <w:t> </w:t>
      </w:r>
      <w:r>
        <w:rPr>
          <w:w w:val="105"/>
        </w:rPr>
        <w:t>principal</w:t>
      </w:r>
      <w:r>
        <w:rPr>
          <w:spacing w:val="27"/>
          <w:w w:val="105"/>
        </w:rPr>
        <w:t> </w:t>
      </w:r>
      <w:r>
        <w:rPr>
          <w:w w:val="105"/>
        </w:rPr>
        <w:t>risk</w:t>
      </w:r>
      <w:r>
        <w:rPr>
          <w:spacing w:val="27"/>
          <w:w w:val="105"/>
        </w:rPr>
        <w:t> </w:t>
      </w:r>
      <w:r>
        <w:rPr>
          <w:w w:val="105"/>
        </w:rPr>
        <w:t>exposures</w:t>
      </w:r>
      <w:r>
        <w:rPr>
          <w:spacing w:val="27"/>
          <w:w w:val="105"/>
        </w:rPr>
        <w:t> </w:t>
      </w:r>
      <w:r>
        <w:rPr>
          <w:w w:val="105"/>
        </w:rPr>
        <w:t>related</w:t>
      </w:r>
      <w:r>
        <w:rPr>
          <w:spacing w:val="27"/>
          <w:w w:val="105"/>
        </w:rPr>
        <w:t> </w:t>
      </w:r>
      <w:r>
        <w:rPr>
          <w:w w:val="105"/>
        </w:rPr>
        <w:t>to</w:t>
      </w:r>
      <w:r>
        <w:rPr>
          <w:spacing w:val="27"/>
          <w:w w:val="105"/>
        </w:rPr>
        <w:t> </w:t>
      </w:r>
      <w:r>
        <w:rPr>
          <w:w w:val="105"/>
        </w:rPr>
        <w:t>financial</w:t>
      </w:r>
      <w:r>
        <w:rPr>
          <w:spacing w:val="27"/>
          <w:w w:val="105"/>
        </w:rPr>
        <w:t> </w:t>
      </w:r>
      <w:r>
        <w:rPr>
          <w:w w:val="105"/>
        </w:rPr>
        <w:t>statements,</w:t>
      </w:r>
      <w:r>
        <w:rPr>
          <w:spacing w:val="27"/>
          <w:w w:val="105"/>
        </w:rPr>
        <w:t> </w:t>
      </w:r>
      <w:r>
        <w:rPr>
          <w:w w:val="105"/>
        </w:rPr>
        <w:t>legal, ethical compliance, information security, regulatory, and other matters, as well as related mitigation efforts.</w:t>
      </w:r>
      <w:r>
        <w:rPr>
          <w:spacing w:val="80"/>
          <w:w w:val="105"/>
        </w:rPr>
        <w:t> </w:t>
      </w:r>
      <w:r>
        <w:rPr>
          <w:w w:val="105"/>
        </w:rPr>
        <w:t>The</w:t>
      </w:r>
      <w:r>
        <w:rPr>
          <w:spacing w:val="29"/>
          <w:w w:val="105"/>
        </w:rPr>
        <w:t> </w:t>
      </w:r>
      <w:r>
        <w:rPr>
          <w:w w:val="105"/>
        </w:rPr>
        <w:t>Compensation</w:t>
      </w:r>
      <w:r>
        <w:rPr>
          <w:spacing w:val="29"/>
          <w:w w:val="105"/>
        </w:rPr>
        <w:t> </w:t>
      </w:r>
      <w:r>
        <w:rPr>
          <w:w w:val="105"/>
        </w:rPr>
        <w:t>Committee</w:t>
      </w:r>
      <w:r>
        <w:rPr>
          <w:spacing w:val="29"/>
          <w:w w:val="105"/>
        </w:rPr>
        <w:t> </w:t>
      </w:r>
      <w:r>
        <w:rPr>
          <w:w w:val="105"/>
        </w:rPr>
        <w:t>assesses,</w:t>
      </w:r>
      <w:r>
        <w:rPr>
          <w:spacing w:val="29"/>
          <w:w w:val="105"/>
        </w:rPr>
        <w:t> </w:t>
      </w:r>
      <w:r>
        <w:rPr>
          <w:w w:val="105"/>
        </w:rPr>
        <w:t>at</w:t>
      </w:r>
      <w:r>
        <w:rPr>
          <w:spacing w:val="29"/>
          <w:w w:val="105"/>
        </w:rPr>
        <w:t> </w:t>
      </w:r>
      <w:r>
        <w:rPr>
          <w:w w:val="105"/>
        </w:rPr>
        <w:t>least</w:t>
      </w:r>
      <w:r>
        <w:rPr>
          <w:spacing w:val="29"/>
          <w:w w:val="105"/>
        </w:rPr>
        <w:t> </w:t>
      </w:r>
      <w:r>
        <w:rPr>
          <w:w w:val="105"/>
        </w:rPr>
        <w:t>annually,</w:t>
      </w:r>
      <w:r>
        <w:rPr>
          <w:spacing w:val="29"/>
          <w:w w:val="105"/>
        </w:rPr>
        <w:t> </w:t>
      </w:r>
      <w:r>
        <w:rPr>
          <w:w w:val="105"/>
        </w:rPr>
        <w:t>the</w:t>
      </w:r>
      <w:r>
        <w:rPr>
          <w:spacing w:val="29"/>
          <w:w w:val="105"/>
        </w:rPr>
        <w:t> </w:t>
      </w:r>
      <w:r>
        <w:rPr>
          <w:w w:val="105"/>
        </w:rPr>
        <w:t>risks</w:t>
      </w:r>
      <w:r>
        <w:rPr>
          <w:spacing w:val="29"/>
          <w:w w:val="105"/>
        </w:rPr>
        <w:t> </w:t>
      </w:r>
      <w:r>
        <w:rPr>
          <w:w w:val="105"/>
        </w:rPr>
        <w:t>associated</w:t>
      </w:r>
      <w:r>
        <w:rPr>
          <w:spacing w:val="29"/>
          <w:w w:val="105"/>
        </w:rPr>
        <w:t> </w:t>
      </w:r>
      <w:r>
        <w:rPr>
          <w:w w:val="105"/>
        </w:rPr>
        <w:t>with</w:t>
      </w:r>
      <w:r>
        <w:rPr>
          <w:spacing w:val="29"/>
          <w:w w:val="105"/>
        </w:rPr>
        <w:t> </w:t>
      </w:r>
      <w:r>
        <w:rPr>
          <w:w w:val="105"/>
        </w:rPr>
        <w:t>our</w:t>
      </w:r>
      <w:r>
        <w:rPr>
          <w:spacing w:val="29"/>
          <w:w w:val="105"/>
        </w:rPr>
        <w:t> </w:t>
      </w:r>
      <w:r>
        <w:rPr>
          <w:w w:val="105"/>
        </w:rPr>
        <w:t>compensation policies. The</w:t>
      </w:r>
      <w:r>
        <w:rPr>
          <w:spacing w:val="24"/>
          <w:w w:val="105"/>
        </w:rPr>
        <w:t> </w:t>
      </w:r>
      <w:r>
        <w:rPr>
          <w:w w:val="105"/>
        </w:rPr>
        <w:t>Nominating</w:t>
      </w:r>
      <w:r>
        <w:rPr>
          <w:spacing w:val="24"/>
          <w:w w:val="105"/>
        </w:rPr>
        <w:t> </w:t>
      </w:r>
      <w:r>
        <w:rPr>
          <w:w w:val="105"/>
        </w:rPr>
        <w:t>Committee</w:t>
      </w:r>
      <w:r>
        <w:rPr>
          <w:spacing w:val="24"/>
          <w:w w:val="105"/>
        </w:rPr>
        <w:t> </w:t>
      </w:r>
      <w:r>
        <w:rPr>
          <w:w w:val="105"/>
        </w:rPr>
        <w:t>assists</w:t>
      </w:r>
      <w:r>
        <w:rPr>
          <w:spacing w:val="24"/>
          <w:w w:val="105"/>
        </w:rPr>
        <w:t> </w:t>
      </w:r>
      <w:r>
        <w:rPr>
          <w:w w:val="105"/>
        </w:rPr>
        <w:t>the</w:t>
      </w:r>
      <w:r>
        <w:rPr>
          <w:spacing w:val="24"/>
          <w:w w:val="105"/>
        </w:rPr>
        <w:t> </w:t>
      </w:r>
      <w:r>
        <w:rPr>
          <w:w w:val="105"/>
        </w:rPr>
        <w:t>Board</w:t>
      </w:r>
      <w:r>
        <w:rPr>
          <w:spacing w:val="24"/>
          <w:w w:val="105"/>
        </w:rPr>
        <w:t> </w:t>
      </w:r>
      <w:r>
        <w:rPr>
          <w:w w:val="105"/>
        </w:rPr>
        <w:t>in</w:t>
      </w:r>
      <w:r>
        <w:rPr>
          <w:spacing w:val="24"/>
          <w:w w:val="105"/>
        </w:rPr>
        <w:t> </w:t>
      </w:r>
      <w:r>
        <w:rPr>
          <w:w w:val="105"/>
        </w:rPr>
        <w:t>oversight</w:t>
      </w:r>
      <w:r>
        <w:rPr>
          <w:spacing w:val="24"/>
          <w:w w:val="105"/>
        </w:rPr>
        <w:t> </w:t>
      </w:r>
      <w:r>
        <w:rPr>
          <w:w w:val="105"/>
        </w:rPr>
        <w:t>of</w:t>
      </w:r>
      <w:r>
        <w:rPr>
          <w:spacing w:val="24"/>
          <w:w w:val="105"/>
        </w:rPr>
        <w:t> </w:t>
      </w:r>
      <w:r>
        <w:rPr>
          <w:w w:val="105"/>
        </w:rPr>
        <w:t>risks</w:t>
      </w:r>
      <w:r>
        <w:rPr>
          <w:spacing w:val="24"/>
          <w:w w:val="105"/>
        </w:rPr>
        <w:t> </w:t>
      </w:r>
      <w:r>
        <w:rPr>
          <w:w w:val="105"/>
        </w:rPr>
        <w:t>that</w:t>
      </w:r>
      <w:r>
        <w:rPr>
          <w:spacing w:val="24"/>
          <w:w w:val="105"/>
        </w:rPr>
        <w:t> </w:t>
      </w:r>
      <w:r>
        <w:rPr>
          <w:w w:val="105"/>
        </w:rPr>
        <w:t>we</w:t>
      </w:r>
      <w:r>
        <w:rPr>
          <w:spacing w:val="24"/>
          <w:w w:val="105"/>
        </w:rPr>
        <w:t> </w:t>
      </w:r>
      <w:r>
        <w:rPr>
          <w:w w:val="105"/>
        </w:rPr>
        <w:t>have</w:t>
      </w:r>
      <w:r>
        <w:rPr>
          <w:spacing w:val="24"/>
          <w:w w:val="105"/>
        </w:rPr>
        <w:t> </w:t>
      </w:r>
      <w:r>
        <w:rPr>
          <w:w w:val="105"/>
        </w:rPr>
        <w:t>relative</w:t>
      </w:r>
      <w:r>
        <w:rPr>
          <w:spacing w:val="24"/>
          <w:w w:val="105"/>
        </w:rPr>
        <w:t> </w:t>
      </w:r>
      <w:r>
        <w:rPr>
          <w:w w:val="105"/>
        </w:rPr>
        <w:t>to compliance</w:t>
      </w:r>
      <w:r>
        <w:rPr>
          <w:spacing w:val="28"/>
          <w:w w:val="105"/>
        </w:rPr>
        <w:t> </w:t>
      </w:r>
      <w:r>
        <w:rPr>
          <w:w w:val="105"/>
        </w:rPr>
        <w:t>with</w:t>
      </w:r>
      <w:r>
        <w:rPr>
          <w:spacing w:val="28"/>
          <w:w w:val="105"/>
        </w:rPr>
        <w:t> </w:t>
      </w:r>
      <w:r>
        <w:rPr>
          <w:w w:val="105"/>
        </w:rPr>
        <w:t>corporate</w:t>
      </w:r>
      <w:r>
        <w:rPr>
          <w:spacing w:val="28"/>
          <w:w w:val="105"/>
        </w:rPr>
        <w:t> </w:t>
      </w:r>
      <w:r>
        <w:rPr>
          <w:w w:val="105"/>
        </w:rPr>
        <w:t>governance</w:t>
      </w:r>
      <w:r>
        <w:rPr>
          <w:spacing w:val="28"/>
          <w:w w:val="105"/>
        </w:rPr>
        <w:t> </w:t>
      </w:r>
      <w:r>
        <w:rPr>
          <w:w w:val="105"/>
        </w:rPr>
        <w:t>standards. The Audit</w:t>
      </w:r>
      <w:r>
        <w:rPr>
          <w:spacing w:val="28"/>
          <w:w w:val="105"/>
        </w:rPr>
        <w:t> </w:t>
      </w:r>
      <w:r>
        <w:rPr>
          <w:w w:val="105"/>
        </w:rPr>
        <w:t>Committee,</w:t>
      </w:r>
      <w:r>
        <w:rPr>
          <w:spacing w:val="28"/>
          <w:w w:val="105"/>
        </w:rPr>
        <w:t> </w:t>
      </w:r>
      <w:r>
        <w:rPr>
          <w:w w:val="105"/>
        </w:rPr>
        <w:t>the</w:t>
      </w:r>
      <w:r>
        <w:rPr>
          <w:spacing w:val="28"/>
          <w:w w:val="105"/>
        </w:rPr>
        <w:t> </w:t>
      </w:r>
      <w:r>
        <w:rPr>
          <w:w w:val="105"/>
        </w:rPr>
        <w:t>Compensation</w:t>
      </w:r>
      <w:r>
        <w:rPr>
          <w:spacing w:val="28"/>
          <w:w w:val="105"/>
        </w:rPr>
        <w:t> </w:t>
      </w:r>
      <w:r>
        <w:rPr>
          <w:w w:val="105"/>
        </w:rPr>
        <w:t>Committee,</w:t>
      </w:r>
      <w:r>
        <w:rPr>
          <w:spacing w:val="28"/>
          <w:w w:val="105"/>
        </w:rPr>
        <w:t> </w:t>
      </w:r>
      <w:r>
        <w:rPr>
          <w:w w:val="105"/>
        </w:rPr>
        <w:t>and the Nominating Committee share oversight of different aspects of our ESG programs.</w:t>
      </w:r>
    </w:p>
    <w:p>
      <w:pPr>
        <w:pStyle w:val="BodyText"/>
        <w:rPr>
          <w:sz w:val="20"/>
        </w:rPr>
      </w:pPr>
    </w:p>
    <w:p>
      <w:pPr>
        <w:pStyle w:val="Heading2"/>
      </w:pPr>
      <w:r>
        <w:rPr>
          <w:spacing w:val="-2"/>
        </w:rPr>
        <w:t>Cybersecurity</w:t>
      </w:r>
      <w:r>
        <w:rPr>
          <w:spacing w:val="2"/>
        </w:rPr>
        <w:t> </w:t>
      </w:r>
      <w:r>
        <w:rPr>
          <w:spacing w:val="-2"/>
        </w:rPr>
        <w:t>Risk</w:t>
      </w:r>
      <w:r>
        <w:rPr>
          <w:spacing w:val="3"/>
        </w:rPr>
        <w:t> </w:t>
      </w:r>
      <w:r>
        <w:rPr>
          <w:spacing w:val="-2"/>
        </w:rPr>
        <w:t>Oversight</w:t>
      </w:r>
    </w:p>
    <w:p>
      <w:pPr>
        <w:pStyle w:val="BodyText"/>
        <w:spacing w:line="249" w:lineRule="auto" w:before="171"/>
        <w:ind w:left="1400" w:right="1509" w:firstLine="372"/>
      </w:pPr>
      <w:r>
        <w:rPr>
          <w:w w:val="105"/>
        </w:rPr>
        <w:t>In addition, the Audit Committee oversees the Company’s cyber risk management program. The Audit Committee</w:t>
      </w:r>
      <w:r>
        <w:rPr>
          <w:spacing w:val="34"/>
          <w:w w:val="105"/>
        </w:rPr>
        <w:t> </w:t>
      </w:r>
      <w:r>
        <w:rPr>
          <w:w w:val="105"/>
        </w:rPr>
        <w:t>receives</w:t>
      </w:r>
      <w:r>
        <w:rPr>
          <w:spacing w:val="34"/>
          <w:w w:val="105"/>
        </w:rPr>
        <w:t> </w:t>
      </w:r>
      <w:r>
        <w:rPr>
          <w:w w:val="105"/>
        </w:rPr>
        <w:t>regularly</w:t>
      </w:r>
      <w:r>
        <w:rPr>
          <w:spacing w:val="34"/>
          <w:w w:val="105"/>
        </w:rPr>
        <w:t> </w:t>
      </w:r>
      <w:r>
        <w:rPr>
          <w:w w:val="105"/>
        </w:rPr>
        <w:t>scheduled</w:t>
      </w:r>
      <w:r>
        <w:rPr>
          <w:spacing w:val="34"/>
          <w:w w:val="105"/>
        </w:rPr>
        <w:t> </w:t>
      </w:r>
      <w:r>
        <w:rPr>
          <w:w w:val="105"/>
        </w:rPr>
        <w:t>updates</w:t>
      </w:r>
      <w:r>
        <w:rPr>
          <w:spacing w:val="34"/>
          <w:w w:val="105"/>
        </w:rPr>
        <w:t> </w:t>
      </w:r>
      <w:r>
        <w:rPr>
          <w:w w:val="105"/>
        </w:rPr>
        <w:t>on</w:t>
      </w:r>
      <w:r>
        <w:rPr>
          <w:spacing w:val="34"/>
          <w:w w:val="105"/>
        </w:rPr>
        <w:t> </w:t>
      </w:r>
      <w:r>
        <w:rPr>
          <w:w w:val="105"/>
        </w:rPr>
        <w:t>cybersecurity</w:t>
      </w:r>
      <w:r>
        <w:rPr>
          <w:spacing w:val="34"/>
          <w:w w:val="105"/>
        </w:rPr>
        <w:t> </w:t>
      </w:r>
      <w:r>
        <w:rPr>
          <w:w w:val="105"/>
        </w:rPr>
        <w:t>and</w:t>
      </w:r>
      <w:r>
        <w:rPr>
          <w:spacing w:val="34"/>
          <w:w w:val="105"/>
        </w:rPr>
        <w:t> </w:t>
      </w:r>
      <w:r>
        <w:rPr>
          <w:w w:val="105"/>
        </w:rPr>
        <w:t>information</w:t>
      </w:r>
      <w:r>
        <w:rPr>
          <w:spacing w:val="34"/>
          <w:w w:val="105"/>
        </w:rPr>
        <w:t> </w:t>
      </w:r>
      <w:r>
        <w:rPr>
          <w:w w:val="105"/>
        </w:rPr>
        <w:t>systems</w:t>
      </w:r>
      <w:r>
        <w:rPr>
          <w:spacing w:val="34"/>
          <w:w w:val="105"/>
        </w:rPr>
        <w:t> </w:t>
      </w:r>
      <w:r>
        <w:rPr>
          <w:w w:val="105"/>
        </w:rPr>
        <w:t>from management at least twice per year. In addition to regularly scheduled presentations, management alerts the</w:t>
      </w:r>
      <w:r>
        <w:rPr>
          <w:spacing w:val="40"/>
          <w:w w:val="105"/>
        </w:rPr>
        <w:t> </w:t>
      </w:r>
      <w:r>
        <w:rPr>
          <w:w w:val="105"/>
        </w:rPr>
        <w:t>Audit</w:t>
      </w:r>
      <w:r>
        <w:rPr>
          <w:spacing w:val="17"/>
          <w:w w:val="105"/>
        </w:rPr>
        <w:t> </w:t>
      </w:r>
      <w:r>
        <w:rPr>
          <w:w w:val="105"/>
        </w:rPr>
        <w:t>Committee</w:t>
      </w:r>
      <w:r>
        <w:rPr>
          <w:spacing w:val="17"/>
          <w:w w:val="105"/>
        </w:rPr>
        <w:t> </w:t>
      </w:r>
      <w:r>
        <w:rPr>
          <w:w w:val="105"/>
        </w:rPr>
        <w:t>Chair</w:t>
      </w:r>
      <w:r>
        <w:rPr>
          <w:spacing w:val="17"/>
          <w:w w:val="105"/>
        </w:rPr>
        <w:t> </w:t>
      </w:r>
      <w:r>
        <w:rPr>
          <w:w w:val="105"/>
        </w:rPr>
        <w:t>of</w:t>
      </w:r>
      <w:r>
        <w:rPr>
          <w:spacing w:val="17"/>
          <w:w w:val="105"/>
        </w:rPr>
        <w:t> </w:t>
      </w:r>
      <w:r>
        <w:rPr>
          <w:w w:val="105"/>
        </w:rPr>
        <w:t>significant</w:t>
      </w:r>
      <w:r>
        <w:rPr>
          <w:spacing w:val="17"/>
          <w:w w:val="105"/>
        </w:rPr>
        <w:t> </w:t>
      </w:r>
      <w:r>
        <w:rPr>
          <w:w w:val="105"/>
        </w:rPr>
        <w:t>cybersecurity</w:t>
      </w:r>
      <w:r>
        <w:rPr>
          <w:spacing w:val="17"/>
          <w:w w:val="105"/>
        </w:rPr>
        <w:t> </w:t>
      </w:r>
      <w:r>
        <w:rPr>
          <w:w w:val="105"/>
        </w:rPr>
        <w:t>threats</w:t>
      </w:r>
      <w:r>
        <w:rPr>
          <w:spacing w:val="17"/>
          <w:w w:val="105"/>
        </w:rPr>
        <w:t> </w:t>
      </w:r>
      <w:r>
        <w:rPr>
          <w:w w:val="105"/>
        </w:rPr>
        <w:t>or</w:t>
      </w:r>
      <w:r>
        <w:rPr>
          <w:spacing w:val="17"/>
          <w:w w:val="105"/>
        </w:rPr>
        <w:t> </w:t>
      </w:r>
      <w:r>
        <w:rPr>
          <w:w w:val="105"/>
        </w:rPr>
        <w:t>incidents</w:t>
      </w:r>
      <w:r>
        <w:rPr>
          <w:spacing w:val="17"/>
          <w:w w:val="105"/>
        </w:rPr>
        <w:t> </w:t>
      </w:r>
      <w:r>
        <w:rPr>
          <w:w w:val="105"/>
        </w:rPr>
        <w:t>as</w:t>
      </w:r>
      <w:r>
        <w:rPr>
          <w:spacing w:val="17"/>
          <w:w w:val="105"/>
        </w:rPr>
        <w:t> </w:t>
      </w:r>
      <w:r>
        <w:rPr>
          <w:w w:val="105"/>
        </w:rPr>
        <w:t>they</w:t>
      </w:r>
      <w:r>
        <w:rPr>
          <w:spacing w:val="17"/>
          <w:w w:val="105"/>
        </w:rPr>
        <w:t> </w:t>
      </w:r>
      <w:r>
        <w:rPr>
          <w:w w:val="105"/>
        </w:rPr>
        <w:t>arise.</w:t>
      </w:r>
      <w:r>
        <w:rPr>
          <w:spacing w:val="17"/>
          <w:w w:val="105"/>
        </w:rPr>
        <w:t> </w:t>
      </w:r>
      <w:r>
        <w:rPr>
          <w:w w:val="105"/>
        </w:rPr>
        <w:t>In</w:t>
      </w:r>
      <w:r>
        <w:rPr>
          <w:spacing w:val="17"/>
          <w:w w:val="105"/>
        </w:rPr>
        <w:t> </w:t>
      </w:r>
      <w:r>
        <w:rPr>
          <w:w w:val="105"/>
        </w:rPr>
        <w:t>order</w:t>
      </w:r>
      <w:r>
        <w:rPr>
          <w:spacing w:val="17"/>
          <w:w w:val="105"/>
        </w:rPr>
        <w:t> </w:t>
      </w:r>
      <w:r>
        <w:rPr>
          <w:w w:val="105"/>
        </w:rPr>
        <w:t>to</w:t>
      </w:r>
      <w:r>
        <w:rPr>
          <w:spacing w:val="17"/>
          <w:w w:val="105"/>
        </w:rPr>
        <w:t> </w:t>
      </w:r>
      <w:r>
        <w:rPr>
          <w:w w:val="105"/>
        </w:rPr>
        <w:t>respond</w:t>
      </w:r>
      <w:r>
        <w:rPr>
          <w:spacing w:val="17"/>
          <w:w w:val="105"/>
        </w:rPr>
        <w:t> </w:t>
      </w:r>
      <w:r>
        <w:rPr>
          <w:w w:val="105"/>
        </w:rPr>
        <w:t>to the</w:t>
      </w:r>
      <w:r>
        <w:rPr>
          <w:spacing w:val="23"/>
          <w:w w:val="105"/>
        </w:rPr>
        <w:t> </w:t>
      </w:r>
      <w:r>
        <w:rPr>
          <w:w w:val="105"/>
        </w:rPr>
        <w:t>threat</w:t>
      </w:r>
      <w:r>
        <w:rPr>
          <w:spacing w:val="23"/>
          <w:w w:val="105"/>
        </w:rPr>
        <w:t> </w:t>
      </w:r>
      <w:r>
        <w:rPr>
          <w:w w:val="105"/>
        </w:rPr>
        <w:t>of</w:t>
      </w:r>
      <w:r>
        <w:rPr>
          <w:spacing w:val="23"/>
          <w:w w:val="105"/>
        </w:rPr>
        <w:t> </w:t>
      </w:r>
      <w:r>
        <w:rPr>
          <w:w w:val="105"/>
        </w:rPr>
        <w:t>security</w:t>
      </w:r>
      <w:r>
        <w:rPr>
          <w:spacing w:val="23"/>
          <w:w w:val="105"/>
        </w:rPr>
        <w:t> </w:t>
      </w:r>
      <w:r>
        <w:rPr>
          <w:w w:val="105"/>
        </w:rPr>
        <w:t>breaches</w:t>
      </w:r>
      <w:r>
        <w:rPr>
          <w:spacing w:val="23"/>
          <w:w w:val="105"/>
        </w:rPr>
        <w:t> </w:t>
      </w:r>
      <w:r>
        <w:rPr>
          <w:w w:val="105"/>
        </w:rPr>
        <w:t>and</w:t>
      </w:r>
      <w:r>
        <w:rPr>
          <w:spacing w:val="23"/>
          <w:w w:val="105"/>
        </w:rPr>
        <w:t> </w:t>
      </w:r>
      <w:r>
        <w:rPr>
          <w:w w:val="105"/>
        </w:rPr>
        <w:t>cyberattacks,</w:t>
      </w:r>
      <w:r>
        <w:rPr>
          <w:spacing w:val="23"/>
          <w:w w:val="105"/>
        </w:rPr>
        <w:t> </w:t>
      </w:r>
      <w:r>
        <w:rPr>
          <w:w w:val="105"/>
        </w:rPr>
        <w:t>we</w:t>
      </w:r>
      <w:r>
        <w:rPr>
          <w:spacing w:val="23"/>
          <w:w w:val="105"/>
        </w:rPr>
        <w:t> </w:t>
      </w:r>
      <w:r>
        <w:rPr>
          <w:w w:val="105"/>
        </w:rPr>
        <w:t>have</w:t>
      </w:r>
      <w:r>
        <w:rPr>
          <w:spacing w:val="23"/>
          <w:w w:val="105"/>
        </w:rPr>
        <w:t> </w:t>
      </w:r>
      <w:r>
        <w:rPr>
          <w:w w:val="105"/>
        </w:rPr>
        <w:t>developed</w:t>
      </w:r>
      <w:r>
        <w:rPr>
          <w:spacing w:val="23"/>
          <w:w w:val="105"/>
        </w:rPr>
        <w:t> </w:t>
      </w:r>
      <w:r>
        <w:rPr>
          <w:w w:val="105"/>
        </w:rPr>
        <w:t>a</w:t>
      </w:r>
      <w:r>
        <w:rPr>
          <w:spacing w:val="23"/>
          <w:w w:val="105"/>
        </w:rPr>
        <w:t> </w:t>
      </w:r>
      <w:r>
        <w:rPr>
          <w:w w:val="105"/>
        </w:rPr>
        <w:t>program</w:t>
      </w:r>
      <w:r>
        <w:rPr>
          <w:spacing w:val="23"/>
          <w:w w:val="105"/>
        </w:rPr>
        <w:t> </w:t>
      </w:r>
      <w:r>
        <w:rPr>
          <w:w w:val="105"/>
        </w:rPr>
        <w:t>that</w:t>
      </w:r>
      <w:r>
        <w:rPr>
          <w:spacing w:val="23"/>
          <w:w w:val="105"/>
        </w:rPr>
        <w:t> </w:t>
      </w:r>
      <w:r>
        <w:rPr>
          <w:w w:val="105"/>
        </w:rPr>
        <w:t>is</w:t>
      </w:r>
      <w:r>
        <w:rPr>
          <w:spacing w:val="23"/>
          <w:w w:val="105"/>
        </w:rPr>
        <w:t> </w:t>
      </w:r>
      <w:r>
        <w:rPr>
          <w:w w:val="105"/>
        </w:rPr>
        <w:t>designed</w:t>
      </w:r>
      <w:r>
        <w:rPr>
          <w:spacing w:val="23"/>
          <w:w w:val="105"/>
        </w:rPr>
        <w:t> </w:t>
      </w:r>
      <w:r>
        <w:rPr>
          <w:w w:val="105"/>
        </w:rPr>
        <w:t>to</w:t>
      </w:r>
      <w:r>
        <w:rPr>
          <w:spacing w:val="23"/>
          <w:w w:val="105"/>
        </w:rPr>
        <w:t> </w:t>
      </w:r>
      <w:r>
        <w:rPr>
          <w:w w:val="105"/>
        </w:rPr>
        <w:t>protect and preserve the confidentiality, integrity and continued availability of information owned by, or in the care</w:t>
      </w:r>
      <w:r>
        <w:rPr>
          <w:spacing w:val="80"/>
          <w:w w:val="105"/>
        </w:rPr>
        <w:t> </w:t>
      </w:r>
      <w:r>
        <w:rPr>
          <w:w w:val="105"/>
        </w:rPr>
        <w:t>of, the</w:t>
      </w:r>
    </w:p>
    <w:p>
      <w:pPr>
        <w:spacing w:after="0" w:line="249" w:lineRule="auto"/>
        <w:sectPr>
          <w:type w:val="continuous"/>
          <w:pgSz w:w="12240" w:h="15840"/>
          <w:pgMar w:header="529" w:footer="1037" w:top="600" w:bottom="960" w:left="480" w:right="460"/>
        </w:sectPr>
      </w:pPr>
    </w:p>
    <w:p>
      <w:pPr>
        <w:pStyle w:val="BodyText"/>
        <w:rPr>
          <w:sz w:val="20"/>
        </w:rPr>
      </w:pPr>
      <w:r>
        <w:rPr/>
        <w:pict>
          <v:group style="position:absolute;margin-left:28.999998pt;margin-top:739.874451pt;width:555pt;height:1.4pt;mso-position-horizontal-relative:page;mso-position-vertical-relative:page;z-index:15750144" id="docshapegroup151" coordorigin="580,14797" coordsize="11100,28">
            <v:rect style="position:absolute;left:580;top:14797;width:11100;height:14" id="docshape152" filled="true" fillcolor="#999999" stroked="false">
              <v:fill type="solid"/>
            </v:rect>
            <v:shape style="position:absolute;left:579;top:14797;width:11100;height:28" id="docshape153" coordorigin="580,14797" coordsize="11100,28" path="m11680,14797l11666,14811,580,14811,580,14825,11666,14825,11680,14825,11680,14811,11680,14797xe" filled="true" fillcolor="#ededed" stroked="false">
              <v:path arrowok="t"/>
              <v:fill type="solid"/>
            </v:shape>
            <v:shape style="position:absolute;left:580;top:14797;width:14;height:28" id="docshape154" coordorigin="580,14797" coordsize="14,28" path="m580,14825l580,14797,594,14797,594,14811,580,14825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49" w:lineRule="auto" w:before="98"/>
        <w:ind w:left="1400" w:right="1551"/>
      </w:pPr>
      <w:r>
        <w:rPr>
          <w:w w:val="105"/>
        </w:rPr>
        <w:t>Company. This program includes a cyber incident response plan that provides controls and procedures for timely and accurate reporting of material cybersecurity incidents and the maintenance by the Company of</w:t>
      </w:r>
      <w:r>
        <w:rPr>
          <w:spacing w:val="40"/>
          <w:w w:val="105"/>
        </w:rPr>
        <w:t> </w:t>
      </w:r>
      <w:r>
        <w:rPr>
          <w:w w:val="105"/>
        </w:rPr>
        <w:t>insurance coverage to defray the cost in the event of an information security breach. In addition, our</w:t>
      </w:r>
      <w:r>
        <w:rPr>
          <w:spacing w:val="40"/>
          <w:w w:val="105"/>
        </w:rPr>
        <w:t> </w:t>
      </w:r>
      <w:r>
        <w:rPr>
          <w:w w:val="105"/>
        </w:rPr>
        <w:t>employees participate in annual information security training. In the last three years, the expenses we have</w:t>
      </w:r>
      <w:r>
        <w:rPr>
          <w:spacing w:val="40"/>
          <w:w w:val="105"/>
        </w:rPr>
        <w:t> </w:t>
      </w:r>
      <w:r>
        <w:rPr>
          <w:w w:val="105"/>
        </w:rPr>
        <w:t>incurred from information security breach incidences were immaterial and none related to penalties or</w:t>
      </w:r>
      <w:r>
        <w:rPr>
          <w:spacing w:val="40"/>
          <w:w w:val="105"/>
        </w:rPr>
        <w:t> </w:t>
      </w:r>
      <w:r>
        <w:rPr>
          <w:spacing w:val="-2"/>
          <w:w w:val="105"/>
        </w:rPr>
        <w:t>settlements.</w:t>
      </w:r>
    </w:p>
    <w:p>
      <w:pPr>
        <w:pStyle w:val="BodyText"/>
        <w:rPr>
          <w:sz w:val="19"/>
        </w:rPr>
      </w:pPr>
    </w:p>
    <w:p>
      <w:pPr>
        <w:pStyle w:val="Heading2"/>
      </w:pPr>
      <w:r>
        <w:rPr/>
        <w:t>COVID-19</w:t>
      </w:r>
      <w:r>
        <w:rPr>
          <w:spacing w:val="-10"/>
        </w:rPr>
        <w:t> </w:t>
      </w:r>
      <w:r>
        <w:rPr/>
        <w:t>Pandemic</w:t>
      </w:r>
      <w:r>
        <w:rPr>
          <w:spacing w:val="-9"/>
        </w:rPr>
        <w:t> </w:t>
      </w:r>
      <w:r>
        <w:rPr/>
        <w:t>Risk</w:t>
      </w:r>
      <w:r>
        <w:rPr>
          <w:spacing w:val="-9"/>
        </w:rPr>
        <w:t> </w:t>
      </w:r>
      <w:r>
        <w:rPr>
          <w:spacing w:val="-2"/>
        </w:rPr>
        <w:t>Oversight</w:t>
      </w:r>
    </w:p>
    <w:p>
      <w:pPr>
        <w:pStyle w:val="BodyText"/>
        <w:spacing w:line="247" w:lineRule="auto" w:before="171"/>
        <w:ind w:left="1400" w:right="1551" w:firstLine="372"/>
      </w:pPr>
      <w:r>
        <w:rPr>
          <w:w w:val="105"/>
        </w:rPr>
        <w:t>In response to the COVID-19 pandemic, we have been following a risk-based and phased approach by aligning</w:t>
      </w:r>
      <w:r>
        <w:rPr>
          <w:spacing w:val="30"/>
          <w:w w:val="105"/>
        </w:rPr>
        <w:t> </w:t>
      </w:r>
      <w:r>
        <w:rPr>
          <w:w w:val="105"/>
        </w:rPr>
        <w:t>with</w:t>
      </w:r>
      <w:r>
        <w:rPr>
          <w:spacing w:val="30"/>
          <w:w w:val="105"/>
        </w:rPr>
        <w:t> </w:t>
      </w:r>
      <w:r>
        <w:rPr>
          <w:w w:val="105"/>
        </w:rPr>
        <w:t>local</w:t>
      </w:r>
      <w:r>
        <w:rPr>
          <w:spacing w:val="30"/>
          <w:w w:val="105"/>
        </w:rPr>
        <w:t> </w:t>
      </w:r>
      <w:r>
        <w:rPr>
          <w:w w:val="105"/>
        </w:rPr>
        <w:t>government</w:t>
      </w:r>
      <w:r>
        <w:rPr>
          <w:spacing w:val="30"/>
          <w:w w:val="105"/>
        </w:rPr>
        <w:t> </w:t>
      </w:r>
      <w:r>
        <w:rPr>
          <w:w w:val="105"/>
        </w:rPr>
        <w:t>guidelines</w:t>
      </w:r>
      <w:r>
        <w:rPr>
          <w:spacing w:val="30"/>
          <w:w w:val="105"/>
        </w:rPr>
        <w:t> </w:t>
      </w:r>
      <w:r>
        <w:rPr>
          <w:w w:val="105"/>
        </w:rPr>
        <w:t>for</w:t>
      </w:r>
      <w:r>
        <w:rPr>
          <w:spacing w:val="30"/>
          <w:w w:val="105"/>
        </w:rPr>
        <w:t> </w:t>
      </w:r>
      <w:r>
        <w:rPr>
          <w:w w:val="105"/>
        </w:rPr>
        <w:t>our</w:t>
      </w:r>
      <w:r>
        <w:rPr>
          <w:spacing w:val="30"/>
          <w:w w:val="105"/>
        </w:rPr>
        <w:t> </w:t>
      </w:r>
      <w:r>
        <w:rPr>
          <w:w w:val="105"/>
        </w:rPr>
        <w:t>operations.</w:t>
      </w:r>
      <w:r>
        <w:rPr>
          <w:spacing w:val="24"/>
          <w:w w:val="105"/>
        </w:rPr>
        <w:t> </w:t>
      </w:r>
      <w:r>
        <w:rPr>
          <w:w w:val="105"/>
        </w:rPr>
        <w:t>Throughout</w:t>
      </w:r>
      <w:r>
        <w:rPr>
          <w:spacing w:val="30"/>
          <w:w w:val="105"/>
        </w:rPr>
        <w:t> </w:t>
      </w:r>
      <w:r>
        <w:rPr>
          <w:w w:val="105"/>
        </w:rPr>
        <w:t>the</w:t>
      </w:r>
      <w:r>
        <w:rPr>
          <w:spacing w:val="30"/>
          <w:w w:val="105"/>
        </w:rPr>
        <w:t> </w:t>
      </w:r>
      <w:r>
        <w:rPr>
          <w:w w:val="105"/>
        </w:rPr>
        <w:t>COVID-19</w:t>
      </w:r>
      <w:r>
        <w:rPr>
          <w:spacing w:val="30"/>
          <w:w w:val="105"/>
        </w:rPr>
        <w:t> </w:t>
      </w:r>
      <w:r>
        <w:rPr>
          <w:w w:val="105"/>
        </w:rPr>
        <w:t>pandemic,</w:t>
      </w:r>
      <w:r>
        <w:rPr>
          <w:spacing w:val="30"/>
          <w:w w:val="105"/>
        </w:rPr>
        <w:t> </w:t>
      </w:r>
      <w:r>
        <w:rPr>
          <w:w w:val="105"/>
        </w:rPr>
        <w:t>the Board has overseen our crisis management policies and responses to ensure that we identify and respond to</w:t>
      </w:r>
      <w:r>
        <w:rPr>
          <w:spacing w:val="40"/>
          <w:w w:val="105"/>
        </w:rPr>
        <w:t> </w:t>
      </w:r>
      <w:r>
        <w:rPr>
          <w:w w:val="105"/>
        </w:rPr>
        <w:t>emerging risks. In particular, through regular updates and communications with management, the Board actively participated in overseeing the impact of the COVID-19 pandemic on our employees, business operations,</w:t>
      </w:r>
      <w:r>
        <w:rPr>
          <w:spacing w:val="33"/>
          <w:w w:val="105"/>
        </w:rPr>
        <w:t> </w:t>
      </w:r>
      <w:r>
        <w:rPr>
          <w:w w:val="105"/>
        </w:rPr>
        <w:t>financial</w:t>
      </w:r>
      <w:r>
        <w:rPr>
          <w:spacing w:val="33"/>
          <w:w w:val="105"/>
        </w:rPr>
        <w:t> </w:t>
      </w:r>
      <w:r>
        <w:rPr>
          <w:w w:val="105"/>
        </w:rPr>
        <w:t>position,</w:t>
      </w:r>
      <w:r>
        <w:rPr>
          <w:spacing w:val="33"/>
          <w:w w:val="105"/>
        </w:rPr>
        <w:t> </w:t>
      </w:r>
      <w:r>
        <w:rPr>
          <w:w w:val="105"/>
        </w:rPr>
        <w:t>and</w:t>
      </w:r>
      <w:r>
        <w:rPr>
          <w:spacing w:val="33"/>
          <w:w w:val="105"/>
        </w:rPr>
        <w:t> </w:t>
      </w:r>
      <w:r>
        <w:rPr>
          <w:w w:val="105"/>
        </w:rPr>
        <w:t>results</w:t>
      </w:r>
      <w:r>
        <w:rPr>
          <w:spacing w:val="33"/>
          <w:w w:val="105"/>
        </w:rPr>
        <w:t> </w:t>
      </w:r>
      <w:r>
        <w:rPr>
          <w:w w:val="105"/>
        </w:rPr>
        <w:t>of</w:t>
      </w:r>
      <w:r>
        <w:rPr>
          <w:spacing w:val="33"/>
          <w:w w:val="105"/>
        </w:rPr>
        <w:t> </w:t>
      </w:r>
      <w:r>
        <w:rPr>
          <w:w w:val="105"/>
        </w:rPr>
        <w:t>operations;</w:t>
      </w:r>
      <w:r>
        <w:rPr>
          <w:spacing w:val="33"/>
          <w:w w:val="105"/>
        </w:rPr>
        <w:t> </w:t>
      </w:r>
      <w:r>
        <w:rPr>
          <w:w w:val="105"/>
        </w:rPr>
        <w:t>understanding</w:t>
      </w:r>
      <w:r>
        <w:rPr>
          <w:spacing w:val="33"/>
          <w:w w:val="105"/>
        </w:rPr>
        <w:t> </w:t>
      </w:r>
      <w:r>
        <w:rPr>
          <w:w w:val="105"/>
        </w:rPr>
        <w:t>how</w:t>
      </w:r>
      <w:r>
        <w:rPr>
          <w:spacing w:val="33"/>
          <w:w w:val="105"/>
        </w:rPr>
        <w:t> </w:t>
      </w:r>
      <w:r>
        <w:rPr>
          <w:w w:val="105"/>
        </w:rPr>
        <w:t>management</w:t>
      </w:r>
      <w:r>
        <w:rPr>
          <w:spacing w:val="33"/>
          <w:w w:val="105"/>
        </w:rPr>
        <w:t> </w:t>
      </w:r>
      <w:r>
        <w:rPr>
          <w:w w:val="105"/>
        </w:rPr>
        <w:t>assessed</w:t>
      </w:r>
      <w:r>
        <w:rPr>
          <w:spacing w:val="33"/>
          <w:w w:val="105"/>
        </w:rPr>
        <w:t> </w:t>
      </w:r>
      <w:r>
        <w:rPr>
          <w:w w:val="105"/>
        </w:rPr>
        <w:t>the</w:t>
      </w:r>
      <w:r>
        <w:rPr>
          <w:w w:val="105"/>
        </w:rPr>
        <w:t> impact and appropriate response, including health safeguards, business continuity, internal communications, and infrastructure; and reviewing stakeholder communications plans with management.</w:t>
      </w:r>
    </w:p>
    <w:p>
      <w:pPr>
        <w:pStyle w:val="BodyText"/>
        <w:spacing w:before="7"/>
        <w:rPr>
          <w:sz w:val="20"/>
        </w:rPr>
      </w:pPr>
    </w:p>
    <w:p>
      <w:pPr>
        <w:pStyle w:val="Heading2"/>
      </w:pPr>
      <w:r>
        <w:rPr/>
        <w:t>Human</w:t>
      </w:r>
      <w:r>
        <w:rPr>
          <w:spacing w:val="-9"/>
        </w:rPr>
        <w:t> </w:t>
      </w:r>
      <w:r>
        <w:rPr/>
        <w:t>Capital</w:t>
      </w:r>
      <w:r>
        <w:rPr>
          <w:spacing w:val="-9"/>
        </w:rPr>
        <w:t> </w:t>
      </w:r>
      <w:r>
        <w:rPr>
          <w:spacing w:val="-2"/>
        </w:rPr>
        <w:t>Resources</w:t>
      </w:r>
    </w:p>
    <w:p>
      <w:pPr>
        <w:pStyle w:val="BodyText"/>
        <w:spacing w:before="11"/>
        <w:rPr>
          <w:b/>
          <w:sz w:val="20"/>
        </w:rPr>
      </w:pPr>
    </w:p>
    <w:p>
      <w:pPr>
        <w:spacing w:before="0"/>
        <w:ind w:left="1772" w:right="0" w:firstLine="0"/>
        <w:jc w:val="left"/>
        <w:rPr>
          <w:i/>
          <w:sz w:val="18"/>
        </w:rPr>
      </w:pPr>
      <w:r>
        <w:rPr>
          <w:i/>
          <w:w w:val="105"/>
          <w:sz w:val="18"/>
        </w:rPr>
        <w:t>Talent</w:t>
      </w:r>
      <w:r>
        <w:rPr>
          <w:i/>
          <w:spacing w:val="-5"/>
          <w:w w:val="105"/>
          <w:sz w:val="18"/>
        </w:rPr>
        <w:t> </w:t>
      </w:r>
      <w:r>
        <w:rPr>
          <w:i/>
          <w:spacing w:val="-2"/>
          <w:w w:val="105"/>
          <w:sz w:val="18"/>
        </w:rPr>
        <w:t>Management</w:t>
      </w:r>
    </w:p>
    <w:p>
      <w:pPr>
        <w:pStyle w:val="BodyText"/>
        <w:spacing w:line="249" w:lineRule="auto" w:before="156"/>
        <w:ind w:left="1400" w:right="1470" w:firstLine="372"/>
      </w:pPr>
      <w:r>
        <w:rPr>
          <w:w w:val="105"/>
        </w:rPr>
        <w:t>Our</w:t>
      </w:r>
      <w:r>
        <w:rPr>
          <w:spacing w:val="27"/>
          <w:w w:val="105"/>
        </w:rPr>
        <w:t> </w:t>
      </w:r>
      <w:r>
        <w:rPr>
          <w:w w:val="105"/>
        </w:rPr>
        <w:t>business</w:t>
      </w:r>
      <w:r>
        <w:rPr>
          <w:spacing w:val="27"/>
          <w:w w:val="105"/>
        </w:rPr>
        <w:t> </w:t>
      </w:r>
      <w:r>
        <w:rPr>
          <w:w w:val="105"/>
        </w:rPr>
        <w:t>results</w:t>
      </w:r>
      <w:r>
        <w:rPr>
          <w:spacing w:val="27"/>
          <w:w w:val="105"/>
        </w:rPr>
        <w:t> </w:t>
      </w:r>
      <w:r>
        <w:rPr>
          <w:w w:val="105"/>
        </w:rPr>
        <w:t>depend</w:t>
      </w:r>
      <w:r>
        <w:rPr>
          <w:spacing w:val="27"/>
          <w:w w:val="105"/>
        </w:rPr>
        <w:t> </w:t>
      </w:r>
      <w:r>
        <w:rPr>
          <w:w w:val="105"/>
        </w:rPr>
        <w:t>on</w:t>
      </w:r>
      <w:r>
        <w:rPr>
          <w:spacing w:val="27"/>
          <w:w w:val="105"/>
        </w:rPr>
        <w:t> </w:t>
      </w:r>
      <w:r>
        <w:rPr>
          <w:w w:val="105"/>
        </w:rPr>
        <w:t>our</w:t>
      </w:r>
      <w:r>
        <w:rPr>
          <w:spacing w:val="27"/>
          <w:w w:val="105"/>
        </w:rPr>
        <w:t> </w:t>
      </w:r>
      <w:r>
        <w:rPr>
          <w:w w:val="105"/>
        </w:rPr>
        <w:t>ability</w:t>
      </w:r>
      <w:r>
        <w:rPr>
          <w:spacing w:val="27"/>
          <w:w w:val="105"/>
        </w:rPr>
        <w:t> </w:t>
      </w:r>
      <w:r>
        <w:rPr>
          <w:w w:val="105"/>
        </w:rPr>
        <w:t>to</w:t>
      </w:r>
      <w:r>
        <w:rPr>
          <w:spacing w:val="27"/>
          <w:w w:val="105"/>
        </w:rPr>
        <w:t> </w:t>
      </w:r>
      <w:r>
        <w:rPr>
          <w:w w:val="105"/>
        </w:rPr>
        <w:t>successfully</w:t>
      </w:r>
      <w:r>
        <w:rPr>
          <w:spacing w:val="27"/>
          <w:w w:val="105"/>
        </w:rPr>
        <w:t> </w:t>
      </w:r>
      <w:r>
        <w:rPr>
          <w:w w:val="105"/>
        </w:rPr>
        <w:t>manage</w:t>
      </w:r>
      <w:r>
        <w:rPr>
          <w:spacing w:val="27"/>
          <w:w w:val="105"/>
        </w:rPr>
        <w:t> </w:t>
      </w:r>
      <w:r>
        <w:rPr>
          <w:w w:val="105"/>
        </w:rPr>
        <w:t>our</w:t>
      </w:r>
      <w:r>
        <w:rPr>
          <w:spacing w:val="27"/>
          <w:w w:val="105"/>
        </w:rPr>
        <w:t> </w:t>
      </w:r>
      <w:r>
        <w:rPr>
          <w:w w:val="105"/>
        </w:rPr>
        <w:t>human</w:t>
      </w:r>
      <w:r>
        <w:rPr>
          <w:spacing w:val="27"/>
          <w:w w:val="105"/>
        </w:rPr>
        <w:t> </w:t>
      </w:r>
      <w:r>
        <w:rPr>
          <w:w w:val="105"/>
        </w:rPr>
        <w:t>capital</w:t>
      </w:r>
      <w:r>
        <w:rPr>
          <w:spacing w:val="27"/>
          <w:w w:val="105"/>
        </w:rPr>
        <w:t> </w:t>
      </w:r>
      <w:r>
        <w:rPr>
          <w:w w:val="105"/>
        </w:rPr>
        <w:t>resources, including attracting, identifying, and retaining key talent. As part of our people management strategy, we monitor</w:t>
      </w:r>
      <w:r>
        <w:rPr>
          <w:spacing w:val="15"/>
          <w:w w:val="105"/>
        </w:rPr>
        <w:t> </w:t>
      </w:r>
      <w:r>
        <w:rPr>
          <w:w w:val="105"/>
        </w:rPr>
        <w:t>employee</w:t>
      </w:r>
      <w:r>
        <w:rPr>
          <w:spacing w:val="15"/>
          <w:w w:val="105"/>
        </w:rPr>
        <w:t> </w:t>
      </w:r>
      <w:r>
        <w:rPr>
          <w:w w:val="105"/>
        </w:rPr>
        <w:t>morale</w:t>
      </w:r>
      <w:r>
        <w:rPr>
          <w:spacing w:val="15"/>
          <w:w w:val="105"/>
        </w:rPr>
        <w:t> </w:t>
      </w:r>
      <w:r>
        <w:rPr>
          <w:w w:val="105"/>
        </w:rPr>
        <w:t>and</w:t>
      </w:r>
      <w:r>
        <w:rPr>
          <w:spacing w:val="15"/>
          <w:w w:val="105"/>
        </w:rPr>
        <w:t> </w:t>
      </w:r>
      <w:r>
        <w:rPr>
          <w:w w:val="105"/>
        </w:rPr>
        <w:t>our</w:t>
      </w:r>
      <w:r>
        <w:rPr>
          <w:spacing w:val="15"/>
          <w:w w:val="105"/>
        </w:rPr>
        <w:t> </w:t>
      </w:r>
      <w:r>
        <w:rPr>
          <w:w w:val="105"/>
        </w:rPr>
        <w:t>market</w:t>
      </w:r>
      <w:r>
        <w:rPr>
          <w:spacing w:val="15"/>
          <w:w w:val="105"/>
        </w:rPr>
        <w:t> </w:t>
      </w:r>
      <w:r>
        <w:rPr>
          <w:w w:val="105"/>
        </w:rPr>
        <w:t>reputation. To</w:t>
      </w:r>
      <w:r>
        <w:rPr>
          <w:spacing w:val="15"/>
          <w:w w:val="105"/>
        </w:rPr>
        <w:t> </w:t>
      </w:r>
      <w:r>
        <w:rPr>
          <w:w w:val="105"/>
        </w:rPr>
        <w:t>better</w:t>
      </w:r>
      <w:r>
        <w:rPr>
          <w:spacing w:val="15"/>
          <w:w w:val="105"/>
        </w:rPr>
        <w:t> </w:t>
      </w:r>
      <w:r>
        <w:rPr>
          <w:w w:val="105"/>
        </w:rPr>
        <w:t>understand</w:t>
      </w:r>
      <w:r>
        <w:rPr>
          <w:spacing w:val="15"/>
          <w:w w:val="105"/>
        </w:rPr>
        <w:t> </w:t>
      </w:r>
      <w:r>
        <w:rPr>
          <w:w w:val="105"/>
        </w:rPr>
        <w:t>how</w:t>
      </w:r>
      <w:r>
        <w:rPr>
          <w:spacing w:val="15"/>
          <w:w w:val="105"/>
        </w:rPr>
        <w:t> </w:t>
      </w:r>
      <w:r>
        <w:rPr>
          <w:w w:val="105"/>
        </w:rPr>
        <w:t>to</w:t>
      </w:r>
      <w:r>
        <w:rPr>
          <w:spacing w:val="15"/>
          <w:w w:val="105"/>
        </w:rPr>
        <w:t> </w:t>
      </w:r>
      <w:r>
        <w:rPr>
          <w:w w:val="105"/>
        </w:rPr>
        <w:t>measure</w:t>
      </w:r>
      <w:r>
        <w:rPr>
          <w:spacing w:val="15"/>
          <w:w w:val="105"/>
        </w:rPr>
        <w:t> </w:t>
      </w:r>
      <w:r>
        <w:rPr>
          <w:w w:val="105"/>
        </w:rPr>
        <w:t>the</w:t>
      </w:r>
      <w:r>
        <w:rPr>
          <w:spacing w:val="15"/>
          <w:w w:val="105"/>
        </w:rPr>
        <w:t> </w:t>
      </w:r>
      <w:r>
        <w:rPr>
          <w:w w:val="105"/>
        </w:rPr>
        <w:t>effectiveness of our people management strategy, and to establish a baseline understanding of employee loyalty and retention, in fiscal year 2021, we solicited feedback from our employees in the form of an employee net</w:t>
      </w:r>
      <w:r>
        <w:rPr>
          <w:spacing w:val="40"/>
          <w:w w:val="105"/>
        </w:rPr>
        <w:t> </w:t>
      </w:r>
      <w:r>
        <w:rPr>
          <w:w w:val="105"/>
        </w:rPr>
        <w:t>promoter survey, and in fiscal years 2021 and 2022 we solicited additional feedback and engaged with employees to share and discuss areas of improvement.</w:t>
      </w:r>
    </w:p>
    <w:p>
      <w:pPr>
        <w:pStyle w:val="BodyText"/>
        <w:spacing w:before="8"/>
        <w:rPr>
          <w:sz w:val="19"/>
        </w:rPr>
      </w:pPr>
    </w:p>
    <w:p>
      <w:pPr>
        <w:spacing w:before="0"/>
        <w:ind w:left="1772" w:right="0" w:firstLine="0"/>
        <w:jc w:val="left"/>
        <w:rPr>
          <w:i/>
          <w:sz w:val="18"/>
        </w:rPr>
      </w:pPr>
      <w:r>
        <w:rPr>
          <w:i/>
          <w:w w:val="105"/>
          <w:sz w:val="18"/>
        </w:rPr>
        <w:t>Total</w:t>
      </w:r>
      <w:r>
        <w:rPr>
          <w:i/>
          <w:spacing w:val="-6"/>
          <w:w w:val="105"/>
          <w:sz w:val="18"/>
        </w:rPr>
        <w:t> </w:t>
      </w:r>
      <w:r>
        <w:rPr>
          <w:i/>
          <w:spacing w:val="-2"/>
          <w:w w:val="105"/>
          <w:sz w:val="18"/>
        </w:rPr>
        <w:t>Rewards</w:t>
      </w:r>
    </w:p>
    <w:p>
      <w:pPr>
        <w:pStyle w:val="BodyText"/>
        <w:spacing w:line="249" w:lineRule="auto" w:before="157"/>
        <w:ind w:left="1400" w:right="1551" w:firstLine="372"/>
      </w:pPr>
      <w:r>
        <w:rPr>
          <w:w w:val="105"/>
        </w:rPr>
        <w:t>We</w:t>
      </w:r>
      <w:r>
        <w:rPr>
          <w:spacing w:val="21"/>
          <w:w w:val="105"/>
        </w:rPr>
        <w:t> </w:t>
      </w:r>
      <w:r>
        <w:rPr>
          <w:w w:val="105"/>
        </w:rPr>
        <w:t>invest</w:t>
      </w:r>
      <w:r>
        <w:rPr>
          <w:spacing w:val="21"/>
          <w:w w:val="105"/>
        </w:rPr>
        <w:t> </w:t>
      </w:r>
      <w:r>
        <w:rPr>
          <w:w w:val="105"/>
        </w:rPr>
        <w:t>in</w:t>
      </w:r>
      <w:r>
        <w:rPr>
          <w:spacing w:val="21"/>
          <w:w w:val="105"/>
        </w:rPr>
        <w:t> </w:t>
      </w:r>
      <w:r>
        <w:rPr>
          <w:w w:val="105"/>
        </w:rPr>
        <w:t>our</w:t>
      </w:r>
      <w:r>
        <w:rPr>
          <w:spacing w:val="21"/>
          <w:w w:val="105"/>
        </w:rPr>
        <w:t> </w:t>
      </w:r>
      <w:r>
        <w:rPr>
          <w:w w:val="105"/>
        </w:rPr>
        <w:t>workforce</w:t>
      </w:r>
      <w:r>
        <w:rPr>
          <w:spacing w:val="21"/>
          <w:w w:val="105"/>
        </w:rPr>
        <w:t> </w:t>
      </w:r>
      <w:r>
        <w:rPr>
          <w:w w:val="105"/>
        </w:rPr>
        <w:t>by</w:t>
      </w:r>
      <w:r>
        <w:rPr>
          <w:spacing w:val="21"/>
          <w:w w:val="105"/>
        </w:rPr>
        <w:t> </w:t>
      </w:r>
      <w:r>
        <w:rPr>
          <w:w w:val="105"/>
        </w:rPr>
        <w:t>offering</w:t>
      </w:r>
      <w:r>
        <w:rPr>
          <w:spacing w:val="21"/>
          <w:w w:val="105"/>
        </w:rPr>
        <w:t> </w:t>
      </w:r>
      <w:r>
        <w:rPr>
          <w:w w:val="105"/>
        </w:rPr>
        <w:t>a</w:t>
      </w:r>
      <w:r>
        <w:rPr>
          <w:spacing w:val="21"/>
          <w:w w:val="105"/>
        </w:rPr>
        <w:t> </w:t>
      </w:r>
      <w:r>
        <w:rPr>
          <w:w w:val="105"/>
        </w:rPr>
        <w:t>competitive</w:t>
      </w:r>
      <w:r>
        <w:rPr>
          <w:spacing w:val="21"/>
          <w:w w:val="105"/>
        </w:rPr>
        <w:t> </w:t>
      </w:r>
      <w:r>
        <w:rPr>
          <w:w w:val="105"/>
        </w:rPr>
        <w:t>total</w:t>
      </w:r>
      <w:r>
        <w:rPr>
          <w:spacing w:val="21"/>
          <w:w w:val="105"/>
        </w:rPr>
        <w:t> </w:t>
      </w:r>
      <w:r>
        <w:rPr>
          <w:w w:val="105"/>
        </w:rPr>
        <w:t>rewards</w:t>
      </w:r>
      <w:r>
        <w:rPr>
          <w:spacing w:val="21"/>
          <w:w w:val="105"/>
        </w:rPr>
        <w:t> </w:t>
      </w:r>
      <w:r>
        <w:rPr>
          <w:w w:val="105"/>
        </w:rPr>
        <w:t>package</w:t>
      </w:r>
      <w:r>
        <w:rPr>
          <w:spacing w:val="21"/>
          <w:w w:val="105"/>
        </w:rPr>
        <w:t> </w:t>
      </w:r>
      <w:r>
        <w:rPr>
          <w:w w:val="105"/>
        </w:rPr>
        <w:t>that</w:t>
      </w:r>
      <w:r>
        <w:rPr>
          <w:spacing w:val="21"/>
          <w:w w:val="105"/>
        </w:rPr>
        <w:t> </w:t>
      </w:r>
      <w:r>
        <w:rPr>
          <w:w w:val="105"/>
        </w:rPr>
        <w:t>includes</w:t>
      </w:r>
      <w:r>
        <w:rPr>
          <w:spacing w:val="21"/>
          <w:w w:val="105"/>
        </w:rPr>
        <w:t> </w:t>
      </w:r>
      <w:r>
        <w:rPr>
          <w:w w:val="105"/>
        </w:rPr>
        <w:t>a</w:t>
      </w:r>
      <w:r>
        <w:rPr>
          <w:spacing w:val="21"/>
          <w:w w:val="105"/>
        </w:rPr>
        <w:t> </w:t>
      </w:r>
      <w:r>
        <w:rPr>
          <w:w w:val="105"/>
        </w:rPr>
        <w:t>mix</w:t>
      </w:r>
      <w:r>
        <w:rPr>
          <w:spacing w:val="21"/>
          <w:w w:val="105"/>
        </w:rPr>
        <w:t> </w:t>
      </w:r>
      <w:r>
        <w:rPr>
          <w:w w:val="105"/>
        </w:rPr>
        <w:t>of salaries</w:t>
      </w:r>
      <w:r>
        <w:rPr>
          <w:spacing w:val="24"/>
          <w:w w:val="105"/>
        </w:rPr>
        <w:t> </w:t>
      </w:r>
      <w:r>
        <w:rPr>
          <w:w w:val="105"/>
        </w:rPr>
        <w:t>or</w:t>
      </w:r>
      <w:r>
        <w:rPr>
          <w:spacing w:val="24"/>
          <w:w w:val="105"/>
        </w:rPr>
        <w:t> </w:t>
      </w:r>
      <w:r>
        <w:rPr>
          <w:w w:val="105"/>
        </w:rPr>
        <w:t>wages;</w:t>
      </w:r>
      <w:r>
        <w:rPr>
          <w:spacing w:val="24"/>
          <w:w w:val="105"/>
        </w:rPr>
        <w:t> </w:t>
      </w:r>
      <w:r>
        <w:rPr>
          <w:w w:val="105"/>
        </w:rPr>
        <w:t>health,</w:t>
      </w:r>
      <w:r>
        <w:rPr>
          <w:spacing w:val="24"/>
          <w:w w:val="105"/>
        </w:rPr>
        <w:t> </w:t>
      </w:r>
      <w:r>
        <w:rPr>
          <w:w w:val="105"/>
        </w:rPr>
        <w:t>retirement,</w:t>
      </w:r>
      <w:r>
        <w:rPr>
          <w:spacing w:val="24"/>
          <w:w w:val="105"/>
        </w:rPr>
        <w:t> </w:t>
      </w:r>
      <w:r>
        <w:rPr>
          <w:w w:val="105"/>
        </w:rPr>
        <w:t>and</w:t>
      </w:r>
      <w:r>
        <w:rPr>
          <w:spacing w:val="24"/>
          <w:w w:val="105"/>
        </w:rPr>
        <w:t> </w:t>
      </w:r>
      <w:r>
        <w:rPr>
          <w:w w:val="105"/>
        </w:rPr>
        <w:t>other</w:t>
      </w:r>
      <w:r>
        <w:rPr>
          <w:spacing w:val="24"/>
          <w:w w:val="105"/>
        </w:rPr>
        <w:t> </w:t>
      </w:r>
      <w:r>
        <w:rPr>
          <w:w w:val="105"/>
        </w:rPr>
        <w:t>benefits;</w:t>
      </w:r>
      <w:r>
        <w:rPr>
          <w:spacing w:val="24"/>
          <w:w w:val="105"/>
        </w:rPr>
        <w:t> </w:t>
      </w:r>
      <w:r>
        <w:rPr>
          <w:w w:val="105"/>
        </w:rPr>
        <w:t>and</w:t>
      </w:r>
      <w:r>
        <w:rPr>
          <w:spacing w:val="24"/>
          <w:w w:val="105"/>
        </w:rPr>
        <w:t> </w:t>
      </w:r>
      <w:r>
        <w:rPr>
          <w:w w:val="105"/>
        </w:rPr>
        <w:t>equity</w:t>
      </w:r>
      <w:r>
        <w:rPr>
          <w:spacing w:val="24"/>
          <w:w w:val="105"/>
        </w:rPr>
        <w:t> </w:t>
      </w:r>
      <w:r>
        <w:rPr>
          <w:w w:val="105"/>
        </w:rPr>
        <w:t>incentives.</w:t>
      </w:r>
      <w:r>
        <w:rPr>
          <w:spacing w:val="18"/>
          <w:w w:val="105"/>
        </w:rPr>
        <w:t> </w:t>
      </w:r>
      <w:r>
        <w:rPr>
          <w:w w:val="105"/>
        </w:rPr>
        <w:t>We</w:t>
      </w:r>
      <w:r>
        <w:rPr>
          <w:spacing w:val="24"/>
          <w:w w:val="105"/>
        </w:rPr>
        <w:t> </w:t>
      </w:r>
      <w:r>
        <w:rPr>
          <w:w w:val="105"/>
        </w:rPr>
        <w:t>strive</w:t>
      </w:r>
      <w:r>
        <w:rPr>
          <w:spacing w:val="24"/>
          <w:w w:val="105"/>
        </w:rPr>
        <w:t> </w:t>
      </w:r>
      <w:r>
        <w:rPr>
          <w:w w:val="105"/>
        </w:rPr>
        <w:t>to</w:t>
      </w:r>
      <w:r>
        <w:rPr>
          <w:spacing w:val="24"/>
          <w:w w:val="105"/>
        </w:rPr>
        <w:t> </w:t>
      </w:r>
      <w:r>
        <w:rPr>
          <w:w w:val="105"/>
        </w:rPr>
        <w:t>offer</w:t>
      </w:r>
      <w:r>
        <w:rPr>
          <w:spacing w:val="24"/>
          <w:w w:val="105"/>
        </w:rPr>
        <w:t> </w:t>
      </w:r>
      <w:r>
        <w:rPr>
          <w:w w:val="105"/>
        </w:rPr>
        <w:t>a competitive total rewards package that is responsive to local markets. In the United States, where our largest</w:t>
      </w:r>
      <w:r>
        <w:rPr>
          <w:spacing w:val="40"/>
          <w:w w:val="105"/>
        </w:rPr>
        <w:t> </w:t>
      </w:r>
      <w:r>
        <w:rPr>
          <w:w w:val="105"/>
        </w:rPr>
        <w:t>employee base resides, our benefits for eligible employees have included:</w:t>
      </w:r>
    </w:p>
    <w:p>
      <w:pPr>
        <w:pStyle w:val="ListParagraph"/>
        <w:numPr>
          <w:ilvl w:val="1"/>
          <w:numId w:val="20"/>
        </w:numPr>
        <w:tabs>
          <w:tab w:pos="1960" w:val="left" w:leader="none"/>
        </w:tabs>
        <w:spacing w:line="240" w:lineRule="auto" w:before="103" w:after="0"/>
        <w:ind w:left="1959" w:right="0" w:hanging="188"/>
        <w:jc w:val="left"/>
        <w:rPr>
          <w:sz w:val="18"/>
        </w:rPr>
      </w:pPr>
      <w:r>
        <w:rPr>
          <w:w w:val="105"/>
          <w:sz w:val="18"/>
        </w:rPr>
        <w:t>Health</w:t>
      </w:r>
      <w:r>
        <w:rPr>
          <w:spacing w:val="14"/>
          <w:w w:val="105"/>
          <w:sz w:val="18"/>
        </w:rPr>
        <w:t> </w:t>
      </w:r>
      <w:r>
        <w:rPr>
          <w:w w:val="105"/>
          <w:sz w:val="18"/>
        </w:rPr>
        <w:t>insurance</w:t>
      </w:r>
      <w:r>
        <w:rPr>
          <w:spacing w:val="15"/>
          <w:w w:val="105"/>
          <w:sz w:val="18"/>
        </w:rPr>
        <w:t> </w:t>
      </w:r>
      <w:r>
        <w:rPr>
          <w:spacing w:val="-2"/>
          <w:w w:val="105"/>
          <w:sz w:val="18"/>
        </w:rPr>
        <w:t>coverage;</w:t>
      </w:r>
    </w:p>
    <w:p>
      <w:pPr>
        <w:pStyle w:val="ListParagraph"/>
        <w:numPr>
          <w:ilvl w:val="1"/>
          <w:numId w:val="20"/>
        </w:numPr>
        <w:tabs>
          <w:tab w:pos="1960" w:val="left" w:leader="none"/>
        </w:tabs>
        <w:spacing w:line="240" w:lineRule="auto" w:before="129" w:after="0"/>
        <w:ind w:left="1959" w:right="0" w:hanging="188"/>
        <w:jc w:val="left"/>
        <w:rPr>
          <w:sz w:val="18"/>
        </w:rPr>
      </w:pPr>
      <w:r>
        <w:rPr>
          <w:w w:val="105"/>
          <w:sz w:val="18"/>
        </w:rPr>
        <w:t>Tuition</w:t>
      </w:r>
      <w:r>
        <w:rPr>
          <w:spacing w:val="11"/>
          <w:w w:val="105"/>
          <w:sz w:val="18"/>
        </w:rPr>
        <w:t> </w:t>
      </w:r>
      <w:r>
        <w:rPr>
          <w:w w:val="105"/>
          <w:sz w:val="18"/>
        </w:rPr>
        <w:t>reimbursement</w:t>
      </w:r>
      <w:r>
        <w:rPr>
          <w:spacing w:val="11"/>
          <w:w w:val="105"/>
          <w:sz w:val="18"/>
        </w:rPr>
        <w:t> </w:t>
      </w:r>
      <w:r>
        <w:rPr>
          <w:w w:val="105"/>
          <w:sz w:val="18"/>
        </w:rPr>
        <w:t>up</w:t>
      </w:r>
      <w:r>
        <w:rPr>
          <w:spacing w:val="11"/>
          <w:w w:val="105"/>
          <w:sz w:val="18"/>
        </w:rPr>
        <w:t> </w:t>
      </w:r>
      <w:r>
        <w:rPr>
          <w:w w:val="105"/>
          <w:sz w:val="18"/>
        </w:rPr>
        <w:t>to</w:t>
      </w:r>
      <w:r>
        <w:rPr>
          <w:spacing w:val="11"/>
          <w:w w:val="105"/>
          <w:sz w:val="18"/>
        </w:rPr>
        <w:t> </w:t>
      </w:r>
      <w:r>
        <w:rPr>
          <w:w w:val="105"/>
          <w:sz w:val="18"/>
        </w:rPr>
        <w:t>a</w:t>
      </w:r>
      <w:r>
        <w:rPr>
          <w:spacing w:val="12"/>
          <w:w w:val="105"/>
          <w:sz w:val="18"/>
        </w:rPr>
        <w:t> </w:t>
      </w:r>
      <w:r>
        <w:rPr>
          <w:w w:val="105"/>
          <w:sz w:val="18"/>
        </w:rPr>
        <w:t>specified</w:t>
      </w:r>
      <w:r>
        <w:rPr>
          <w:spacing w:val="11"/>
          <w:w w:val="105"/>
          <w:sz w:val="18"/>
        </w:rPr>
        <w:t> </w:t>
      </w:r>
      <w:r>
        <w:rPr>
          <w:w w:val="105"/>
          <w:sz w:val="18"/>
        </w:rPr>
        <w:t>dollar</w:t>
      </w:r>
      <w:r>
        <w:rPr>
          <w:spacing w:val="11"/>
          <w:w w:val="105"/>
          <w:sz w:val="18"/>
        </w:rPr>
        <w:t> </w:t>
      </w:r>
      <w:r>
        <w:rPr>
          <w:spacing w:val="-2"/>
          <w:w w:val="105"/>
          <w:sz w:val="18"/>
        </w:rPr>
        <w:t>amount;</w:t>
      </w:r>
    </w:p>
    <w:p>
      <w:pPr>
        <w:pStyle w:val="ListParagraph"/>
        <w:numPr>
          <w:ilvl w:val="1"/>
          <w:numId w:val="20"/>
        </w:numPr>
        <w:tabs>
          <w:tab w:pos="1960" w:val="left" w:leader="none"/>
        </w:tabs>
        <w:spacing w:line="240" w:lineRule="auto" w:before="129" w:after="0"/>
        <w:ind w:left="1959" w:right="0" w:hanging="188"/>
        <w:jc w:val="left"/>
        <w:rPr>
          <w:sz w:val="18"/>
        </w:rPr>
      </w:pPr>
      <w:r>
        <w:rPr>
          <w:w w:val="105"/>
          <w:sz w:val="18"/>
        </w:rPr>
        <w:t>Matching</w:t>
      </w:r>
      <w:r>
        <w:rPr>
          <w:spacing w:val="11"/>
          <w:w w:val="105"/>
          <w:sz w:val="18"/>
        </w:rPr>
        <w:t> </w:t>
      </w:r>
      <w:r>
        <w:rPr>
          <w:w w:val="105"/>
          <w:sz w:val="18"/>
        </w:rPr>
        <w:t>contributions</w:t>
      </w:r>
      <w:r>
        <w:rPr>
          <w:spacing w:val="11"/>
          <w:w w:val="105"/>
          <w:sz w:val="18"/>
        </w:rPr>
        <w:t> </w:t>
      </w:r>
      <w:r>
        <w:rPr>
          <w:w w:val="105"/>
          <w:sz w:val="18"/>
        </w:rPr>
        <w:t>to</w:t>
      </w:r>
      <w:r>
        <w:rPr>
          <w:spacing w:val="11"/>
          <w:w w:val="105"/>
          <w:sz w:val="18"/>
        </w:rPr>
        <w:t> </w:t>
      </w:r>
      <w:r>
        <w:rPr>
          <w:w w:val="105"/>
          <w:sz w:val="18"/>
        </w:rPr>
        <w:t>a</w:t>
      </w:r>
      <w:r>
        <w:rPr>
          <w:spacing w:val="11"/>
          <w:w w:val="105"/>
          <w:sz w:val="18"/>
        </w:rPr>
        <w:t> </w:t>
      </w:r>
      <w:r>
        <w:rPr>
          <w:w w:val="105"/>
          <w:sz w:val="18"/>
        </w:rPr>
        <w:t>tax-qualified</w:t>
      </w:r>
      <w:r>
        <w:rPr>
          <w:spacing w:val="11"/>
          <w:w w:val="105"/>
          <w:sz w:val="18"/>
        </w:rPr>
        <w:t> </w:t>
      </w:r>
      <w:r>
        <w:rPr>
          <w:w w:val="105"/>
          <w:sz w:val="18"/>
        </w:rPr>
        <w:t>defined</w:t>
      </w:r>
      <w:r>
        <w:rPr>
          <w:spacing w:val="12"/>
          <w:w w:val="105"/>
          <w:sz w:val="18"/>
        </w:rPr>
        <w:t> </w:t>
      </w:r>
      <w:r>
        <w:rPr>
          <w:w w:val="105"/>
          <w:sz w:val="18"/>
        </w:rPr>
        <w:t>contribution</w:t>
      </w:r>
      <w:r>
        <w:rPr>
          <w:spacing w:val="11"/>
          <w:w w:val="105"/>
          <w:sz w:val="18"/>
        </w:rPr>
        <w:t> </w:t>
      </w:r>
      <w:r>
        <w:rPr>
          <w:w w:val="105"/>
          <w:sz w:val="18"/>
        </w:rPr>
        <w:t>savings</w:t>
      </w:r>
      <w:r>
        <w:rPr>
          <w:spacing w:val="11"/>
          <w:w w:val="105"/>
          <w:sz w:val="18"/>
        </w:rPr>
        <w:t> </w:t>
      </w:r>
      <w:r>
        <w:rPr>
          <w:w w:val="105"/>
          <w:sz w:val="18"/>
        </w:rPr>
        <w:t>(“</w:t>
      </w:r>
      <w:r>
        <w:rPr>
          <w:b/>
          <w:w w:val="105"/>
          <w:sz w:val="18"/>
        </w:rPr>
        <w:t>401(k)</w:t>
      </w:r>
      <w:r>
        <w:rPr>
          <w:w w:val="105"/>
          <w:sz w:val="18"/>
        </w:rPr>
        <w:t>”)</w:t>
      </w:r>
      <w:r>
        <w:rPr>
          <w:spacing w:val="11"/>
          <w:w w:val="105"/>
          <w:sz w:val="18"/>
        </w:rPr>
        <w:t> </w:t>
      </w:r>
      <w:r>
        <w:rPr>
          <w:spacing w:val="-2"/>
          <w:w w:val="105"/>
          <w:sz w:val="18"/>
        </w:rPr>
        <w:t>plan;</w:t>
      </w:r>
    </w:p>
    <w:p>
      <w:pPr>
        <w:pStyle w:val="ListParagraph"/>
        <w:numPr>
          <w:ilvl w:val="1"/>
          <w:numId w:val="20"/>
        </w:numPr>
        <w:tabs>
          <w:tab w:pos="1960" w:val="left" w:leader="none"/>
        </w:tabs>
        <w:spacing w:line="240" w:lineRule="auto" w:before="128" w:after="0"/>
        <w:ind w:left="1959" w:right="0" w:hanging="188"/>
        <w:jc w:val="left"/>
        <w:rPr>
          <w:sz w:val="18"/>
        </w:rPr>
      </w:pPr>
      <w:r>
        <w:rPr>
          <w:w w:val="105"/>
          <w:sz w:val="18"/>
        </w:rPr>
        <w:t>An</w:t>
      </w:r>
      <w:r>
        <w:rPr>
          <w:spacing w:val="13"/>
          <w:w w:val="105"/>
          <w:sz w:val="18"/>
        </w:rPr>
        <w:t> </w:t>
      </w:r>
      <w:r>
        <w:rPr>
          <w:w w:val="105"/>
          <w:sz w:val="18"/>
        </w:rPr>
        <w:t>employee</w:t>
      </w:r>
      <w:r>
        <w:rPr>
          <w:spacing w:val="13"/>
          <w:w w:val="105"/>
          <w:sz w:val="18"/>
        </w:rPr>
        <w:t> </w:t>
      </w:r>
      <w:r>
        <w:rPr>
          <w:w w:val="105"/>
          <w:sz w:val="18"/>
        </w:rPr>
        <w:t>assistance</w:t>
      </w:r>
      <w:r>
        <w:rPr>
          <w:spacing w:val="13"/>
          <w:w w:val="105"/>
          <w:sz w:val="18"/>
        </w:rPr>
        <w:t> </w:t>
      </w:r>
      <w:r>
        <w:rPr>
          <w:w w:val="105"/>
          <w:sz w:val="18"/>
        </w:rPr>
        <w:t>program;</w:t>
      </w:r>
      <w:r>
        <w:rPr>
          <w:spacing w:val="14"/>
          <w:w w:val="105"/>
          <w:sz w:val="18"/>
        </w:rPr>
        <w:t> </w:t>
      </w:r>
      <w:r>
        <w:rPr>
          <w:spacing w:val="-5"/>
          <w:w w:val="105"/>
          <w:sz w:val="18"/>
        </w:rPr>
        <w:t>and</w:t>
      </w:r>
    </w:p>
    <w:p>
      <w:pPr>
        <w:pStyle w:val="ListParagraph"/>
        <w:numPr>
          <w:ilvl w:val="1"/>
          <w:numId w:val="20"/>
        </w:numPr>
        <w:tabs>
          <w:tab w:pos="1960" w:val="left" w:leader="none"/>
        </w:tabs>
        <w:spacing w:line="240" w:lineRule="auto" w:before="129" w:after="0"/>
        <w:ind w:left="1959" w:right="0" w:hanging="188"/>
        <w:jc w:val="left"/>
        <w:rPr>
          <w:sz w:val="18"/>
        </w:rPr>
      </w:pPr>
      <w:r>
        <w:rPr>
          <w:w w:val="105"/>
          <w:sz w:val="18"/>
        </w:rPr>
        <w:t>Training</w:t>
      </w:r>
      <w:r>
        <w:rPr>
          <w:spacing w:val="12"/>
          <w:w w:val="105"/>
          <w:sz w:val="18"/>
        </w:rPr>
        <w:t> </w:t>
      </w:r>
      <w:r>
        <w:rPr>
          <w:w w:val="105"/>
          <w:sz w:val="18"/>
        </w:rPr>
        <w:t>and</w:t>
      </w:r>
      <w:r>
        <w:rPr>
          <w:spacing w:val="12"/>
          <w:w w:val="105"/>
          <w:sz w:val="18"/>
        </w:rPr>
        <w:t> </w:t>
      </w:r>
      <w:r>
        <w:rPr>
          <w:w w:val="105"/>
          <w:sz w:val="18"/>
        </w:rPr>
        <w:t>development</w:t>
      </w:r>
      <w:r>
        <w:rPr>
          <w:spacing w:val="13"/>
          <w:w w:val="105"/>
          <w:sz w:val="18"/>
        </w:rPr>
        <w:t> </w:t>
      </w:r>
      <w:r>
        <w:rPr>
          <w:w w:val="105"/>
          <w:sz w:val="18"/>
        </w:rPr>
        <w:t>programs</w:t>
      </w:r>
      <w:r>
        <w:rPr>
          <w:spacing w:val="12"/>
          <w:w w:val="105"/>
          <w:sz w:val="18"/>
        </w:rPr>
        <w:t> </w:t>
      </w:r>
      <w:r>
        <w:rPr>
          <w:w w:val="105"/>
          <w:sz w:val="18"/>
        </w:rPr>
        <w:t>designed</w:t>
      </w:r>
      <w:r>
        <w:rPr>
          <w:spacing w:val="13"/>
          <w:w w:val="105"/>
          <w:sz w:val="18"/>
        </w:rPr>
        <w:t> </w:t>
      </w:r>
      <w:r>
        <w:rPr>
          <w:w w:val="105"/>
          <w:sz w:val="18"/>
        </w:rPr>
        <w:t>to</w:t>
      </w:r>
      <w:r>
        <w:rPr>
          <w:spacing w:val="12"/>
          <w:w w:val="105"/>
          <w:sz w:val="18"/>
        </w:rPr>
        <w:t> </w:t>
      </w:r>
      <w:r>
        <w:rPr>
          <w:w w:val="105"/>
          <w:sz w:val="18"/>
        </w:rPr>
        <w:t>help</w:t>
      </w:r>
      <w:r>
        <w:rPr>
          <w:spacing w:val="13"/>
          <w:w w:val="105"/>
          <w:sz w:val="18"/>
        </w:rPr>
        <w:t> </w:t>
      </w:r>
      <w:r>
        <w:rPr>
          <w:w w:val="105"/>
          <w:sz w:val="18"/>
        </w:rPr>
        <w:t>employees</w:t>
      </w:r>
      <w:r>
        <w:rPr>
          <w:spacing w:val="12"/>
          <w:w w:val="105"/>
          <w:sz w:val="18"/>
        </w:rPr>
        <w:t> </w:t>
      </w:r>
      <w:r>
        <w:rPr>
          <w:w w:val="105"/>
          <w:sz w:val="18"/>
        </w:rPr>
        <w:t>improve</w:t>
      </w:r>
      <w:r>
        <w:rPr>
          <w:spacing w:val="13"/>
          <w:w w:val="105"/>
          <w:sz w:val="18"/>
        </w:rPr>
        <w:t> </w:t>
      </w:r>
      <w:r>
        <w:rPr>
          <w:w w:val="105"/>
          <w:sz w:val="18"/>
        </w:rPr>
        <w:t>workplace</w:t>
      </w:r>
      <w:r>
        <w:rPr>
          <w:spacing w:val="12"/>
          <w:w w:val="105"/>
          <w:sz w:val="18"/>
        </w:rPr>
        <w:t> </w:t>
      </w:r>
      <w:r>
        <w:rPr>
          <w:spacing w:val="-2"/>
          <w:w w:val="105"/>
          <w:sz w:val="18"/>
        </w:rPr>
        <w:t>performance.</w:t>
      </w:r>
    </w:p>
    <w:p>
      <w:pPr>
        <w:pStyle w:val="BodyText"/>
        <w:spacing w:line="249" w:lineRule="auto" w:before="156"/>
        <w:ind w:left="1400" w:right="1423" w:firstLine="372"/>
      </w:pPr>
      <w:r>
        <w:rPr>
          <w:w w:val="105"/>
        </w:rPr>
        <w:t>Approximately 90% of our eligible employees participate in our 401(k) plan. In addition, in an effort to</w:t>
      </w:r>
      <w:r>
        <w:rPr>
          <w:spacing w:val="40"/>
          <w:w w:val="105"/>
        </w:rPr>
        <w:t> </w:t>
      </w:r>
      <w:r>
        <w:rPr>
          <w:w w:val="105"/>
        </w:rPr>
        <w:t>further</w:t>
      </w:r>
      <w:r>
        <w:rPr>
          <w:spacing w:val="25"/>
          <w:w w:val="105"/>
        </w:rPr>
        <w:t> </w:t>
      </w:r>
      <w:r>
        <w:rPr>
          <w:w w:val="105"/>
        </w:rPr>
        <w:t>align</w:t>
      </w:r>
      <w:r>
        <w:rPr>
          <w:spacing w:val="25"/>
          <w:w w:val="105"/>
        </w:rPr>
        <w:t> </w:t>
      </w:r>
      <w:r>
        <w:rPr>
          <w:w w:val="105"/>
        </w:rPr>
        <w:t>the</w:t>
      </w:r>
      <w:r>
        <w:rPr>
          <w:spacing w:val="25"/>
          <w:w w:val="105"/>
        </w:rPr>
        <w:t> </w:t>
      </w:r>
      <w:r>
        <w:rPr>
          <w:w w:val="105"/>
        </w:rPr>
        <w:t>interests</w:t>
      </w:r>
      <w:r>
        <w:rPr>
          <w:spacing w:val="25"/>
          <w:w w:val="105"/>
        </w:rPr>
        <w:t> </w:t>
      </w:r>
      <w:r>
        <w:rPr>
          <w:w w:val="105"/>
        </w:rPr>
        <w:t>of</w:t>
      </w:r>
      <w:r>
        <w:rPr>
          <w:spacing w:val="25"/>
          <w:w w:val="105"/>
        </w:rPr>
        <w:t> </w:t>
      </w:r>
      <w:r>
        <w:rPr>
          <w:w w:val="105"/>
        </w:rPr>
        <w:t>our</w:t>
      </w:r>
      <w:r>
        <w:rPr>
          <w:spacing w:val="25"/>
          <w:w w:val="105"/>
        </w:rPr>
        <w:t> </w:t>
      </w:r>
      <w:r>
        <w:rPr>
          <w:w w:val="105"/>
        </w:rPr>
        <w:t>employees</w:t>
      </w:r>
      <w:r>
        <w:rPr>
          <w:spacing w:val="25"/>
          <w:w w:val="105"/>
        </w:rPr>
        <w:t> </w:t>
      </w:r>
      <w:r>
        <w:rPr>
          <w:w w:val="105"/>
        </w:rPr>
        <w:t>with</w:t>
      </w:r>
      <w:r>
        <w:rPr>
          <w:spacing w:val="25"/>
          <w:w w:val="105"/>
        </w:rPr>
        <w:t> </w:t>
      </w:r>
      <w:r>
        <w:rPr>
          <w:w w:val="105"/>
        </w:rPr>
        <w:t>our</w:t>
      </w:r>
      <w:r>
        <w:rPr>
          <w:spacing w:val="25"/>
          <w:w w:val="105"/>
        </w:rPr>
        <w:t> </w:t>
      </w:r>
      <w:r>
        <w:rPr>
          <w:w w:val="105"/>
        </w:rPr>
        <w:t>stockholders,</w:t>
      </w:r>
      <w:r>
        <w:rPr>
          <w:spacing w:val="25"/>
          <w:w w:val="105"/>
        </w:rPr>
        <w:t> </w:t>
      </w:r>
      <w:r>
        <w:rPr>
          <w:w w:val="105"/>
        </w:rPr>
        <w:t>we</w:t>
      </w:r>
      <w:r>
        <w:rPr>
          <w:spacing w:val="25"/>
          <w:w w:val="105"/>
        </w:rPr>
        <w:t> </w:t>
      </w:r>
      <w:r>
        <w:rPr>
          <w:w w:val="105"/>
        </w:rPr>
        <w:t>have</w:t>
      </w:r>
      <w:r>
        <w:rPr>
          <w:spacing w:val="25"/>
          <w:w w:val="105"/>
        </w:rPr>
        <w:t> </w:t>
      </w:r>
      <w:r>
        <w:rPr>
          <w:w w:val="105"/>
        </w:rPr>
        <w:t>an</w:t>
      </w:r>
      <w:r>
        <w:rPr>
          <w:spacing w:val="25"/>
          <w:w w:val="105"/>
        </w:rPr>
        <w:t> </w:t>
      </w:r>
      <w:r>
        <w:rPr>
          <w:w w:val="105"/>
        </w:rPr>
        <w:t>equity-based</w:t>
      </w:r>
      <w:r>
        <w:rPr>
          <w:spacing w:val="25"/>
          <w:w w:val="105"/>
        </w:rPr>
        <w:t> </w:t>
      </w:r>
      <w:r>
        <w:rPr>
          <w:w w:val="105"/>
        </w:rPr>
        <w:t>incentive</w:t>
      </w:r>
      <w:r>
        <w:rPr>
          <w:spacing w:val="25"/>
          <w:w w:val="105"/>
        </w:rPr>
        <w:t> </w:t>
      </w:r>
      <w:r>
        <w:rPr>
          <w:w w:val="105"/>
        </w:rPr>
        <w:t>plan that provides for the grant of nonqualified stock options and restricted stock units (“</w:t>
      </w:r>
      <w:r>
        <w:rPr>
          <w:b/>
          <w:w w:val="105"/>
        </w:rPr>
        <w:t>RSUs</w:t>
      </w:r>
      <w:r>
        <w:rPr>
          <w:w w:val="105"/>
        </w:rPr>
        <w:t>”) to senior management</w:t>
      </w:r>
      <w:r>
        <w:rPr>
          <w:spacing w:val="29"/>
          <w:w w:val="105"/>
        </w:rPr>
        <w:t> </w:t>
      </w:r>
      <w:r>
        <w:rPr>
          <w:w w:val="105"/>
        </w:rPr>
        <w:t>and</w:t>
      </w:r>
      <w:r>
        <w:rPr>
          <w:spacing w:val="29"/>
          <w:w w:val="105"/>
        </w:rPr>
        <w:t> </w:t>
      </w:r>
      <w:r>
        <w:rPr>
          <w:w w:val="105"/>
        </w:rPr>
        <w:t>other</w:t>
      </w:r>
      <w:r>
        <w:rPr>
          <w:spacing w:val="29"/>
          <w:w w:val="105"/>
        </w:rPr>
        <w:t> </w:t>
      </w:r>
      <w:r>
        <w:rPr>
          <w:w w:val="105"/>
        </w:rPr>
        <w:t>eligible</w:t>
      </w:r>
      <w:r>
        <w:rPr>
          <w:spacing w:val="29"/>
          <w:w w:val="105"/>
        </w:rPr>
        <w:t> </w:t>
      </w:r>
      <w:r>
        <w:rPr>
          <w:w w:val="105"/>
        </w:rPr>
        <w:t>employees. Additionally,</w:t>
      </w:r>
      <w:r>
        <w:rPr>
          <w:spacing w:val="29"/>
          <w:w w:val="105"/>
        </w:rPr>
        <w:t> </w:t>
      </w:r>
      <w:r>
        <w:rPr>
          <w:w w:val="105"/>
        </w:rPr>
        <w:t>to</w:t>
      </w:r>
      <w:r>
        <w:rPr>
          <w:spacing w:val="29"/>
          <w:w w:val="105"/>
        </w:rPr>
        <w:t> </w:t>
      </w:r>
      <w:r>
        <w:rPr>
          <w:w w:val="105"/>
        </w:rPr>
        <w:t>encourage</w:t>
      </w:r>
      <w:r>
        <w:rPr>
          <w:spacing w:val="29"/>
          <w:w w:val="105"/>
        </w:rPr>
        <w:t> </w:t>
      </w:r>
      <w:r>
        <w:rPr>
          <w:w w:val="105"/>
        </w:rPr>
        <w:t>share</w:t>
      </w:r>
      <w:r>
        <w:rPr>
          <w:spacing w:val="29"/>
          <w:w w:val="105"/>
        </w:rPr>
        <w:t> </w:t>
      </w:r>
      <w:r>
        <w:rPr>
          <w:w w:val="105"/>
        </w:rPr>
        <w:t>ownership</w:t>
      </w:r>
      <w:r>
        <w:rPr>
          <w:spacing w:val="29"/>
          <w:w w:val="105"/>
        </w:rPr>
        <w:t> </w:t>
      </w:r>
      <w:r>
        <w:rPr>
          <w:w w:val="105"/>
        </w:rPr>
        <w:t>by</w:t>
      </w:r>
      <w:r>
        <w:rPr>
          <w:spacing w:val="29"/>
          <w:w w:val="105"/>
        </w:rPr>
        <w:t> </w:t>
      </w:r>
      <w:r>
        <w:rPr>
          <w:w w:val="105"/>
        </w:rPr>
        <w:t>our</w:t>
      </w:r>
      <w:r>
        <w:rPr>
          <w:spacing w:val="29"/>
          <w:w w:val="105"/>
        </w:rPr>
        <w:t> </w:t>
      </w:r>
      <w:r>
        <w:rPr>
          <w:w w:val="105"/>
        </w:rPr>
        <w:t>employees,</w:t>
      </w:r>
      <w:r>
        <w:rPr>
          <w:w w:val="105"/>
        </w:rPr>
        <w:t> we</w:t>
      </w:r>
      <w:r>
        <w:rPr>
          <w:spacing w:val="27"/>
          <w:w w:val="105"/>
        </w:rPr>
        <w:t> </w:t>
      </w:r>
      <w:r>
        <w:rPr>
          <w:w w:val="105"/>
        </w:rPr>
        <w:t>have</w:t>
      </w:r>
      <w:r>
        <w:rPr>
          <w:spacing w:val="27"/>
          <w:w w:val="105"/>
        </w:rPr>
        <w:t> </w:t>
      </w:r>
      <w:r>
        <w:rPr>
          <w:w w:val="105"/>
        </w:rPr>
        <w:t>implemented</w:t>
      </w:r>
      <w:r>
        <w:rPr>
          <w:spacing w:val="27"/>
          <w:w w:val="105"/>
        </w:rPr>
        <w:t> </w:t>
      </w:r>
      <w:r>
        <w:rPr>
          <w:w w:val="105"/>
        </w:rPr>
        <w:t>an</w:t>
      </w:r>
      <w:r>
        <w:rPr>
          <w:spacing w:val="27"/>
          <w:w w:val="105"/>
        </w:rPr>
        <w:t> </w:t>
      </w:r>
      <w:r>
        <w:rPr>
          <w:w w:val="105"/>
        </w:rPr>
        <w:t>employee</w:t>
      </w:r>
      <w:r>
        <w:rPr>
          <w:spacing w:val="27"/>
          <w:w w:val="105"/>
        </w:rPr>
        <w:t> </w:t>
      </w:r>
      <w:r>
        <w:rPr>
          <w:w w:val="105"/>
        </w:rPr>
        <w:t>stock</w:t>
      </w:r>
      <w:r>
        <w:rPr>
          <w:spacing w:val="27"/>
          <w:w w:val="105"/>
        </w:rPr>
        <w:t> </w:t>
      </w:r>
      <w:r>
        <w:rPr>
          <w:w w:val="105"/>
        </w:rPr>
        <w:t>purchase</w:t>
      </w:r>
      <w:r>
        <w:rPr>
          <w:spacing w:val="27"/>
          <w:w w:val="105"/>
        </w:rPr>
        <w:t> </w:t>
      </w:r>
      <w:r>
        <w:rPr>
          <w:w w:val="105"/>
        </w:rPr>
        <w:t>plan,</w:t>
      </w:r>
      <w:r>
        <w:rPr>
          <w:spacing w:val="27"/>
          <w:w w:val="105"/>
        </w:rPr>
        <w:t> </w:t>
      </w:r>
      <w:r>
        <w:rPr>
          <w:w w:val="105"/>
        </w:rPr>
        <w:t>which</w:t>
      </w:r>
      <w:r>
        <w:rPr>
          <w:spacing w:val="27"/>
          <w:w w:val="105"/>
        </w:rPr>
        <w:t> </w:t>
      </w:r>
      <w:r>
        <w:rPr>
          <w:w w:val="105"/>
        </w:rPr>
        <w:t>enables</w:t>
      </w:r>
      <w:r>
        <w:rPr>
          <w:spacing w:val="27"/>
          <w:w w:val="105"/>
        </w:rPr>
        <w:t> </w:t>
      </w:r>
      <w:r>
        <w:rPr>
          <w:w w:val="105"/>
        </w:rPr>
        <w:t>eligible</w:t>
      </w:r>
      <w:r>
        <w:rPr>
          <w:spacing w:val="27"/>
          <w:w w:val="105"/>
        </w:rPr>
        <w:t> </w:t>
      </w:r>
      <w:r>
        <w:rPr>
          <w:w w:val="105"/>
        </w:rPr>
        <w:t>employees</w:t>
      </w:r>
      <w:r>
        <w:rPr>
          <w:spacing w:val="27"/>
          <w:w w:val="105"/>
        </w:rPr>
        <w:t> </w:t>
      </w:r>
      <w:r>
        <w:rPr>
          <w:w w:val="105"/>
        </w:rPr>
        <w:t>to</w:t>
      </w:r>
      <w:r>
        <w:rPr>
          <w:spacing w:val="27"/>
          <w:w w:val="105"/>
        </w:rPr>
        <w:t> </w:t>
      </w:r>
      <w:r>
        <w:rPr>
          <w:w w:val="105"/>
        </w:rPr>
        <w:t>purchase shares of our common stock at a discount through payroll contributions.</w:t>
      </w:r>
    </w:p>
    <w:p>
      <w:pPr>
        <w:pStyle w:val="BodyText"/>
        <w:rPr>
          <w:sz w:val="19"/>
        </w:rPr>
      </w:pPr>
    </w:p>
    <w:p>
      <w:pPr>
        <w:spacing w:before="0"/>
        <w:ind w:left="1772" w:right="0" w:firstLine="0"/>
        <w:jc w:val="left"/>
        <w:rPr>
          <w:i/>
          <w:sz w:val="18"/>
        </w:rPr>
      </w:pPr>
      <w:r>
        <w:rPr>
          <w:i/>
          <w:w w:val="105"/>
          <w:sz w:val="18"/>
        </w:rPr>
        <w:t>Safety</w:t>
      </w:r>
      <w:r>
        <w:rPr>
          <w:i/>
          <w:spacing w:val="10"/>
          <w:w w:val="105"/>
          <w:sz w:val="18"/>
        </w:rPr>
        <w:t> </w:t>
      </w:r>
      <w:r>
        <w:rPr>
          <w:i/>
          <w:w w:val="105"/>
          <w:sz w:val="18"/>
        </w:rPr>
        <w:t>and</w:t>
      </w:r>
      <w:r>
        <w:rPr>
          <w:i/>
          <w:spacing w:val="10"/>
          <w:w w:val="105"/>
          <w:sz w:val="18"/>
        </w:rPr>
        <w:t> </w:t>
      </w:r>
      <w:r>
        <w:rPr>
          <w:i/>
          <w:spacing w:val="-2"/>
          <w:w w:val="105"/>
          <w:sz w:val="18"/>
        </w:rPr>
        <w:t>Wellness</w:t>
      </w:r>
    </w:p>
    <w:p>
      <w:pPr>
        <w:pStyle w:val="BodyText"/>
        <w:spacing w:line="249" w:lineRule="auto" w:before="170"/>
        <w:ind w:left="1400" w:right="1551" w:firstLine="372"/>
      </w:pPr>
      <w:r>
        <w:rPr>
          <w:w w:val="105"/>
        </w:rPr>
        <w:t>We provide our employees with upfront and ongoing safety training to ensure that safety policies and procedures are effectively communicated and implemented. Personal protective equipment is provided to those employees where needed for the employee to safely perform their job function. We have experienced personnel</w:t>
      </w:r>
      <w:r>
        <w:rPr>
          <w:spacing w:val="25"/>
          <w:w w:val="105"/>
        </w:rPr>
        <w:t> </w:t>
      </w:r>
      <w:r>
        <w:rPr>
          <w:w w:val="105"/>
        </w:rPr>
        <w:t>on</w:t>
      </w:r>
      <w:r>
        <w:rPr>
          <w:spacing w:val="25"/>
          <w:w w:val="105"/>
        </w:rPr>
        <w:t> </w:t>
      </w:r>
      <w:r>
        <w:rPr>
          <w:w w:val="105"/>
        </w:rPr>
        <w:t>site</w:t>
      </w:r>
      <w:r>
        <w:rPr>
          <w:spacing w:val="25"/>
          <w:w w:val="105"/>
        </w:rPr>
        <w:t> </w:t>
      </w:r>
      <w:r>
        <w:rPr>
          <w:w w:val="105"/>
        </w:rPr>
        <w:t>at</w:t>
      </w:r>
      <w:r>
        <w:rPr>
          <w:spacing w:val="25"/>
          <w:w w:val="105"/>
        </w:rPr>
        <w:t> </w:t>
      </w:r>
      <w:r>
        <w:rPr>
          <w:w w:val="105"/>
        </w:rPr>
        <w:t>each</w:t>
      </w:r>
      <w:r>
        <w:rPr>
          <w:spacing w:val="25"/>
          <w:w w:val="105"/>
        </w:rPr>
        <w:t> </w:t>
      </w:r>
      <w:r>
        <w:rPr>
          <w:w w:val="105"/>
        </w:rPr>
        <w:t>of</w:t>
      </w:r>
      <w:r>
        <w:rPr>
          <w:spacing w:val="25"/>
          <w:w w:val="105"/>
        </w:rPr>
        <w:t> </w:t>
      </w:r>
      <w:r>
        <w:rPr>
          <w:w w:val="105"/>
        </w:rPr>
        <w:t>our</w:t>
      </w:r>
      <w:r>
        <w:rPr>
          <w:spacing w:val="25"/>
          <w:w w:val="105"/>
        </w:rPr>
        <w:t> </w:t>
      </w:r>
      <w:r>
        <w:rPr>
          <w:w w:val="105"/>
        </w:rPr>
        <w:t>manufacturing</w:t>
      </w:r>
      <w:r>
        <w:rPr>
          <w:spacing w:val="25"/>
          <w:w w:val="105"/>
        </w:rPr>
        <w:t> </w:t>
      </w:r>
      <w:r>
        <w:rPr>
          <w:w w:val="105"/>
        </w:rPr>
        <w:t>locations</w:t>
      </w:r>
      <w:r>
        <w:rPr>
          <w:spacing w:val="25"/>
          <w:w w:val="105"/>
        </w:rPr>
        <w:t> </w:t>
      </w:r>
      <w:r>
        <w:rPr>
          <w:w w:val="105"/>
        </w:rPr>
        <w:t>that</w:t>
      </w:r>
      <w:r>
        <w:rPr>
          <w:spacing w:val="25"/>
          <w:w w:val="105"/>
        </w:rPr>
        <w:t> </w:t>
      </w:r>
      <w:r>
        <w:rPr>
          <w:w w:val="105"/>
        </w:rPr>
        <w:t>are</w:t>
      </w:r>
      <w:r>
        <w:rPr>
          <w:spacing w:val="25"/>
          <w:w w:val="105"/>
        </w:rPr>
        <w:t> </w:t>
      </w:r>
      <w:r>
        <w:rPr>
          <w:w w:val="105"/>
        </w:rPr>
        <w:t>tasked</w:t>
      </w:r>
      <w:r>
        <w:rPr>
          <w:spacing w:val="25"/>
          <w:w w:val="105"/>
        </w:rPr>
        <w:t> </w:t>
      </w:r>
      <w:r>
        <w:rPr>
          <w:w w:val="105"/>
        </w:rPr>
        <w:t>with</w:t>
      </w:r>
      <w:r>
        <w:rPr>
          <w:spacing w:val="25"/>
          <w:w w:val="105"/>
        </w:rPr>
        <w:t> </w:t>
      </w:r>
      <w:r>
        <w:rPr>
          <w:w w:val="105"/>
        </w:rPr>
        <w:t>environmental,</w:t>
      </w:r>
      <w:r>
        <w:rPr>
          <w:spacing w:val="25"/>
          <w:w w:val="105"/>
        </w:rPr>
        <w:t> </w:t>
      </w:r>
      <w:r>
        <w:rPr>
          <w:w w:val="105"/>
        </w:rPr>
        <w:t>health</w:t>
      </w:r>
      <w:r>
        <w:rPr>
          <w:spacing w:val="25"/>
          <w:w w:val="105"/>
        </w:rPr>
        <w:t> </w:t>
      </w:r>
      <w:r>
        <w:rPr>
          <w:w w:val="105"/>
        </w:rPr>
        <w:t>and</w:t>
      </w:r>
    </w:p>
    <w:p>
      <w:pPr>
        <w:spacing w:after="0" w:line="249" w:lineRule="auto"/>
        <w:sectPr>
          <w:headerReference w:type="default" r:id="rId75"/>
          <w:footerReference w:type="default" r:id="rId76"/>
          <w:pgSz w:w="12240" w:h="15840"/>
          <w:pgMar w:header="529" w:footer="1470" w:top="720" w:bottom="1660" w:left="480" w:right="460"/>
        </w:sectPr>
      </w:pPr>
    </w:p>
    <w:p>
      <w:pPr>
        <w:pStyle w:val="BodyText"/>
        <w:rPr>
          <w:sz w:val="20"/>
        </w:rPr>
      </w:pPr>
      <w:r>
        <w:rPr/>
        <w:pict>
          <v:group style="position:absolute;margin-left:28.999998pt;margin-top:712.614746pt;width:555pt;height:1.4pt;mso-position-horizontal-relative:page;mso-position-vertical-relative:page;z-index:15750656" id="docshapegroup157" coordorigin="580,14252" coordsize="11100,28">
            <v:rect style="position:absolute;left:580;top:14252;width:11100;height:14" id="docshape158" filled="true" fillcolor="#999999" stroked="false">
              <v:fill type="solid"/>
            </v:rect>
            <v:shape style="position:absolute;left:579;top:14252;width:11100;height:28" id="docshape159" coordorigin="580,14252" coordsize="11100,28" path="m11680,14252l11666,14266,580,14266,580,14280,11666,14280,11680,14280,11680,14266,11680,14252xe" filled="true" fillcolor="#ededed" stroked="false">
              <v:path arrowok="t"/>
              <v:fill type="solid"/>
            </v:shape>
            <v:shape style="position:absolute;left:580;top:14252;width:14;height:28" id="docshape160" coordorigin="580,14252" coordsize="14,28" path="m580,14280l580,14252,594,14252,594,14266,580,14280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400" w:right="1680"/>
      </w:pPr>
      <w:r>
        <w:rPr>
          <w:w w:val="105"/>
        </w:rPr>
        <w:t>personal safety education and compliance and, in Salt Lake City, we have an onsite nurse practitioner available to our employees for medical needs.</w:t>
      </w:r>
    </w:p>
    <w:p>
      <w:pPr>
        <w:pStyle w:val="BodyText"/>
        <w:spacing w:before="6"/>
        <w:rPr>
          <w:sz w:val="19"/>
        </w:rPr>
      </w:pPr>
    </w:p>
    <w:p>
      <w:pPr>
        <w:pStyle w:val="Heading2"/>
      </w:pPr>
      <w:bookmarkStart w:name="_TOC_250035" w:id="8"/>
      <w:r>
        <w:rPr/>
        <w:t>Board</w:t>
      </w:r>
      <w:r>
        <w:rPr>
          <w:spacing w:val="-10"/>
        </w:rPr>
        <w:t> </w:t>
      </w:r>
      <w:r>
        <w:rPr/>
        <w:t>Committees</w:t>
      </w:r>
      <w:r>
        <w:rPr>
          <w:spacing w:val="-10"/>
        </w:rPr>
        <w:t> </w:t>
      </w:r>
      <w:r>
        <w:rPr/>
        <w:t>and</w:t>
      </w:r>
      <w:r>
        <w:rPr>
          <w:spacing w:val="-10"/>
        </w:rPr>
        <w:t> </w:t>
      </w:r>
      <w:r>
        <w:rPr/>
        <w:t>Committee</w:t>
      </w:r>
      <w:r>
        <w:rPr>
          <w:spacing w:val="-10"/>
        </w:rPr>
        <w:t> </w:t>
      </w:r>
      <w:bookmarkEnd w:id="8"/>
      <w:r>
        <w:rPr>
          <w:spacing w:val="-2"/>
        </w:rPr>
        <w:t>Meetings</w:t>
      </w:r>
    </w:p>
    <w:p>
      <w:pPr>
        <w:pStyle w:val="BodyText"/>
        <w:spacing w:line="259" w:lineRule="auto" w:before="170"/>
        <w:ind w:left="1400" w:right="1464" w:firstLine="372"/>
      </w:pPr>
      <w:r>
        <w:rPr>
          <w:w w:val="105"/>
        </w:rPr>
        <w:t>Each</w:t>
      </w:r>
      <w:r>
        <w:rPr>
          <w:spacing w:val="24"/>
          <w:w w:val="105"/>
        </w:rPr>
        <w:t> </w:t>
      </w:r>
      <w:r>
        <w:rPr>
          <w:w w:val="105"/>
        </w:rPr>
        <w:t>of</w:t>
      </w:r>
      <w:r>
        <w:rPr>
          <w:spacing w:val="24"/>
          <w:w w:val="105"/>
        </w:rPr>
        <w:t> </w:t>
      </w:r>
      <w:r>
        <w:rPr>
          <w:w w:val="105"/>
        </w:rPr>
        <w:t>our</w:t>
      </w:r>
      <w:r>
        <w:rPr>
          <w:spacing w:val="24"/>
          <w:w w:val="105"/>
        </w:rPr>
        <w:t> </w:t>
      </w:r>
      <w:r>
        <w:rPr>
          <w:w w:val="105"/>
        </w:rPr>
        <w:t>standing</w:t>
      </w:r>
      <w:r>
        <w:rPr>
          <w:spacing w:val="24"/>
          <w:w w:val="105"/>
        </w:rPr>
        <w:t> </w:t>
      </w:r>
      <w:r>
        <w:rPr>
          <w:w w:val="105"/>
        </w:rPr>
        <w:t>committees</w:t>
      </w:r>
      <w:r>
        <w:rPr>
          <w:spacing w:val="24"/>
          <w:w w:val="105"/>
        </w:rPr>
        <w:t> </w:t>
      </w:r>
      <w:r>
        <w:rPr>
          <w:w w:val="105"/>
        </w:rPr>
        <w:t>has</w:t>
      </w:r>
      <w:r>
        <w:rPr>
          <w:spacing w:val="24"/>
          <w:w w:val="105"/>
        </w:rPr>
        <w:t> </w:t>
      </w:r>
      <w:r>
        <w:rPr>
          <w:w w:val="105"/>
        </w:rPr>
        <w:t>a</w:t>
      </w:r>
      <w:r>
        <w:rPr>
          <w:spacing w:val="24"/>
          <w:w w:val="105"/>
        </w:rPr>
        <w:t> </w:t>
      </w:r>
      <w:r>
        <w:rPr>
          <w:w w:val="105"/>
        </w:rPr>
        <w:t>written</w:t>
      </w:r>
      <w:r>
        <w:rPr>
          <w:spacing w:val="24"/>
          <w:w w:val="105"/>
        </w:rPr>
        <w:t> </w:t>
      </w:r>
      <w:r>
        <w:rPr>
          <w:w w:val="105"/>
        </w:rPr>
        <w:t>charter</w:t>
      </w:r>
      <w:r>
        <w:rPr>
          <w:spacing w:val="24"/>
          <w:w w:val="105"/>
        </w:rPr>
        <w:t> </w:t>
      </w:r>
      <w:r>
        <w:rPr>
          <w:w w:val="105"/>
        </w:rPr>
        <w:t>approved</w:t>
      </w:r>
      <w:r>
        <w:rPr>
          <w:spacing w:val="24"/>
          <w:w w:val="105"/>
        </w:rPr>
        <w:t> </w:t>
      </w:r>
      <w:r>
        <w:rPr>
          <w:w w:val="105"/>
        </w:rPr>
        <w:t>by</w:t>
      </w:r>
      <w:r>
        <w:rPr>
          <w:spacing w:val="24"/>
          <w:w w:val="105"/>
        </w:rPr>
        <w:t> </w:t>
      </w:r>
      <w:r>
        <w:rPr>
          <w:w w:val="105"/>
        </w:rPr>
        <w:t>the</w:t>
      </w:r>
      <w:r>
        <w:rPr>
          <w:spacing w:val="24"/>
          <w:w w:val="105"/>
        </w:rPr>
        <w:t> </w:t>
      </w:r>
      <w:r>
        <w:rPr>
          <w:w w:val="105"/>
        </w:rPr>
        <w:t>Board</w:t>
      </w:r>
      <w:r>
        <w:rPr>
          <w:spacing w:val="24"/>
          <w:w w:val="105"/>
        </w:rPr>
        <w:t> </w:t>
      </w:r>
      <w:r>
        <w:rPr>
          <w:w w:val="105"/>
        </w:rPr>
        <w:t>that</w:t>
      </w:r>
      <w:r>
        <w:rPr>
          <w:spacing w:val="24"/>
          <w:w w:val="105"/>
        </w:rPr>
        <w:t> </w:t>
      </w:r>
      <w:r>
        <w:rPr>
          <w:w w:val="105"/>
        </w:rPr>
        <w:t>clearly</w:t>
      </w:r>
      <w:r>
        <w:rPr>
          <w:spacing w:val="24"/>
          <w:w w:val="105"/>
        </w:rPr>
        <w:t> </w:t>
      </w:r>
      <w:r>
        <w:rPr>
          <w:w w:val="105"/>
        </w:rPr>
        <w:t>establishes</w:t>
      </w:r>
      <w:r>
        <w:rPr>
          <w:w w:val="105"/>
        </w:rPr>
        <w:t> the</w:t>
      </w:r>
      <w:r>
        <w:rPr>
          <w:spacing w:val="27"/>
          <w:w w:val="105"/>
        </w:rPr>
        <w:t> </w:t>
      </w:r>
      <w:r>
        <w:rPr>
          <w:w w:val="105"/>
        </w:rPr>
        <w:t>committee’s</w:t>
      </w:r>
      <w:r>
        <w:rPr>
          <w:spacing w:val="27"/>
          <w:w w:val="105"/>
        </w:rPr>
        <w:t> </w:t>
      </w:r>
      <w:r>
        <w:rPr>
          <w:w w:val="105"/>
        </w:rPr>
        <w:t>roles</w:t>
      </w:r>
      <w:r>
        <w:rPr>
          <w:spacing w:val="27"/>
          <w:w w:val="105"/>
        </w:rPr>
        <w:t> </w:t>
      </w:r>
      <w:r>
        <w:rPr>
          <w:w w:val="105"/>
        </w:rPr>
        <w:t>and</w:t>
      </w:r>
      <w:r>
        <w:rPr>
          <w:spacing w:val="27"/>
          <w:w w:val="105"/>
        </w:rPr>
        <w:t> </w:t>
      </w:r>
      <w:r>
        <w:rPr>
          <w:w w:val="105"/>
        </w:rPr>
        <w:t>responsibilities.</w:t>
      </w:r>
      <w:r>
        <w:rPr>
          <w:spacing w:val="27"/>
          <w:w w:val="105"/>
        </w:rPr>
        <w:t> </w:t>
      </w:r>
      <w:r>
        <w:rPr>
          <w:w w:val="105"/>
        </w:rPr>
        <w:t>Copies</w:t>
      </w:r>
      <w:r>
        <w:rPr>
          <w:spacing w:val="27"/>
          <w:w w:val="105"/>
        </w:rPr>
        <w:t> </w:t>
      </w:r>
      <w:r>
        <w:rPr>
          <w:w w:val="105"/>
        </w:rPr>
        <w:t>of</w:t>
      </w:r>
      <w:r>
        <w:rPr>
          <w:spacing w:val="27"/>
          <w:w w:val="105"/>
        </w:rPr>
        <w:t> </w:t>
      </w:r>
      <w:r>
        <w:rPr>
          <w:w w:val="105"/>
        </w:rPr>
        <w:t>the</w:t>
      </w:r>
      <w:r>
        <w:rPr>
          <w:spacing w:val="27"/>
          <w:w w:val="105"/>
        </w:rPr>
        <w:t> </w:t>
      </w:r>
      <w:r>
        <w:rPr>
          <w:w w:val="105"/>
        </w:rPr>
        <w:t>charters</w:t>
      </w:r>
      <w:r>
        <w:rPr>
          <w:spacing w:val="27"/>
          <w:w w:val="105"/>
        </w:rPr>
        <w:t> </w:t>
      </w:r>
      <w:r>
        <w:rPr>
          <w:w w:val="105"/>
        </w:rPr>
        <w:t>for</w:t>
      </w:r>
      <w:r>
        <w:rPr>
          <w:spacing w:val="27"/>
          <w:w w:val="105"/>
        </w:rPr>
        <w:t> </w:t>
      </w:r>
      <w:r>
        <w:rPr>
          <w:w w:val="105"/>
        </w:rPr>
        <w:t>the</w:t>
      </w:r>
      <w:r>
        <w:rPr>
          <w:spacing w:val="12"/>
          <w:w w:val="105"/>
        </w:rPr>
        <w:t> </w:t>
      </w:r>
      <w:r>
        <w:rPr>
          <w:w w:val="105"/>
        </w:rPr>
        <w:t>Audit</w:t>
      </w:r>
      <w:r>
        <w:rPr>
          <w:spacing w:val="27"/>
          <w:w w:val="105"/>
        </w:rPr>
        <w:t> </w:t>
      </w:r>
      <w:r>
        <w:rPr>
          <w:w w:val="105"/>
        </w:rPr>
        <w:t>Committee,</w:t>
      </w:r>
      <w:r>
        <w:rPr>
          <w:spacing w:val="27"/>
          <w:w w:val="105"/>
        </w:rPr>
        <w:t> </w:t>
      </w:r>
      <w:r>
        <w:rPr>
          <w:w w:val="105"/>
        </w:rPr>
        <w:t>the Compensation Committee, and the Nominating Committee, as well as our Corporate Governance Guidelines and Code of Conduct, can be found through the “Corporate Governance” link on the Investors page on our</w:t>
      </w:r>
      <w:r>
        <w:rPr>
          <w:spacing w:val="40"/>
          <w:w w:val="105"/>
        </w:rPr>
        <w:t> </w:t>
      </w:r>
      <w:r>
        <w:rPr>
          <w:w w:val="105"/>
        </w:rPr>
        <w:t>website at </w:t>
      </w:r>
      <w:hyperlink r:id="rId38">
        <w:r>
          <w:rPr>
            <w:i/>
            <w:w w:val="105"/>
          </w:rPr>
          <w:t>www.vareximaging.com</w:t>
        </w:r>
        <w:r>
          <w:rPr>
            <w:w w:val="105"/>
          </w:rPr>
          <w:t>.</w:t>
        </w:r>
      </w:hyperlink>
      <w:r>
        <w:rPr>
          <w:w w:val="105"/>
        </w:rPr>
        <w:t> Please note that information on, or that can be accessed through, our website is not part of these proxy soliciting materials, is not deemed “filed” with the SEC and is not to be</w:t>
      </w:r>
      <w:r>
        <w:rPr>
          <w:spacing w:val="40"/>
          <w:w w:val="105"/>
        </w:rPr>
        <w:t> </w:t>
      </w:r>
      <w:r>
        <w:rPr>
          <w:w w:val="105"/>
        </w:rPr>
        <w:t>incorporated</w:t>
      </w:r>
      <w:r>
        <w:rPr>
          <w:spacing w:val="22"/>
          <w:w w:val="105"/>
        </w:rPr>
        <w:t> </w:t>
      </w:r>
      <w:r>
        <w:rPr>
          <w:w w:val="105"/>
        </w:rPr>
        <w:t>by</w:t>
      </w:r>
      <w:r>
        <w:rPr>
          <w:spacing w:val="22"/>
          <w:w w:val="105"/>
        </w:rPr>
        <w:t> </w:t>
      </w:r>
      <w:r>
        <w:rPr>
          <w:w w:val="105"/>
        </w:rPr>
        <w:t>reference</w:t>
      </w:r>
      <w:r>
        <w:rPr>
          <w:spacing w:val="22"/>
          <w:w w:val="105"/>
        </w:rPr>
        <w:t> </w:t>
      </w:r>
      <w:r>
        <w:rPr>
          <w:w w:val="105"/>
        </w:rPr>
        <w:t>into</w:t>
      </w:r>
      <w:r>
        <w:rPr>
          <w:spacing w:val="22"/>
          <w:w w:val="105"/>
        </w:rPr>
        <w:t> </w:t>
      </w:r>
      <w:r>
        <w:rPr>
          <w:w w:val="105"/>
        </w:rPr>
        <w:t>any</w:t>
      </w:r>
      <w:r>
        <w:rPr>
          <w:spacing w:val="22"/>
          <w:w w:val="105"/>
        </w:rPr>
        <w:t> </w:t>
      </w:r>
      <w:r>
        <w:rPr>
          <w:w w:val="105"/>
        </w:rPr>
        <w:t>of</w:t>
      </w:r>
      <w:r>
        <w:rPr>
          <w:spacing w:val="22"/>
          <w:w w:val="105"/>
        </w:rPr>
        <w:t> </w:t>
      </w:r>
      <w:r>
        <w:rPr>
          <w:w w:val="105"/>
        </w:rPr>
        <w:t>our</w:t>
      </w:r>
      <w:r>
        <w:rPr>
          <w:spacing w:val="22"/>
          <w:w w:val="105"/>
        </w:rPr>
        <w:t> </w:t>
      </w:r>
      <w:r>
        <w:rPr>
          <w:w w:val="105"/>
        </w:rPr>
        <w:t>filings</w:t>
      </w:r>
      <w:r>
        <w:rPr>
          <w:spacing w:val="22"/>
          <w:w w:val="105"/>
        </w:rPr>
        <w:t> </w:t>
      </w:r>
      <w:r>
        <w:rPr>
          <w:w w:val="105"/>
        </w:rPr>
        <w:t>under</w:t>
      </w:r>
      <w:r>
        <w:rPr>
          <w:spacing w:val="22"/>
          <w:w w:val="105"/>
        </w:rPr>
        <w:t> </w:t>
      </w:r>
      <w:r>
        <w:rPr>
          <w:w w:val="105"/>
        </w:rPr>
        <w:t>the</w:t>
      </w:r>
      <w:r>
        <w:rPr>
          <w:spacing w:val="22"/>
          <w:w w:val="105"/>
        </w:rPr>
        <w:t> </w:t>
      </w:r>
      <w:r>
        <w:rPr>
          <w:w w:val="105"/>
        </w:rPr>
        <w:t>Securities Act</w:t>
      </w:r>
      <w:r>
        <w:rPr>
          <w:spacing w:val="22"/>
          <w:w w:val="105"/>
        </w:rPr>
        <w:t> </w:t>
      </w:r>
      <w:r>
        <w:rPr>
          <w:w w:val="105"/>
        </w:rPr>
        <w:t>of</w:t>
      </w:r>
      <w:r>
        <w:rPr>
          <w:spacing w:val="22"/>
          <w:w w:val="105"/>
        </w:rPr>
        <w:t> </w:t>
      </w:r>
      <w:r>
        <w:rPr>
          <w:w w:val="105"/>
        </w:rPr>
        <w:t>1933,</w:t>
      </w:r>
      <w:r>
        <w:rPr>
          <w:spacing w:val="22"/>
          <w:w w:val="105"/>
        </w:rPr>
        <w:t> </w:t>
      </w:r>
      <w:r>
        <w:rPr>
          <w:w w:val="105"/>
        </w:rPr>
        <w:t>as</w:t>
      </w:r>
      <w:r>
        <w:rPr>
          <w:spacing w:val="22"/>
          <w:w w:val="105"/>
        </w:rPr>
        <w:t> </w:t>
      </w:r>
      <w:r>
        <w:rPr>
          <w:w w:val="105"/>
        </w:rPr>
        <w:t>amended,</w:t>
      </w:r>
      <w:r>
        <w:rPr>
          <w:spacing w:val="22"/>
          <w:w w:val="105"/>
        </w:rPr>
        <w:t> </w:t>
      </w:r>
      <w:r>
        <w:rPr>
          <w:w w:val="105"/>
        </w:rPr>
        <w:t>or</w:t>
      </w:r>
      <w:r>
        <w:rPr>
          <w:spacing w:val="22"/>
          <w:w w:val="105"/>
        </w:rPr>
        <w:t> </w:t>
      </w:r>
      <w:r>
        <w:rPr>
          <w:w w:val="105"/>
        </w:rPr>
        <w:t>the Exchange Act, and, except for information filed by the Company under the cover of Schedule 14A, is not deemed to be proxy soliciting materials.</w:t>
      </w:r>
    </w:p>
    <w:p>
      <w:pPr>
        <w:spacing w:line="259" w:lineRule="auto" w:before="155"/>
        <w:ind w:left="4898" w:right="4900" w:firstLine="7"/>
        <w:jc w:val="center"/>
        <w:rPr>
          <w:sz w:val="18"/>
        </w:rPr>
      </w:pPr>
      <w:r>
        <w:rPr>
          <w:b/>
          <w:w w:val="105"/>
          <w:sz w:val="18"/>
          <w:u w:val="single"/>
        </w:rPr>
        <w:t>Audit</w:t>
      </w:r>
      <w:r>
        <w:rPr>
          <w:b/>
          <w:spacing w:val="-10"/>
          <w:w w:val="105"/>
          <w:sz w:val="18"/>
          <w:u w:val="single"/>
        </w:rPr>
        <w:t> </w:t>
      </w:r>
      <w:r>
        <w:rPr>
          <w:b/>
          <w:w w:val="105"/>
          <w:sz w:val="18"/>
          <w:u w:val="single"/>
        </w:rPr>
        <w:t>Committee</w:t>
      </w:r>
      <w:r>
        <w:rPr>
          <w:b/>
          <w:w w:val="105"/>
          <w:sz w:val="18"/>
        </w:rPr>
        <w:t> </w:t>
      </w:r>
      <w:r>
        <w:rPr>
          <w:b/>
          <w:spacing w:val="-2"/>
          <w:w w:val="105"/>
          <w:sz w:val="18"/>
        </w:rPr>
        <w:t>Chair:</w:t>
      </w:r>
      <w:r>
        <w:rPr>
          <w:b/>
          <w:spacing w:val="-10"/>
          <w:w w:val="105"/>
          <w:sz w:val="18"/>
        </w:rPr>
        <w:t> </w:t>
      </w:r>
      <w:r>
        <w:rPr>
          <w:spacing w:val="-2"/>
          <w:w w:val="105"/>
          <w:sz w:val="18"/>
        </w:rPr>
        <w:t>Ms.</w:t>
      </w:r>
      <w:r>
        <w:rPr>
          <w:spacing w:val="-10"/>
          <w:w w:val="105"/>
          <w:sz w:val="18"/>
        </w:rPr>
        <w:t> </w:t>
      </w:r>
      <w:r>
        <w:rPr>
          <w:spacing w:val="-2"/>
          <w:w w:val="105"/>
          <w:sz w:val="18"/>
        </w:rPr>
        <w:t>Tsingos</w:t>
      </w:r>
    </w:p>
    <w:p>
      <w:pPr>
        <w:spacing w:before="1"/>
        <w:ind w:left="142" w:right="144" w:firstLine="0"/>
        <w:jc w:val="center"/>
        <w:rPr>
          <w:sz w:val="18"/>
        </w:rPr>
      </w:pPr>
      <w:r>
        <w:rPr>
          <w:b/>
          <w:w w:val="105"/>
          <w:sz w:val="18"/>
        </w:rPr>
        <w:t>Additional</w:t>
      </w:r>
      <w:r>
        <w:rPr>
          <w:b/>
          <w:spacing w:val="-12"/>
          <w:w w:val="105"/>
          <w:sz w:val="18"/>
        </w:rPr>
        <w:t> </w:t>
      </w:r>
      <w:r>
        <w:rPr>
          <w:b/>
          <w:w w:val="105"/>
          <w:sz w:val="18"/>
        </w:rPr>
        <w:t>Members:</w:t>
      </w:r>
      <w:r>
        <w:rPr>
          <w:b/>
          <w:spacing w:val="-12"/>
          <w:w w:val="105"/>
          <w:sz w:val="18"/>
        </w:rPr>
        <w:t> </w:t>
      </w:r>
      <w:r>
        <w:rPr>
          <w:w w:val="105"/>
          <w:sz w:val="18"/>
        </w:rPr>
        <w:t>Ms.</w:t>
      </w:r>
      <w:r>
        <w:rPr>
          <w:spacing w:val="-3"/>
          <w:w w:val="105"/>
          <w:sz w:val="18"/>
        </w:rPr>
        <w:t> </w:t>
      </w:r>
      <w:r>
        <w:rPr>
          <w:w w:val="105"/>
          <w:sz w:val="18"/>
        </w:rPr>
        <w:t>Bardwell,</w:t>
      </w:r>
      <w:r>
        <w:rPr>
          <w:spacing w:val="-3"/>
          <w:w w:val="105"/>
          <w:sz w:val="18"/>
        </w:rPr>
        <w:t> </w:t>
      </w:r>
      <w:r>
        <w:rPr>
          <w:w w:val="105"/>
          <w:sz w:val="18"/>
        </w:rPr>
        <w:t>Dr.</w:t>
      </w:r>
      <w:r>
        <w:rPr>
          <w:spacing w:val="-2"/>
          <w:w w:val="105"/>
          <w:sz w:val="18"/>
        </w:rPr>
        <w:t> </w:t>
      </w:r>
      <w:r>
        <w:rPr>
          <w:w w:val="105"/>
          <w:sz w:val="18"/>
        </w:rPr>
        <w:t>Chertoff,</w:t>
      </w:r>
      <w:r>
        <w:rPr>
          <w:spacing w:val="-3"/>
          <w:w w:val="105"/>
          <w:sz w:val="18"/>
        </w:rPr>
        <w:t> </w:t>
      </w:r>
      <w:r>
        <w:rPr>
          <w:w w:val="105"/>
          <w:sz w:val="18"/>
        </w:rPr>
        <w:t>Mr.</w:t>
      </w:r>
      <w:r>
        <w:rPr>
          <w:spacing w:val="-2"/>
          <w:w w:val="105"/>
          <w:sz w:val="18"/>
        </w:rPr>
        <w:t> </w:t>
      </w:r>
      <w:r>
        <w:rPr>
          <w:w w:val="105"/>
          <w:sz w:val="18"/>
        </w:rPr>
        <w:t>Kunkel,</w:t>
      </w:r>
      <w:r>
        <w:rPr>
          <w:spacing w:val="-2"/>
          <w:w w:val="105"/>
          <w:sz w:val="18"/>
        </w:rPr>
        <w:t> </w:t>
      </w:r>
      <w:r>
        <w:rPr>
          <w:w w:val="105"/>
          <w:sz w:val="18"/>
        </w:rPr>
        <w:t>and</w:t>
      </w:r>
      <w:r>
        <w:rPr>
          <w:spacing w:val="-3"/>
          <w:w w:val="105"/>
          <w:sz w:val="18"/>
        </w:rPr>
        <w:t> </w:t>
      </w:r>
      <w:r>
        <w:rPr>
          <w:w w:val="105"/>
          <w:sz w:val="18"/>
        </w:rPr>
        <w:t>Dr.</w:t>
      </w:r>
      <w:r>
        <w:rPr>
          <w:spacing w:val="-2"/>
          <w:w w:val="105"/>
          <w:sz w:val="18"/>
        </w:rPr>
        <w:t> </w:t>
      </w:r>
      <w:r>
        <w:rPr>
          <w:w w:val="105"/>
          <w:sz w:val="18"/>
        </w:rPr>
        <w:t>Naumann-</w:t>
      </w:r>
      <w:r>
        <w:rPr>
          <w:spacing w:val="-2"/>
          <w:w w:val="105"/>
          <w:sz w:val="18"/>
        </w:rPr>
        <w:t>Etienne</w:t>
      </w:r>
    </w:p>
    <w:p>
      <w:pPr>
        <w:pStyle w:val="Heading2"/>
        <w:spacing w:before="16"/>
        <w:ind w:left="0" w:right="1"/>
        <w:jc w:val="center"/>
        <w:rPr>
          <w:b w:val="0"/>
        </w:rPr>
      </w:pPr>
      <w:r>
        <w:rPr>
          <w:spacing w:val="-2"/>
        </w:rPr>
        <w:t>Meetings</w:t>
      </w:r>
      <w:r>
        <w:rPr>
          <w:spacing w:val="-4"/>
        </w:rPr>
        <w:t> </w:t>
      </w:r>
      <w:r>
        <w:rPr>
          <w:spacing w:val="-2"/>
        </w:rPr>
        <w:t>in</w:t>
      </w:r>
      <w:r>
        <w:rPr>
          <w:spacing w:val="-3"/>
        </w:rPr>
        <w:t> </w:t>
      </w:r>
      <w:r>
        <w:rPr>
          <w:spacing w:val="-2"/>
        </w:rPr>
        <w:t>Fiscal</w:t>
      </w:r>
      <w:r>
        <w:rPr>
          <w:spacing w:val="-11"/>
        </w:rPr>
        <w:t> </w:t>
      </w:r>
      <w:r>
        <w:rPr>
          <w:spacing w:val="-2"/>
        </w:rPr>
        <w:t>Year</w:t>
      </w:r>
      <w:r>
        <w:rPr>
          <w:spacing w:val="-8"/>
        </w:rPr>
        <w:t> </w:t>
      </w:r>
      <w:r>
        <w:rPr>
          <w:spacing w:val="-2"/>
        </w:rPr>
        <w:t>2022:</w:t>
      </w:r>
      <w:r>
        <w:rPr>
          <w:spacing w:val="-4"/>
        </w:rPr>
        <w:t> </w:t>
      </w:r>
      <w:r>
        <w:rPr>
          <w:b w:val="0"/>
          <w:spacing w:val="-10"/>
        </w:rPr>
        <w:t>8</w:t>
      </w:r>
    </w:p>
    <w:p>
      <w:pPr>
        <w:pStyle w:val="BodyText"/>
        <w:spacing w:before="11"/>
        <w:rPr>
          <w:sz w:val="20"/>
        </w:rPr>
      </w:pPr>
    </w:p>
    <w:p>
      <w:pPr>
        <w:spacing w:before="0"/>
        <w:ind w:left="1772" w:right="0" w:firstLine="0"/>
        <w:jc w:val="left"/>
        <w:rPr>
          <w:i/>
          <w:sz w:val="18"/>
        </w:rPr>
      </w:pPr>
      <w:r>
        <w:rPr>
          <w:i/>
          <w:w w:val="105"/>
          <w:sz w:val="18"/>
        </w:rPr>
        <w:t>Committee</w:t>
      </w:r>
      <w:r>
        <w:rPr>
          <w:i/>
          <w:spacing w:val="15"/>
          <w:w w:val="105"/>
          <w:sz w:val="18"/>
        </w:rPr>
        <w:t> </w:t>
      </w:r>
      <w:r>
        <w:rPr>
          <w:i/>
          <w:spacing w:val="-2"/>
          <w:w w:val="105"/>
          <w:sz w:val="18"/>
        </w:rPr>
        <w:t>Functions:</w:t>
      </w:r>
    </w:p>
    <w:p>
      <w:pPr>
        <w:pStyle w:val="ListParagraph"/>
        <w:numPr>
          <w:ilvl w:val="1"/>
          <w:numId w:val="20"/>
        </w:numPr>
        <w:tabs>
          <w:tab w:pos="1893" w:val="left" w:leader="none"/>
        </w:tabs>
        <w:spacing w:line="240" w:lineRule="auto" w:before="156" w:after="0"/>
        <w:ind w:left="1892" w:right="0" w:hanging="121"/>
        <w:jc w:val="left"/>
        <w:rPr>
          <w:sz w:val="18"/>
        </w:rPr>
      </w:pPr>
      <w:r>
        <w:rPr>
          <w:w w:val="105"/>
          <w:sz w:val="18"/>
        </w:rPr>
        <w:t>Oversees</w:t>
      </w:r>
      <w:r>
        <w:rPr>
          <w:spacing w:val="13"/>
          <w:w w:val="105"/>
          <w:sz w:val="18"/>
        </w:rPr>
        <w:t> </w:t>
      </w:r>
      <w:r>
        <w:rPr>
          <w:w w:val="105"/>
          <w:sz w:val="18"/>
        </w:rPr>
        <w:t>our</w:t>
      </w:r>
      <w:r>
        <w:rPr>
          <w:spacing w:val="13"/>
          <w:w w:val="105"/>
          <w:sz w:val="18"/>
        </w:rPr>
        <w:t> </w:t>
      </w:r>
      <w:r>
        <w:rPr>
          <w:w w:val="105"/>
          <w:sz w:val="18"/>
        </w:rPr>
        <w:t>accounting</w:t>
      </w:r>
      <w:r>
        <w:rPr>
          <w:spacing w:val="13"/>
          <w:w w:val="105"/>
          <w:sz w:val="18"/>
        </w:rPr>
        <w:t> </w:t>
      </w:r>
      <w:r>
        <w:rPr>
          <w:w w:val="105"/>
          <w:sz w:val="18"/>
        </w:rPr>
        <w:t>and</w:t>
      </w:r>
      <w:r>
        <w:rPr>
          <w:spacing w:val="13"/>
          <w:w w:val="105"/>
          <w:sz w:val="18"/>
        </w:rPr>
        <w:t> </w:t>
      </w:r>
      <w:r>
        <w:rPr>
          <w:w w:val="105"/>
          <w:sz w:val="18"/>
        </w:rPr>
        <w:t>financial</w:t>
      </w:r>
      <w:r>
        <w:rPr>
          <w:spacing w:val="13"/>
          <w:w w:val="105"/>
          <w:sz w:val="18"/>
        </w:rPr>
        <w:t> </w:t>
      </w:r>
      <w:r>
        <w:rPr>
          <w:w w:val="105"/>
          <w:sz w:val="18"/>
        </w:rPr>
        <w:t>reporting</w:t>
      </w:r>
      <w:r>
        <w:rPr>
          <w:spacing w:val="13"/>
          <w:w w:val="105"/>
          <w:sz w:val="18"/>
        </w:rPr>
        <w:t> </w:t>
      </w:r>
      <w:r>
        <w:rPr>
          <w:w w:val="105"/>
          <w:sz w:val="18"/>
        </w:rPr>
        <w:t>process</w:t>
      </w:r>
      <w:r>
        <w:rPr>
          <w:spacing w:val="13"/>
          <w:w w:val="105"/>
          <w:sz w:val="18"/>
        </w:rPr>
        <w:t> </w:t>
      </w:r>
      <w:r>
        <w:rPr>
          <w:w w:val="105"/>
          <w:sz w:val="18"/>
        </w:rPr>
        <w:t>and</w:t>
      </w:r>
      <w:r>
        <w:rPr>
          <w:spacing w:val="13"/>
          <w:w w:val="105"/>
          <w:sz w:val="18"/>
        </w:rPr>
        <w:t> </w:t>
      </w:r>
      <w:r>
        <w:rPr>
          <w:w w:val="105"/>
          <w:sz w:val="18"/>
        </w:rPr>
        <w:t>audits</w:t>
      </w:r>
      <w:r>
        <w:rPr>
          <w:spacing w:val="13"/>
          <w:w w:val="105"/>
          <w:sz w:val="18"/>
        </w:rPr>
        <w:t> </w:t>
      </w:r>
      <w:r>
        <w:rPr>
          <w:w w:val="105"/>
          <w:sz w:val="18"/>
        </w:rPr>
        <w:t>of</w:t>
      </w:r>
      <w:r>
        <w:rPr>
          <w:spacing w:val="13"/>
          <w:w w:val="105"/>
          <w:sz w:val="18"/>
        </w:rPr>
        <w:t> </w:t>
      </w:r>
      <w:r>
        <w:rPr>
          <w:w w:val="105"/>
          <w:sz w:val="18"/>
        </w:rPr>
        <w:t>financial</w:t>
      </w:r>
      <w:r>
        <w:rPr>
          <w:spacing w:val="13"/>
          <w:w w:val="105"/>
          <w:sz w:val="18"/>
        </w:rPr>
        <w:t> </w:t>
      </w:r>
      <w:r>
        <w:rPr>
          <w:spacing w:val="-2"/>
          <w:w w:val="105"/>
          <w:sz w:val="18"/>
        </w:rPr>
        <w:t>statements.</w:t>
      </w:r>
    </w:p>
    <w:p>
      <w:pPr>
        <w:pStyle w:val="ListParagraph"/>
        <w:numPr>
          <w:ilvl w:val="1"/>
          <w:numId w:val="20"/>
        </w:numPr>
        <w:tabs>
          <w:tab w:pos="1960" w:val="left" w:leader="none"/>
        </w:tabs>
        <w:spacing w:line="259" w:lineRule="auto" w:before="129" w:after="0"/>
        <w:ind w:left="1959" w:right="1507" w:hanging="187"/>
        <w:jc w:val="left"/>
        <w:rPr>
          <w:sz w:val="18"/>
        </w:rPr>
      </w:pPr>
      <w:r>
        <w:rPr>
          <w:w w:val="105"/>
          <w:sz w:val="18"/>
        </w:rPr>
        <w:t>Assists the Board in oversight and monitoring of (i) the integrity of our financial statements, (ii) our</w:t>
      </w:r>
      <w:r>
        <w:rPr>
          <w:spacing w:val="40"/>
          <w:w w:val="105"/>
          <w:sz w:val="18"/>
        </w:rPr>
        <w:t> </w:t>
      </w:r>
      <w:r>
        <w:rPr>
          <w:w w:val="105"/>
          <w:sz w:val="18"/>
        </w:rPr>
        <w:t>compliance with legal and regulatory requirements and the effectiveness of related compliance programs, (iii) the independent registered public accounting firm’s qualifications and independence,</w:t>
      </w:r>
    </w:p>
    <w:p>
      <w:pPr>
        <w:pStyle w:val="BodyText"/>
        <w:spacing w:line="259" w:lineRule="auto"/>
        <w:ind w:left="1959" w:right="1680"/>
      </w:pPr>
      <w:r>
        <w:rPr>
          <w:w w:val="105"/>
        </w:rPr>
        <w:t>(iv)</w:t>
      </w:r>
      <w:r>
        <w:rPr>
          <w:spacing w:val="27"/>
          <w:w w:val="105"/>
        </w:rPr>
        <w:t> </w:t>
      </w:r>
      <w:r>
        <w:rPr>
          <w:w w:val="105"/>
        </w:rPr>
        <w:t>the</w:t>
      </w:r>
      <w:r>
        <w:rPr>
          <w:spacing w:val="27"/>
          <w:w w:val="105"/>
        </w:rPr>
        <w:t> </w:t>
      </w:r>
      <w:r>
        <w:rPr>
          <w:w w:val="105"/>
        </w:rPr>
        <w:t>performance</w:t>
      </w:r>
      <w:r>
        <w:rPr>
          <w:spacing w:val="27"/>
          <w:w w:val="105"/>
        </w:rPr>
        <w:t> </w:t>
      </w:r>
      <w:r>
        <w:rPr>
          <w:w w:val="105"/>
        </w:rPr>
        <w:t>of</w:t>
      </w:r>
      <w:r>
        <w:rPr>
          <w:spacing w:val="27"/>
          <w:w w:val="105"/>
        </w:rPr>
        <w:t> </w:t>
      </w:r>
      <w:r>
        <w:rPr>
          <w:w w:val="105"/>
        </w:rPr>
        <w:t>our</w:t>
      </w:r>
      <w:r>
        <w:rPr>
          <w:spacing w:val="27"/>
          <w:w w:val="105"/>
        </w:rPr>
        <w:t> </w:t>
      </w:r>
      <w:r>
        <w:rPr>
          <w:w w:val="105"/>
        </w:rPr>
        <w:t>internal</w:t>
      </w:r>
      <w:r>
        <w:rPr>
          <w:spacing w:val="27"/>
          <w:w w:val="105"/>
        </w:rPr>
        <w:t> </w:t>
      </w:r>
      <w:r>
        <w:rPr>
          <w:w w:val="105"/>
        </w:rPr>
        <w:t>audit</w:t>
      </w:r>
      <w:r>
        <w:rPr>
          <w:spacing w:val="27"/>
          <w:w w:val="105"/>
        </w:rPr>
        <w:t> </w:t>
      </w:r>
      <w:r>
        <w:rPr>
          <w:w w:val="105"/>
        </w:rPr>
        <w:t>function</w:t>
      </w:r>
      <w:r>
        <w:rPr>
          <w:spacing w:val="27"/>
          <w:w w:val="105"/>
        </w:rPr>
        <w:t> </w:t>
      </w:r>
      <w:r>
        <w:rPr>
          <w:w w:val="105"/>
        </w:rPr>
        <w:t>and</w:t>
      </w:r>
      <w:r>
        <w:rPr>
          <w:spacing w:val="27"/>
          <w:w w:val="105"/>
        </w:rPr>
        <w:t> </w:t>
      </w:r>
      <w:r>
        <w:rPr>
          <w:w w:val="105"/>
        </w:rPr>
        <w:t>of</w:t>
      </w:r>
      <w:r>
        <w:rPr>
          <w:spacing w:val="27"/>
          <w:w w:val="105"/>
        </w:rPr>
        <w:t> </w:t>
      </w:r>
      <w:r>
        <w:rPr>
          <w:w w:val="105"/>
        </w:rPr>
        <w:t>the</w:t>
      </w:r>
      <w:r>
        <w:rPr>
          <w:spacing w:val="27"/>
          <w:w w:val="105"/>
        </w:rPr>
        <w:t> </w:t>
      </w:r>
      <w:r>
        <w:rPr>
          <w:w w:val="105"/>
        </w:rPr>
        <w:t>independent</w:t>
      </w:r>
      <w:r>
        <w:rPr>
          <w:spacing w:val="27"/>
          <w:w w:val="105"/>
        </w:rPr>
        <w:t> </w:t>
      </w:r>
      <w:r>
        <w:rPr>
          <w:w w:val="105"/>
        </w:rPr>
        <w:t>registered</w:t>
      </w:r>
      <w:r>
        <w:rPr>
          <w:spacing w:val="27"/>
          <w:w w:val="105"/>
        </w:rPr>
        <w:t> </w:t>
      </w:r>
      <w:r>
        <w:rPr>
          <w:w w:val="105"/>
        </w:rPr>
        <w:t>public accounting firm and (v) the principal risk exposures we face that are related to financial statements,</w:t>
      </w:r>
      <w:r>
        <w:rPr>
          <w:spacing w:val="40"/>
          <w:w w:val="105"/>
        </w:rPr>
        <w:t> </w:t>
      </w:r>
      <w:r>
        <w:rPr>
          <w:w w:val="105"/>
        </w:rPr>
        <w:t>legal, regulatory and other similar matters, such as risks related to cybersecurity, data privacy and</w:t>
      </w:r>
      <w:r>
        <w:rPr>
          <w:spacing w:val="40"/>
          <w:w w:val="105"/>
        </w:rPr>
        <w:t> </w:t>
      </w:r>
      <w:r>
        <w:rPr>
          <w:w w:val="105"/>
        </w:rPr>
        <w:t>other risks relevant to computerized information system controls and security, as well as our related mitigation efforts, including business continuity and disaster preparedness planning.</w:t>
      </w:r>
    </w:p>
    <w:p>
      <w:pPr>
        <w:pStyle w:val="ListParagraph"/>
        <w:numPr>
          <w:ilvl w:val="1"/>
          <w:numId w:val="20"/>
        </w:numPr>
        <w:tabs>
          <w:tab w:pos="1960" w:val="left" w:leader="none"/>
        </w:tabs>
        <w:spacing w:line="240" w:lineRule="auto" w:before="113" w:after="0"/>
        <w:ind w:left="1959" w:right="0" w:hanging="188"/>
        <w:jc w:val="left"/>
        <w:rPr>
          <w:sz w:val="18"/>
        </w:rPr>
      </w:pPr>
      <w:r>
        <w:rPr>
          <w:w w:val="105"/>
          <w:sz w:val="18"/>
        </w:rPr>
        <w:t>Reviews</w:t>
      </w:r>
      <w:r>
        <w:rPr>
          <w:spacing w:val="12"/>
          <w:w w:val="105"/>
          <w:sz w:val="18"/>
        </w:rPr>
        <w:t> </w:t>
      </w:r>
      <w:r>
        <w:rPr>
          <w:w w:val="105"/>
          <w:sz w:val="18"/>
        </w:rPr>
        <w:t>and</w:t>
      </w:r>
      <w:r>
        <w:rPr>
          <w:spacing w:val="13"/>
          <w:w w:val="105"/>
          <w:sz w:val="18"/>
        </w:rPr>
        <w:t> </w:t>
      </w:r>
      <w:r>
        <w:rPr>
          <w:w w:val="105"/>
          <w:sz w:val="18"/>
        </w:rPr>
        <w:t>approves</w:t>
      </w:r>
      <w:r>
        <w:rPr>
          <w:spacing w:val="12"/>
          <w:w w:val="105"/>
          <w:sz w:val="18"/>
        </w:rPr>
        <w:t> </w:t>
      </w:r>
      <w:r>
        <w:rPr>
          <w:w w:val="105"/>
          <w:sz w:val="18"/>
        </w:rPr>
        <w:t>our</w:t>
      </w:r>
      <w:r>
        <w:rPr>
          <w:spacing w:val="13"/>
          <w:w w:val="105"/>
          <w:sz w:val="18"/>
        </w:rPr>
        <w:t> </w:t>
      </w:r>
      <w:r>
        <w:rPr>
          <w:w w:val="105"/>
          <w:sz w:val="18"/>
        </w:rPr>
        <w:t>foreign</w:t>
      </w:r>
      <w:r>
        <w:rPr>
          <w:spacing w:val="13"/>
          <w:w w:val="105"/>
          <w:sz w:val="18"/>
        </w:rPr>
        <w:t> </w:t>
      </w:r>
      <w:r>
        <w:rPr>
          <w:w w:val="105"/>
          <w:sz w:val="18"/>
        </w:rPr>
        <w:t>exchange</w:t>
      </w:r>
      <w:r>
        <w:rPr>
          <w:spacing w:val="12"/>
          <w:w w:val="105"/>
          <w:sz w:val="18"/>
        </w:rPr>
        <w:t> </w:t>
      </w:r>
      <w:r>
        <w:rPr>
          <w:w w:val="105"/>
          <w:sz w:val="18"/>
        </w:rPr>
        <w:t>exposure</w:t>
      </w:r>
      <w:r>
        <w:rPr>
          <w:spacing w:val="13"/>
          <w:w w:val="105"/>
          <w:sz w:val="18"/>
        </w:rPr>
        <w:t> </w:t>
      </w:r>
      <w:r>
        <w:rPr>
          <w:w w:val="105"/>
          <w:sz w:val="18"/>
        </w:rPr>
        <w:t>management</w:t>
      </w:r>
      <w:r>
        <w:rPr>
          <w:spacing w:val="13"/>
          <w:w w:val="105"/>
          <w:sz w:val="18"/>
        </w:rPr>
        <w:t> </w:t>
      </w:r>
      <w:r>
        <w:rPr>
          <w:spacing w:val="-2"/>
          <w:w w:val="105"/>
          <w:sz w:val="18"/>
        </w:rPr>
        <w:t>policy.</w:t>
      </w:r>
    </w:p>
    <w:p>
      <w:pPr>
        <w:pStyle w:val="ListParagraph"/>
        <w:numPr>
          <w:ilvl w:val="1"/>
          <w:numId w:val="20"/>
        </w:numPr>
        <w:tabs>
          <w:tab w:pos="1960" w:val="left" w:leader="none"/>
        </w:tabs>
        <w:spacing w:line="240" w:lineRule="auto" w:before="128" w:after="0"/>
        <w:ind w:left="1959" w:right="0" w:hanging="188"/>
        <w:jc w:val="left"/>
        <w:rPr>
          <w:sz w:val="18"/>
        </w:rPr>
      </w:pPr>
      <w:r>
        <w:rPr>
          <w:w w:val="105"/>
          <w:sz w:val="18"/>
        </w:rPr>
        <w:t>Prepares</w:t>
      </w:r>
      <w:r>
        <w:rPr>
          <w:spacing w:val="11"/>
          <w:w w:val="105"/>
          <w:sz w:val="18"/>
        </w:rPr>
        <w:t> </w:t>
      </w:r>
      <w:r>
        <w:rPr>
          <w:w w:val="105"/>
          <w:sz w:val="18"/>
        </w:rPr>
        <w:t>the</w:t>
      </w:r>
      <w:r>
        <w:rPr>
          <w:spacing w:val="-1"/>
          <w:w w:val="105"/>
          <w:sz w:val="18"/>
        </w:rPr>
        <w:t> </w:t>
      </w:r>
      <w:r>
        <w:rPr>
          <w:w w:val="105"/>
          <w:sz w:val="18"/>
        </w:rPr>
        <w:t>Audit</w:t>
      </w:r>
      <w:r>
        <w:rPr>
          <w:spacing w:val="12"/>
          <w:w w:val="105"/>
          <w:sz w:val="18"/>
        </w:rPr>
        <w:t> </w:t>
      </w:r>
      <w:r>
        <w:rPr>
          <w:w w:val="105"/>
          <w:sz w:val="18"/>
        </w:rPr>
        <w:t>Committee</w:t>
      </w:r>
      <w:r>
        <w:rPr>
          <w:spacing w:val="11"/>
          <w:w w:val="105"/>
          <w:sz w:val="18"/>
        </w:rPr>
        <w:t> </w:t>
      </w:r>
      <w:r>
        <w:rPr>
          <w:w w:val="105"/>
          <w:sz w:val="18"/>
        </w:rPr>
        <w:t>Report</w:t>
      </w:r>
      <w:r>
        <w:rPr>
          <w:spacing w:val="12"/>
          <w:w w:val="105"/>
          <w:sz w:val="18"/>
        </w:rPr>
        <w:t> </w:t>
      </w:r>
      <w:r>
        <w:rPr>
          <w:w w:val="105"/>
          <w:sz w:val="18"/>
        </w:rPr>
        <w:t>included</w:t>
      </w:r>
      <w:r>
        <w:rPr>
          <w:spacing w:val="11"/>
          <w:w w:val="105"/>
          <w:sz w:val="18"/>
        </w:rPr>
        <w:t> </w:t>
      </w:r>
      <w:r>
        <w:rPr>
          <w:w w:val="105"/>
          <w:sz w:val="18"/>
        </w:rPr>
        <w:t>in</w:t>
      </w:r>
      <w:r>
        <w:rPr>
          <w:spacing w:val="11"/>
          <w:w w:val="105"/>
          <w:sz w:val="18"/>
        </w:rPr>
        <w:t> </w:t>
      </w:r>
      <w:r>
        <w:rPr>
          <w:w w:val="105"/>
          <w:sz w:val="18"/>
        </w:rPr>
        <w:t>our</w:t>
      </w:r>
      <w:r>
        <w:rPr>
          <w:spacing w:val="12"/>
          <w:w w:val="105"/>
          <w:sz w:val="18"/>
        </w:rPr>
        <w:t> </w:t>
      </w:r>
      <w:r>
        <w:rPr>
          <w:w w:val="105"/>
          <w:sz w:val="18"/>
        </w:rPr>
        <w:t>proxy</w:t>
      </w:r>
      <w:r>
        <w:rPr>
          <w:spacing w:val="11"/>
          <w:w w:val="105"/>
          <w:sz w:val="18"/>
        </w:rPr>
        <w:t> </w:t>
      </w:r>
      <w:r>
        <w:rPr>
          <w:spacing w:val="-2"/>
          <w:w w:val="105"/>
          <w:sz w:val="18"/>
        </w:rPr>
        <w:t>statement.</w:t>
      </w:r>
    </w:p>
    <w:p>
      <w:pPr>
        <w:pStyle w:val="ListParagraph"/>
        <w:numPr>
          <w:ilvl w:val="1"/>
          <w:numId w:val="20"/>
        </w:numPr>
        <w:tabs>
          <w:tab w:pos="1960" w:val="left" w:leader="none"/>
        </w:tabs>
        <w:spacing w:line="240" w:lineRule="auto" w:before="129" w:after="0"/>
        <w:ind w:left="1959" w:right="0" w:hanging="188"/>
        <w:jc w:val="left"/>
        <w:rPr>
          <w:sz w:val="18"/>
        </w:rPr>
      </w:pPr>
      <w:r>
        <w:rPr>
          <w:w w:val="105"/>
          <w:sz w:val="18"/>
        </w:rPr>
        <w:t>Reports</w:t>
      </w:r>
      <w:r>
        <w:rPr>
          <w:spacing w:val="10"/>
          <w:w w:val="105"/>
          <w:sz w:val="18"/>
        </w:rPr>
        <w:t> </w:t>
      </w:r>
      <w:r>
        <w:rPr>
          <w:w w:val="105"/>
          <w:sz w:val="18"/>
        </w:rPr>
        <w:t>to</w:t>
      </w:r>
      <w:r>
        <w:rPr>
          <w:spacing w:val="10"/>
          <w:w w:val="105"/>
          <w:sz w:val="18"/>
        </w:rPr>
        <w:t> </w:t>
      </w:r>
      <w:r>
        <w:rPr>
          <w:w w:val="105"/>
          <w:sz w:val="18"/>
        </w:rPr>
        <w:t>the</w:t>
      </w:r>
      <w:r>
        <w:rPr>
          <w:spacing w:val="11"/>
          <w:w w:val="105"/>
          <w:sz w:val="18"/>
        </w:rPr>
        <w:t> </w:t>
      </w:r>
      <w:r>
        <w:rPr>
          <w:w w:val="105"/>
          <w:sz w:val="18"/>
        </w:rPr>
        <w:t>Board</w:t>
      </w:r>
      <w:r>
        <w:rPr>
          <w:spacing w:val="10"/>
          <w:w w:val="105"/>
          <w:sz w:val="18"/>
        </w:rPr>
        <w:t> </w:t>
      </w:r>
      <w:r>
        <w:rPr>
          <w:w w:val="105"/>
          <w:sz w:val="18"/>
        </w:rPr>
        <w:t>the</w:t>
      </w:r>
      <w:r>
        <w:rPr>
          <w:spacing w:val="10"/>
          <w:w w:val="105"/>
          <w:sz w:val="18"/>
        </w:rPr>
        <w:t> </w:t>
      </w:r>
      <w:r>
        <w:rPr>
          <w:w w:val="105"/>
          <w:sz w:val="18"/>
        </w:rPr>
        <w:t>results</w:t>
      </w:r>
      <w:r>
        <w:rPr>
          <w:spacing w:val="11"/>
          <w:w w:val="105"/>
          <w:sz w:val="18"/>
        </w:rPr>
        <w:t> </w:t>
      </w:r>
      <w:r>
        <w:rPr>
          <w:w w:val="105"/>
          <w:sz w:val="18"/>
        </w:rPr>
        <w:t>of</w:t>
      </w:r>
      <w:r>
        <w:rPr>
          <w:spacing w:val="10"/>
          <w:w w:val="105"/>
          <w:sz w:val="18"/>
        </w:rPr>
        <w:t> </w:t>
      </w:r>
      <w:r>
        <w:rPr>
          <w:w w:val="105"/>
          <w:sz w:val="18"/>
        </w:rPr>
        <w:t>its</w:t>
      </w:r>
      <w:r>
        <w:rPr>
          <w:spacing w:val="11"/>
          <w:w w:val="105"/>
          <w:sz w:val="18"/>
        </w:rPr>
        <w:t> </w:t>
      </w:r>
      <w:r>
        <w:rPr>
          <w:w w:val="105"/>
          <w:sz w:val="18"/>
        </w:rPr>
        <w:t>monitoring</w:t>
      </w:r>
      <w:r>
        <w:rPr>
          <w:spacing w:val="10"/>
          <w:w w:val="105"/>
          <w:sz w:val="18"/>
        </w:rPr>
        <w:t> </w:t>
      </w:r>
      <w:r>
        <w:rPr>
          <w:w w:val="105"/>
          <w:sz w:val="18"/>
        </w:rPr>
        <w:t>and</w:t>
      </w:r>
      <w:r>
        <w:rPr>
          <w:spacing w:val="10"/>
          <w:w w:val="105"/>
          <w:sz w:val="18"/>
        </w:rPr>
        <w:t> </w:t>
      </w:r>
      <w:r>
        <w:rPr>
          <w:spacing w:val="-2"/>
          <w:w w:val="105"/>
          <w:sz w:val="18"/>
        </w:rPr>
        <w:t>recommendations.</w:t>
      </w:r>
    </w:p>
    <w:p>
      <w:pPr>
        <w:pStyle w:val="ListParagraph"/>
        <w:numPr>
          <w:ilvl w:val="1"/>
          <w:numId w:val="20"/>
        </w:numPr>
        <w:tabs>
          <w:tab w:pos="1960" w:val="left" w:leader="none"/>
        </w:tabs>
        <w:spacing w:line="259" w:lineRule="auto" w:before="128" w:after="0"/>
        <w:ind w:left="1959" w:right="1635" w:hanging="187"/>
        <w:jc w:val="left"/>
        <w:rPr>
          <w:sz w:val="18"/>
        </w:rPr>
      </w:pPr>
      <w:r>
        <w:rPr>
          <w:w w:val="105"/>
          <w:sz w:val="18"/>
        </w:rPr>
        <w:t>Provides to the Board any additional information and materials as the committee may determine is necessary to make the Board aware of significant financial matters requiring the Board’s attention.</w:t>
      </w:r>
    </w:p>
    <w:p>
      <w:pPr>
        <w:pStyle w:val="BodyText"/>
        <w:rPr>
          <w:sz w:val="11"/>
        </w:rPr>
      </w:pPr>
    </w:p>
    <w:p>
      <w:pPr>
        <w:spacing w:before="98"/>
        <w:ind w:left="1772" w:right="0" w:firstLine="0"/>
        <w:jc w:val="left"/>
        <w:rPr>
          <w:i/>
          <w:sz w:val="18"/>
        </w:rPr>
      </w:pPr>
      <w:r>
        <w:rPr>
          <w:i/>
          <w:w w:val="105"/>
          <w:sz w:val="18"/>
        </w:rPr>
        <w:t>Member</w:t>
      </w:r>
      <w:r>
        <w:rPr>
          <w:i/>
          <w:spacing w:val="9"/>
          <w:w w:val="105"/>
          <w:sz w:val="18"/>
        </w:rPr>
        <w:t> </w:t>
      </w:r>
      <w:r>
        <w:rPr>
          <w:i/>
          <w:spacing w:val="-2"/>
          <w:w w:val="105"/>
          <w:sz w:val="18"/>
        </w:rPr>
        <w:t>Qualifications</w:t>
      </w:r>
    </w:p>
    <w:p>
      <w:pPr>
        <w:pStyle w:val="BodyText"/>
        <w:spacing w:line="259" w:lineRule="auto" w:before="170"/>
        <w:ind w:left="1400" w:right="1457" w:firstLine="372"/>
      </w:pPr>
      <w:r>
        <w:rPr>
          <w:w w:val="105"/>
        </w:rPr>
        <w:t>Each member of the Audit Committee meets the additional requirements regarding independence for</w:t>
      </w:r>
      <w:r>
        <w:rPr>
          <w:spacing w:val="40"/>
          <w:w w:val="105"/>
        </w:rPr>
        <w:t> </w:t>
      </w:r>
      <w:r>
        <w:rPr>
          <w:w w:val="105"/>
        </w:rPr>
        <w:t>Audit</w:t>
      </w:r>
      <w:r>
        <w:rPr>
          <w:spacing w:val="24"/>
          <w:w w:val="105"/>
        </w:rPr>
        <w:t> </w:t>
      </w:r>
      <w:r>
        <w:rPr>
          <w:w w:val="105"/>
        </w:rPr>
        <w:t>Committee</w:t>
      </w:r>
      <w:r>
        <w:rPr>
          <w:spacing w:val="24"/>
          <w:w w:val="105"/>
        </w:rPr>
        <w:t> </w:t>
      </w:r>
      <w:r>
        <w:rPr>
          <w:w w:val="105"/>
        </w:rPr>
        <w:t>members</w:t>
      </w:r>
      <w:r>
        <w:rPr>
          <w:spacing w:val="24"/>
          <w:w w:val="105"/>
        </w:rPr>
        <w:t> </w:t>
      </w:r>
      <w:r>
        <w:rPr>
          <w:w w:val="105"/>
        </w:rPr>
        <w:t>under</w:t>
      </w:r>
      <w:r>
        <w:rPr>
          <w:spacing w:val="24"/>
          <w:w w:val="105"/>
        </w:rPr>
        <w:t> </w:t>
      </w:r>
      <w:r>
        <w:rPr>
          <w:w w:val="105"/>
        </w:rPr>
        <w:t>Nasdaq</w:t>
      </w:r>
      <w:r>
        <w:rPr>
          <w:spacing w:val="24"/>
          <w:w w:val="105"/>
        </w:rPr>
        <w:t> </w:t>
      </w:r>
      <w:r>
        <w:rPr>
          <w:w w:val="105"/>
        </w:rPr>
        <w:t>listing</w:t>
      </w:r>
      <w:r>
        <w:rPr>
          <w:spacing w:val="24"/>
          <w:w w:val="105"/>
        </w:rPr>
        <w:t> </w:t>
      </w:r>
      <w:r>
        <w:rPr>
          <w:w w:val="105"/>
        </w:rPr>
        <w:t>requirements.</w:t>
      </w:r>
      <w:r>
        <w:rPr>
          <w:spacing w:val="19"/>
          <w:w w:val="105"/>
        </w:rPr>
        <w:t> </w:t>
      </w:r>
      <w:r>
        <w:rPr>
          <w:w w:val="105"/>
        </w:rPr>
        <w:t>The</w:t>
      </w:r>
      <w:r>
        <w:rPr>
          <w:spacing w:val="24"/>
          <w:w w:val="105"/>
        </w:rPr>
        <w:t> </w:t>
      </w:r>
      <w:r>
        <w:rPr>
          <w:w w:val="105"/>
        </w:rPr>
        <w:t>Board</w:t>
      </w:r>
      <w:r>
        <w:rPr>
          <w:spacing w:val="24"/>
          <w:w w:val="105"/>
        </w:rPr>
        <w:t> </w:t>
      </w:r>
      <w:r>
        <w:rPr>
          <w:w w:val="105"/>
        </w:rPr>
        <w:t>has</w:t>
      </w:r>
      <w:r>
        <w:rPr>
          <w:spacing w:val="24"/>
          <w:w w:val="105"/>
        </w:rPr>
        <w:t> </w:t>
      </w:r>
      <w:r>
        <w:rPr>
          <w:w w:val="105"/>
        </w:rPr>
        <w:t>determined</w:t>
      </w:r>
      <w:r>
        <w:rPr>
          <w:spacing w:val="24"/>
          <w:w w:val="105"/>
        </w:rPr>
        <w:t> </w:t>
      </w:r>
      <w:r>
        <w:rPr>
          <w:w w:val="105"/>
        </w:rPr>
        <w:t>that</w:t>
      </w:r>
      <w:r>
        <w:rPr>
          <w:spacing w:val="24"/>
          <w:w w:val="105"/>
        </w:rPr>
        <w:t> </w:t>
      </w:r>
      <w:r>
        <w:rPr>
          <w:w w:val="105"/>
        </w:rPr>
        <w:t>Ms.</w:t>
      </w:r>
      <w:r>
        <w:rPr>
          <w:spacing w:val="19"/>
          <w:w w:val="105"/>
        </w:rPr>
        <w:t> </w:t>
      </w:r>
      <w:r>
        <w:rPr>
          <w:w w:val="105"/>
        </w:rPr>
        <w:t>Tsingos</w:t>
      </w:r>
      <w:r>
        <w:rPr>
          <w:w w:val="105"/>
        </w:rPr>
        <w:t> is an “audit committee financial expert” as defined in Item 407(d)(5) of Regulation S-K under the Exchange</w:t>
      </w:r>
      <w:r>
        <w:rPr>
          <w:spacing w:val="40"/>
          <w:w w:val="105"/>
        </w:rPr>
        <w:t> </w:t>
      </w:r>
      <w:r>
        <w:rPr>
          <w:w w:val="105"/>
        </w:rPr>
        <w:t>Act</w:t>
      </w:r>
      <w:r>
        <w:rPr>
          <w:spacing w:val="24"/>
          <w:w w:val="105"/>
        </w:rPr>
        <w:t> </w:t>
      </w:r>
      <w:r>
        <w:rPr>
          <w:w w:val="105"/>
        </w:rPr>
        <w:t>based</w:t>
      </w:r>
      <w:r>
        <w:rPr>
          <w:spacing w:val="24"/>
          <w:w w:val="105"/>
        </w:rPr>
        <w:t> </w:t>
      </w:r>
      <w:r>
        <w:rPr>
          <w:w w:val="105"/>
        </w:rPr>
        <w:t>upon</w:t>
      </w:r>
      <w:r>
        <w:rPr>
          <w:spacing w:val="24"/>
          <w:w w:val="105"/>
        </w:rPr>
        <w:t> </w:t>
      </w:r>
      <w:r>
        <w:rPr>
          <w:w w:val="105"/>
        </w:rPr>
        <w:t>her</w:t>
      </w:r>
      <w:r>
        <w:rPr>
          <w:spacing w:val="24"/>
          <w:w w:val="105"/>
        </w:rPr>
        <w:t> </w:t>
      </w:r>
      <w:r>
        <w:rPr>
          <w:w w:val="105"/>
        </w:rPr>
        <w:t>experience</w:t>
      </w:r>
      <w:r>
        <w:rPr>
          <w:spacing w:val="24"/>
          <w:w w:val="105"/>
        </w:rPr>
        <w:t> </w:t>
      </w:r>
      <w:r>
        <w:rPr>
          <w:w w:val="105"/>
        </w:rPr>
        <w:t>as</w:t>
      </w:r>
      <w:r>
        <w:rPr>
          <w:spacing w:val="24"/>
          <w:w w:val="105"/>
        </w:rPr>
        <w:t> </w:t>
      </w:r>
      <w:r>
        <w:rPr>
          <w:w w:val="105"/>
        </w:rPr>
        <w:t>the</w:t>
      </w:r>
      <w:r>
        <w:rPr>
          <w:spacing w:val="24"/>
          <w:w w:val="105"/>
        </w:rPr>
        <w:t> </w:t>
      </w:r>
      <w:r>
        <w:rPr>
          <w:w w:val="105"/>
        </w:rPr>
        <w:t>chief</w:t>
      </w:r>
      <w:r>
        <w:rPr>
          <w:spacing w:val="24"/>
          <w:w w:val="105"/>
        </w:rPr>
        <w:t> </w:t>
      </w:r>
      <w:r>
        <w:rPr>
          <w:w w:val="105"/>
        </w:rPr>
        <w:t>financial</w:t>
      </w:r>
      <w:r>
        <w:rPr>
          <w:spacing w:val="24"/>
          <w:w w:val="105"/>
        </w:rPr>
        <w:t> </w:t>
      </w:r>
      <w:r>
        <w:rPr>
          <w:w w:val="105"/>
        </w:rPr>
        <w:t>officer</w:t>
      </w:r>
      <w:r>
        <w:rPr>
          <w:spacing w:val="24"/>
          <w:w w:val="105"/>
        </w:rPr>
        <w:t> </w:t>
      </w:r>
      <w:r>
        <w:rPr>
          <w:w w:val="105"/>
        </w:rPr>
        <w:t>of</w:t>
      </w:r>
      <w:r>
        <w:rPr>
          <w:spacing w:val="24"/>
          <w:w w:val="105"/>
        </w:rPr>
        <w:t> </w:t>
      </w:r>
      <w:r>
        <w:rPr>
          <w:w w:val="105"/>
        </w:rPr>
        <w:t>Bio-Rad</w:t>
      </w:r>
      <w:r>
        <w:rPr>
          <w:spacing w:val="24"/>
          <w:w w:val="105"/>
        </w:rPr>
        <w:t> </w:t>
      </w:r>
      <w:r>
        <w:rPr>
          <w:w w:val="105"/>
        </w:rPr>
        <w:t>Laboratories</w:t>
      </w:r>
      <w:r>
        <w:rPr>
          <w:spacing w:val="24"/>
          <w:w w:val="105"/>
        </w:rPr>
        <w:t> </w:t>
      </w:r>
      <w:r>
        <w:rPr>
          <w:w w:val="105"/>
        </w:rPr>
        <w:t>between</w:t>
      </w:r>
      <w:r>
        <w:rPr>
          <w:spacing w:val="24"/>
          <w:w w:val="105"/>
        </w:rPr>
        <w:t> </w:t>
      </w:r>
      <w:r>
        <w:rPr>
          <w:w w:val="105"/>
        </w:rPr>
        <w:t>2002</w:t>
      </w:r>
      <w:r>
        <w:rPr>
          <w:spacing w:val="24"/>
          <w:w w:val="105"/>
        </w:rPr>
        <w:t> </w:t>
      </w:r>
      <w:r>
        <w:rPr>
          <w:w w:val="105"/>
        </w:rPr>
        <w:t>and 2019 and as the chief financial officer of Attest Systems, Inc. between 2000 and 2002. The Board has also determined that Ms. Bardwell is an “audit committee financial expert” as defined in Item 407(d)(5) of</w:t>
      </w:r>
      <w:r>
        <w:rPr>
          <w:spacing w:val="40"/>
          <w:w w:val="105"/>
        </w:rPr>
        <w:t> </w:t>
      </w:r>
      <w:r>
        <w:rPr>
          <w:w w:val="105"/>
        </w:rPr>
        <w:t>Regulation S-K under the Exchange Act based upon her experience as a Certified Public Accountant and serving</w:t>
      </w:r>
      <w:r>
        <w:rPr>
          <w:spacing w:val="24"/>
          <w:w w:val="105"/>
        </w:rPr>
        <w:t> </w:t>
      </w:r>
      <w:r>
        <w:rPr>
          <w:w w:val="105"/>
        </w:rPr>
        <w:t>as</w:t>
      </w:r>
      <w:r>
        <w:rPr>
          <w:spacing w:val="24"/>
          <w:w w:val="105"/>
        </w:rPr>
        <w:t> </w:t>
      </w:r>
      <w:r>
        <w:rPr>
          <w:w w:val="105"/>
        </w:rPr>
        <w:t>chief</w:t>
      </w:r>
      <w:r>
        <w:rPr>
          <w:spacing w:val="24"/>
          <w:w w:val="105"/>
        </w:rPr>
        <w:t> </w:t>
      </w:r>
      <w:r>
        <w:rPr>
          <w:w w:val="105"/>
        </w:rPr>
        <w:t>audit</w:t>
      </w:r>
      <w:r>
        <w:rPr>
          <w:spacing w:val="24"/>
          <w:w w:val="105"/>
        </w:rPr>
        <w:t> </w:t>
      </w:r>
      <w:r>
        <w:rPr>
          <w:w w:val="105"/>
        </w:rPr>
        <w:t>executive</w:t>
      </w:r>
      <w:r>
        <w:rPr>
          <w:spacing w:val="24"/>
          <w:w w:val="105"/>
        </w:rPr>
        <w:t> </w:t>
      </w:r>
      <w:r>
        <w:rPr>
          <w:w w:val="105"/>
        </w:rPr>
        <w:t>of</w:t>
      </w:r>
      <w:r>
        <w:rPr>
          <w:spacing w:val="24"/>
          <w:w w:val="105"/>
        </w:rPr>
        <w:t> </w:t>
      </w:r>
      <w:r>
        <w:rPr>
          <w:w w:val="105"/>
        </w:rPr>
        <w:t>and</w:t>
      </w:r>
      <w:r>
        <w:rPr>
          <w:spacing w:val="24"/>
          <w:w w:val="105"/>
        </w:rPr>
        <w:t> </w:t>
      </w:r>
      <w:r>
        <w:rPr>
          <w:w w:val="105"/>
        </w:rPr>
        <w:t>leading</w:t>
      </w:r>
      <w:r>
        <w:rPr>
          <w:spacing w:val="24"/>
          <w:w w:val="105"/>
        </w:rPr>
        <w:t> </w:t>
      </w:r>
      <w:r>
        <w:rPr>
          <w:w w:val="105"/>
        </w:rPr>
        <w:t>the</w:t>
      </w:r>
      <w:r>
        <w:rPr>
          <w:spacing w:val="24"/>
          <w:w w:val="105"/>
        </w:rPr>
        <w:t> </w:t>
      </w:r>
      <w:r>
        <w:rPr>
          <w:w w:val="105"/>
        </w:rPr>
        <w:t>internal</w:t>
      </w:r>
      <w:r>
        <w:rPr>
          <w:spacing w:val="24"/>
          <w:w w:val="105"/>
        </w:rPr>
        <w:t> </w:t>
      </w:r>
      <w:r>
        <w:rPr>
          <w:w w:val="105"/>
        </w:rPr>
        <w:t>audit</w:t>
      </w:r>
      <w:r>
        <w:rPr>
          <w:spacing w:val="24"/>
          <w:w w:val="105"/>
        </w:rPr>
        <w:t> </w:t>
      </w:r>
      <w:r>
        <w:rPr>
          <w:w w:val="105"/>
        </w:rPr>
        <w:t>group</w:t>
      </w:r>
      <w:r>
        <w:rPr>
          <w:spacing w:val="24"/>
          <w:w w:val="105"/>
        </w:rPr>
        <w:t> </w:t>
      </w:r>
      <w:r>
        <w:rPr>
          <w:w w:val="105"/>
        </w:rPr>
        <w:t>at</w:t>
      </w:r>
      <w:r>
        <w:rPr>
          <w:spacing w:val="24"/>
          <w:w w:val="105"/>
        </w:rPr>
        <w:t> </w:t>
      </w:r>
      <w:r>
        <w:rPr>
          <w:w w:val="105"/>
        </w:rPr>
        <w:t>STERIS</w:t>
      </w:r>
      <w:r>
        <w:rPr>
          <w:spacing w:val="24"/>
          <w:w w:val="105"/>
        </w:rPr>
        <w:t> </w:t>
      </w:r>
      <w:r>
        <w:rPr>
          <w:w w:val="105"/>
        </w:rPr>
        <w:t>Corporation</w:t>
      </w:r>
      <w:r>
        <w:rPr>
          <w:spacing w:val="24"/>
          <w:w w:val="105"/>
        </w:rPr>
        <w:t> </w:t>
      </w:r>
      <w:r>
        <w:rPr>
          <w:w w:val="105"/>
        </w:rPr>
        <w:t>from</w:t>
      </w:r>
    </w:p>
    <w:p>
      <w:pPr>
        <w:pStyle w:val="BodyText"/>
        <w:spacing w:before="1"/>
        <w:ind w:left="1400"/>
      </w:pPr>
      <w:r>
        <w:rPr>
          <w:w w:val="105"/>
        </w:rPr>
        <w:t>March</w:t>
      </w:r>
      <w:r>
        <w:rPr>
          <w:spacing w:val="9"/>
          <w:w w:val="105"/>
        </w:rPr>
        <w:t> </w:t>
      </w:r>
      <w:r>
        <w:rPr>
          <w:w w:val="105"/>
        </w:rPr>
        <w:t>2008</w:t>
      </w:r>
      <w:r>
        <w:rPr>
          <w:spacing w:val="9"/>
          <w:w w:val="105"/>
        </w:rPr>
        <w:t> </w:t>
      </w:r>
      <w:r>
        <w:rPr>
          <w:w w:val="105"/>
        </w:rPr>
        <w:t>to</w:t>
      </w:r>
      <w:r>
        <w:rPr>
          <w:spacing w:val="10"/>
          <w:w w:val="105"/>
        </w:rPr>
        <w:t> </w:t>
      </w:r>
      <w:r>
        <w:rPr>
          <w:w w:val="105"/>
        </w:rPr>
        <w:t>November</w:t>
      </w:r>
      <w:r>
        <w:rPr>
          <w:spacing w:val="9"/>
          <w:w w:val="105"/>
        </w:rPr>
        <w:t> </w:t>
      </w:r>
      <w:r>
        <w:rPr>
          <w:spacing w:val="-2"/>
          <w:w w:val="105"/>
        </w:rPr>
        <w:t>2019.</w:t>
      </w:r>
    </w:p>
    <w:p>
      <w:pPr>
        <w:spacing w:after="0"/>
        <w:sectPr>
          <w:headerReference w:type="default" r:id="rId77"/>
          <w:footerReference w:type="default" r:id="rId78"/>
          <w:pgSz w:w="12240" w:h="15840"/>
          <w:pgMar w:header="529" w:footer="2015" w:top="720" w:bottom="2200" w:left="480" w:right="460"/>
        </w:sectPr>
      </w:pPr>
    </w:p>
    <w:p>
      <w:pPr>
        <w:pStyle w:val="BodyText"/>
        <w:rPr>
          <w:sz w:val="20"/>
        </w:rPr>
      </w:pPr>
    </w:p>
    <w:p>
      <w:pPr>
        <w:pStyle w:val="BodyText"/>
        <w:rPr>
          <w:sz w:val="20"/>
        </w:rPr>
      </w:pPr>
    </w:p>
    <w:p>
      <w:pPr>
        <w:pStyle w:val="BodyText"/>
        <w:spacing w:before="2"/>
        <w:rPr>
          <w:sz w:val="27"/>
        </w:rPr>
      </w:pPr>
    </w:p>
    <w:p>
      <w:pPr>
        <w:pStyle w:val="Heading2"/>
        <w:spacing w:line="259" w:lineRule="auto" w:before="98"/>
        <w:ind w:left="3345" w:right="3340"/>
        <w:jc w:val="center"/>
        <w:rPr>
          <w:b w:val="0"/>
        </w:rPr>
      </w:pPr>
      <w:r>
        <w:rPr>
          <w:u w:val="single"/>
        </w:rPr>
        <w:t>Com</w:t>
      </w:r>
      <w:r>
        <w:rPr/>
        <w:t>p</w:t>
      </w:r>
      <w:r>
        <w:rPr>
          <w:u w:val="single"/>
        </w:rPr>
        <w:t>ensation</w:t>
      </w:r>
      <w:r>
        <w:rPr>
          <w:spacing w:val="-12"/>
          <w:u w:val="single"/>
        </w:rPr>
        <w:t> </w:t>
      </w:r>
      <w:r>
        <w:rPr>
          <w:u w:val="single"/>
        </w:rPr>
        <w:t>and</w:t>
      </w:r>
      <w:r>
        <w:rPr>
          <w:spacing w:val="-11"/>
          <w:u w:val="single"/>
        </w:rPr>
        <w:t> </w:t>
      </w:r>
      <w:r>
        <w:rPr>
          <w:u w:val="single"/>
        </w:rPr>
        <w:t>Human</w:t>
      </w:r>
      <w:r>
        <w:rPr>
          <w:spacing w:val="-11"/>
          <w:u w:val="single"/>
        </w:rPr>
        <w:t> </w:t>
      </w:r>
      <w:r>
        <w:rPr>
          <w:u w:val="single"/>
        </w:rPr>
        <w:t>Capital</w:t>
      </w:r>
      <w:r>
        <w:rPr>
          <w:spacing w:val="-11"/>
          <w:u w:val="single"/>
        </w:rPr>
        <w:t> </w:t>
      </w:r>
      <w:r>
        <w:rPr>
          <w:u w:val="single"/>
        </w:rPr>
        <w:t>Management</w:t>
      </w:r>
      <w:r>
        <w:rPr>
          <w:spacing w:val="-12"/>
          <w:u w:val="single"/>
        </w:rPr>
        <w:t> </w:t>
      </w:r>
      <w:r>
        <w:rPr>
          <w:u w:val="single"/>
        </w:rPr>
        <w:t>Committee</w:t>
      </w:r>
      <w:r>
        <w:rPr/>
        <w:t> </w:t>
      </w:r>
      <w:r>
        <w:rPr>
          <w:w w:val="105"/>
        </w:rPr>
        <w:t>Chair: </w:t>
      </w:r>
      <w:r>
        <w:rPr>
          <w:b w:val="0"/>
          <w:w w:val="105"/>
        </w:rPr>
        <w:t>Mr. Rosebrough</w:t>
      </w:r>
    </w:p>
    <w:p>
      <w:pPr>
        <w:spacing w:before="1"/>
        <w:ind w:left="0" w:right="1" w:firstLine="0"/>
        <w:jc w:val="center"/>
        <w:rPr>
          <w:sz w:val="18"/>
        </w:rPr>
      </w:pPr>
      <w:r>
        <w:rPr>
          <w:b/>
          <w:w w:val="105"/>
          <w:sz w:val="18"/>
        </w:rPr>
        <w:t>Additional</w:t>
      </w:r>
      <w:r>
        <w:rPr>
          <w:b/>
          <w:spacing w:val="-12"/>
          <w:w w:val="105"/>
          <w:sz w:val="18"/>
        </w:rPr>
        <w:t> </w:t>
      </w:r>
      <w:r>
        <w:rPr>
          <w:b/>
          <w:w w:val="105"/>
          <w:sz w:val="18"/>
        </w:rPr>
        <w:t>Members:</w:t>
      </w:r>
      <w:r>
        <w:rPr>
          <w:b/>
          <w:spacing w:val="-12"/>
          <w:w w:val="105"/>
          <w:sz w:val="18"/>
        </w:rPr>
        <w:t> </w:t>
      </w:r>
      <w:r>
        <w:rPr>
          <w:w w:val="105"/>
          <w:sz w:val="18"/>
        </w:rPr>
        <w:t>Ms.</w:t>
      </w:r>
      <w:r>
        <w:rPr>
          <w:spacing w:val="-3"/>
          <w:w w:val="105"/>
          <w:sz w:val="18"/>
        </w:rPr>
        <w:t> </w:t>
      </w:r>
      <w:r>
        <w:rPr>
          <w:w w:val="105"/>
          <w:sz w:val="18"/>
        </w:rPr>
        <w:t>Bardwell,</w:t>
      </w:r>
      <w:r>
        <w:rPr>
          <w:spacing w:val="-2"/>
          <w:w w:val="105"/>
          <w:sz w:val="18"/>
        </w:rPr>
        <w:t> </w:t>
      </w:r>
      <w:r>
        <w:rPr>
          <w:w w:val="105"/>
          <w:sz w:val="18"/>
        </w:rPr>
        <w:t>Mr.</w:t>
      </w:r>
      <w:r>
        <w:rPr>
          <w:spacing w:val="-3"/>
          <w:w w:val="105"/>
          <w:sz w:val="18"/>
        </w:rPr>
        <w:t> </w:t>
      </w:r>
      <w:r>
        <w:rPr>
          <w:w w:val="105"/>
          <w:sz w:val="18"/>
        </w:rPr>
        <w:t>Guertin,</w:t>
      </w:r>
      <w:r>
        <w:rPr>
          <w:spacing w:val="-2"/>
          <w:w w:val="105"/>
          <w:sz w:val="18"/>
        </w:rPr>
        <w:t> </w:t>
      </w:r>
      <w:r>
        <w:rPr>
          <w:w w:val="105"/>
          <w:sz w:val="18"/>
        </w:rPr>
        <w:t>Mr.</w:t>
      </w:r>
      <w:r>
        <w:rPr>
          <w:spacing w:val="-3"/>
          <w:w w:val="105"/>
          <w:sz w:val="18"/>
        </w:rPr>
        <w:t> </w:t>
      </w:r>
      <w:r>
        <w:rPr>
          <w:w w:val="105"/>
          <w:sz w:val="18"/>
        </w:rPr>
        <w:t>Kunkel,</w:t>
      </w:r>
      <w:r>
        <w:rPr>
          <w:spacing w:val="-2"/>
          <w:w w:val="105"/>
          <w:sz w:val="18"/>
        </w:rPr>
        <w:t> </w:t>
      </w:r>
      <w:r>
        <w:rPr>
          <w:w w:val="105"/>
          <w:sz w:val="18"/>
        </w:rPr>
        <w:t>and</w:t>
      </w:r>
      <w:r>
        <w:rPr>
          <w:spacing w:val="-2"/>
          <w:w w:val="105"/>
          <w:sz w:val="18"/>
        </w:rPr>
        <w:t> </w:t>
      </w:r>
      <w:r>
        <w:rPr>
          <w:w w:val="105"/>
          <w:sz w:val="18"/>
        </w:rPr>
        <w:t>Dr.</w:t>
      </w:r>
      <w:r>
        <w:rPr>
          <w:spacing w:val="-3"/>
          <w:w w:val="105"/>
          <w:sz w:val="18"/>
        </w:rPr>
        <w:t> </w:t>
      </w:r>
      <w:r>
        <w:rPr>
          <w:w w:val="105"/>
          <w:sz w:val="18"/>
        </w:rPr>
        <w:t>Naumann-</w:t>
      </w:r>
      <w:r>
        <w:rPr>
          <w:spacing w:val="-2"/>
          <w:w w:val="105"/>
          <w:sz w:val="18"/>
        </w:rPr>
        <w:t>Etienne</w:t>
      </w:r>
    </w:p>
    <w:p>
      <w:pPr>
        <w:pStyle w:val="Heading2"/>
        <w:spacing w:before="16"/>
        <w:ind w:left="0" w:right="1"/>
        <w:jc w:val="center"/>
        <w:rPr>
          <w:b w:val="0"/>
        </w:rPr>
      </w:pPr>
      <w:r>
        <w:rPr>
          <w:spacing w:val="-2"/>
        </w:rPr>
        <w:t>Meetings</w:t>
      </w:r>
      <w:r>
        <w:rPr>
          <w:spacing w:val="-4"/>
        </w:rPr>
        <w:t> </w:t>
      </w:r>
      <w:r>
        <w:rPr>
          <w:spacing w:val="-2"/>
        </w:rPr>
        <w:t>in</w:t>
      </w:r>
      <w:r>
        <w:rPr>
          <w:spacing w:val="-3"/>
        </w:rPr>
        <w:t> </w:t>
      </w:r>
      <w:r>
        <w:rPr>
          <w:spacing w:val="-2"/>
        </w:rPr>
        <w:t>Fiscal</w:t>
      </w:r>
      <w:r>
        <w:rPr>
          <w:spacing w:val="-11"/>
        </w:rPr>
        <w:t> </w:t>
      </w:r>
      <w:r>
        <w:rPr>
          <w:spacing w:val="-2"/>
        </w:rPr>
        <w:t>Year</w:t>
      </w:r>
      <w:r>
        <w:rPr>
          <w:spacing w:val="-8"/>
        </w:rPr>
        <w:t> </w:t>
      </w:r>
      <w:r>
        <w:rPr>
          <w:spacing w:val="-2"/>
        </w:rPr>
        <w:t>2022:</w:t>
      </w:r>
      <w:r>
        <w:rPr>
          <w:spacing w:val="-4"/>
        </w:rPr>
        <w:t> </w:t>
      </w:r>
      <w:r>
        <w:rPr>
          <w:b w:val="0"/>
          <w:spacing w:val="-10"/>
        </w:rPr>
        <w:t>5</w:t>
      </w:r>
    </w:p>
    <w:p>
      <w:pPr>
        <w:pStyle w:val="BodyText"/>
        <w:spacing w:before="11"/>
        <w:rPr>
          <w:sz w:val="20"/>
        </w:rPr>
      </w:pPr>
    </w:p>
    <w:p>
      <w:pPr>
        <w:spacing w:before="0"/>
        <w:ind w:left="1772" w:right="0" w:firstLine="0"/>
        <w:jc w:val="left"/>
        <w:rPr>
          <w:i/>
          <w:sz w:val="18"/>
        </w:rPr>
      </w:pPr>
      <w:r>
        <w:rPr>
          <w:i/>
          <w:w w:val="105"/>
          <w:sz w:val="18"/>
        </w:rPr>
        <w:t>Committee</w:t>
      </w:r>
      <w:r>
        <w:rPr>
          <w:i/>
          <w:spacing w:val="15"/>
          <w:w w:val="105"/>
          <w:sz w:val="18"/>
        </w:rPr>
        <w:t> </w:t>
      </w:r>
      <w:r>
        <w:rPr>
          <w:i/>
          <w:spacing w:val="-2"/>
          <w:w w:val="105"/>
          <w:sz w:val="18"/>
        </w:rPr>
        <w:t>Functions:</w:t>
      </w:r>
    </w:p>
    <w:p>
      <w:pPr>
        <w:pStyle w:val="ListParagraph"/>
        <w:numPr>
          <w:ilvl w:val="1"/>
          <w:numId w:val="20"/>
        </w:numPr>
        <w:tabs>
          <w:tab w:pos="1960" w:val="left" w:leader="none"/>
        </w:tabs>
        <w:spacing w:line="240" w:lineRule="auto" w:before="142" w:after="0"/>
        <w:ind w:left="1959" w:right="0" w:hanging="188"/>
        <w:jc w:val="left"/>
        <w:rPr>
          <w:sz w:val="18"/>
        </w:rPr>
      </w:pPr>
      <w:r>
        <w:rPr>
          <w:w w:val="105"/>
          <w:sz w:val="18"/>
        </w:rPr>
        <w:t>Discharges</w:t>
      </w:r>
      <w:r>
        <w:rPr>
          <w:spacing w:val="13"/>
          <w:w w:val="105"/>
          <w:sz w:val="18"/>
        </w:rPr>
        <w:t> </w:t>
      </w:r>
      <w:r>
        <w:rPr>
          <w:w w:val="105"/>
          <w:sz w:val="18"/>
        </w:rPr>
        <w:t>the</w:t>
      </w:r>
      <w:r>
        <w:rPr>
          <w:spacing w:val="13"/>
          <w:w w:val="105"/>
          <w:sz w:val="18"/>
        </w:rPr>
        <w:t> </w:t>
      </w:r>
      <w:r>
        <w:rPr>
          <w:w w:val="105"/>
          <w:sz w:val="18"/>
        </w:rPr>
        <w:t>Board’s</w:t>
      </w:r>
      <w:r>
        <w:rPr>
          <w:spacing w:val="13"/>
          <w:w w:val="105"/>
          <w:sz w:val="18"/>
        </w:rPr>
        <w:t> </w:t>
      </w:r>
      <w:r>
        <w:rPr>
          <w:w w:val="105"/>
          <w:sz w:val="18"/>
        </w:rPr>
        <w:t>responsibilities</w:t>
      </w:r>
      <w:r>
        <w:rPr>
          <w:spacing w:val="13"/>
          <w:w w:val="105"/>
          <w:sz w:val="18"/>
        </w:rPr>
        <w:t> </w:t>
      </w:r>
      <w:r>
        <w:rPr>
          <w:w w:val="105"/>
          <w:sz w:val="18"/>
        </w:rPr>
        <w:t>relating</w:t>
      </w:r>
      <w:r>
        <w:rPr>
          <w:spacing w:val="13"/>
          <w:w w:val="105"/>
          <w:sz w:val="18"/>
        </w:rPr>
        <w:t> </w:t>
      </w:r>
      <w:r>
        <w:rPr>
          <w:w w:val="105"/>
          <w:sz w:val="18"/>
        </w:rPr>
        <w:t>to</w:t>
      </w:r>
      <w:r>
        <w:rPr>
          <w:spacing w:val="13"/>
          <w:w w:val="105"/>
          <w:sz w:val="18"/>
        </w:rPr>
        <w:t> </w:t>
      </w:r>
      <w:r>
        <w:rPr>
          <w:w w:val="105"/>
          <w:sz w:val="18"/>
        </w:rPr>
        <w:t>compensation</w:t>
      </w:r>
      <w:r>
        <w:rPr>
          <w:spacing w:val="14"/>
          <w:w w:val="105"/>
          <w:sz w:val="18"/>
        </w:rPr>
        <w:t> </w:t>
      </w:r>
      <w:r>
        <w:rPr>
          <w:w w:val="105"/>
          <w:sz w:val="18"/>
        </w:rPr>
        <w:t>of</w:t>
      </w:r>
      <w:r>
        <w:rPr>
          <w:spacing w:val="13"/>
          <w:w w:val="105"/>
          <w:sz w:val="18"/>
        </w:rPr>
        <w:t> </w:t>
      </w:r>
      <w:r>
        <w:rPr>
          <w:w w:val="105"/>
          <w:sz w:val="18"/>
        </w:rPr>
        <w:t>our</w:t>
      </w:r>
      <w:r>
        <w:rPr>
          <w:spacing w:val="13"/>
          <w:w w:val="105"/>
          <w:sz w:val="18"/>
        </w:rPr>
        <w:t> </w:t>
      </w:r>
      <w:r>
        <w:rPr>
          <w:w w:val="105"/>
          <w:sz w:val="18"/>
        </w:rPr>
        <w:t>executive</w:t>
      </w:r>
      <w:r>
        <w:rPr>
          <w:spacing w:val="13"/>
          <w:w w:val="105"/>
          <w:sz w:val="18"/>
        </w:rPr>
        <w:t> </w:t>
      </w:r>
      <w:r>
        <w:rPr>
          <w:spacing w:val="-2"/>
          <w:w w:val="105"/>
          <w:sz w:val="18"/>
        </w:rPr>
        <w:t>officers.</w:t>
      </w:r>
    </w:p>
    <w:p>
      <w:pPr>
        <w:pStyle w:val="ListParagraph"/>
        <w:numPr>
          <w:ilvl w:val="1"/>
          <w:numId w:val="20"/>
        </w:numPr>
        <w:tabs>
          <w:tab w:pos="1960" w:val="left" w:leader="none"/>
        </w:tabs>
        <w:spacing w:line="259" w:lineRule="auto" w:before="129" w:after="0"/>
        <w:ind w:left="1959" w:right="2193" w:hanging="187"/>
        <w:jc w:val="left"/>
        <w:rPr>
          <w:sz w:val="18"/>
        </w:rPr>
      </w:pPr>
      <w:r>
        <w:rPr>
          <w:w w:val="105"/>
          <w:sz w:val="18"/>
        </w:rPr>
        <w:t>Provides advice on human capital management matters that have major implications for the development of our Company.</w:t>
      </w:r>
    </w:p>
    <w:p>
      <w:pPr>
        <w:pStyle w:val="ListParagraph"/>
        <w:numPr>
          <w:ilvl w:val="1"/>
          <w:numId w:val="20"/>
        </w:numPr>
        <w:tabs>
          <w:tab w:pos="1960" w:val="left" w:leader="none"/>
        </w:tabs>
        <w:spacing w:line="259" w:lineRule="auto" w:before="112" w:after="0"/>
        <w:ind w:left="1959" w:right="1562" w:hanging="187"/>
        <w:jc w:val="left"/>
        <w:rPr>
          <w:sz w:val="18"/>
        </w:rPr>
      </w:pPr>
      <w:r>
        <w:rPr>
          <w:w w:val="105"/>
          <w:sz w:val="18"/>
        </w:rPr>
        <w:t>Evaluates our compensation plan design, policies and programs for executive officers and</w:t>
      </w:r>
      <w:r>
        <w:rPr>
          <w:spacing w:val="40"/>
          <w:w w:val="105"/>
          <w:sz w:val="18"/>
        </w:rPr>
        <w:t> </w:t>
      </w:r>
      <w:r>
        <w:rPr>
          <w:w w:val="105"/>
          <w:sz w:val="18"/>
        </w:rPr>
        <w:t>recommends the establishment of policies dealing with various compensation and employee benefit </w:t>
      </w:r>
      <w:r>
        <w:rPr>
          <w:spacing w:val="-2"/>
          <w:w w:val="105"/>
          <w:sz w:val="18"/>
        </w:rPr>
        <w:t>plans.</w:t>
      </w:r>
    </w:p>
    <w:p>
      <w:pPr>
        <w:pStyle w:val="ListParagraph"/>
        <w:numPr>
          <w:ilvl w:val="1"/>
          <w:numId w:val="20"/>
        </w:numPr>
        <w:tabs>
          <w:tab w:pos="1960" w:val="left" w:leader="none"/>
        </w:tabs>
        <w:spacing w:line="259" w:lineRule="auto" w:before="112" w:after="0"/>
        <w:ind w:left="1959" w:right="1491" w:hanging="187"/>
        <w:jc w:val="left"/>
        <w:rPr>
          <w:sz w:val="18"/>
        </w:rPr>
      </w:pPr>
      <w:r>
        <w:rPr>
          <w:w w:val="105"/>
          <w:sz w:val="18"/>
        </w:rPr>
        <w:t>Reviews, not less than annually, our peer group for assessing the competitive range of compensation provided to individuals in similar positions at comparable companies.</w:t>
      </w:r>
    </w:p>
    <w:p>
      <w:pPr>
        <w:pStyle w:val="ListParagraph"/>
        <w:numPr>
          <w:ilvl w:val="1"/>
          <w:numId w:val="20"/>
        </w:numPr>
        <w:tabs>
          <w:tab w:pos="1960" w:val="left" w:leader="none"/>
        </w:tabs>
        <w:spacing w:line="240" w:lineRule="auto" w:before="112" w:after="0"/>
        <w:ind w:left="1959" w:right="0" w:hanging="188"/>
        <w:jc w:val="left"/>
        <w:rPr>
          <w:sz w:val="18"/>
        </w:rPr>
      </w:pPr>
      <w:r>
        <w:rPr>
          <w:w w:val="105"/>
          <w:sz w:val="18"/>
        </w:rPr>
        <w:t>Oversees</w:t>
      </w:r>
      <w:r>
        <w:rPr>
          <w:spacing w:val="11"/>
          <w:w w:val="105"/>
          <w:sz w:val="18"/>
        </w:rPr>
        <w:t> </w:t>
      </w:r>
      <w:r>
        <w:rPr>
          <w:w w:val="105"/>
          <w:sz w:val="18"/>
        </w:rPr>
        <w:t>our</w:t>
      </w:r>
      <w:r>
        <w:rPr>
          <w:spacing w:val="11"/>
          <w:w w:val="105"/>
          <w:sz w:val="18"/>
        </w:rPr>
        <w:t> </w:t>
      </w:r>
      <w:r>
        <w:rPr>
          <w:w w:val="105"/>
          <w:sz w:val="18"/>
        </w:rPr>
        <w:t>stock</w:t>
      </w:r>
      <w:r>
        <w:rPr>
          <w:spacing w:val="12"/>
          <w:w w:val="105"/>
          <w:sz w:val="18"/>
        </w:rPr>
        <w:t> </w:t>
      </w:r>
      <w:r>
        <w:rPr>
          <w:w w:val="105"/>
          <w:sz w:val="18"/>
        </w:rPr>
        <w:t>and</w:t>
      </w:r>
      <w:r>
        <w:rPr>
          <w:spacing w:val="11"/>
          <w:w w:val="105"/>
          <w:sz w:val="18"/>
        </w:rPr>
        <w:t> </w:t>
      </w:r>
      <w:r>
        <w:rPr>
          <w:w w:val="105"/>
          <w:sz w:val="18"/>
        </w:rPr>
        <w:t>cash</w:t>
      </w:r>
      <w:r>
        <w:rPr>
          <w:spacing w:val="11"/>
          <w:w w:val="105"/>
          <w:sz w:val="18"/>
        </w:rPr>
        <w:t> </w:t>
      </w:r>
      <w:r>
        <w:rPr>
          <w:w w:val="105"/>
          <w:sz w:val="18"/>
        </w:rPr>
        <w:t>incentive</w:t>
      </w:r>
      <w:r>
        <w:rPr>
          <w:spacing w:val="12"/>
          <w:w w:val="105"/>
          <w:sz w:val="18"/>
        </w:rPr>
        <w:t> </w:t>
      </w:r>
      <w:r>
        <w:rPr>
          <w:spacing w:val="-2"/>
          <w:w w:val="105"/>
          <w:sz w:val="18"/>
        </w:rPr>
        <w:t>plans.</w:t>
      </w:r>
    </w:p>
    <w:p>
      <w:pPr>
        <w:pStyle w:val="ListParagraph"/>
        <w:numPr>
          <w:ilvl w:val="1"/>
          <w:numId w:val="20"/>
        </w:numPr>
        <w:tabs>
          <w:tab w:pos="1960" w:val="left" w:leader="none"/>
        </w:tabs>
        <w:spacing w:line="259" w:lineRule="auto" w:before="129" w:after="0"/>
        <w:ind w:left="1959" w:right="1858" w:hanging="187"/>
        <w:jc w:val="left"/>
        <w:rPr>
          <w:sz w:val="18"/>
        </w:rPr>
      </w:pPr>
      <w:r>
        <w:rPr>
          <w:w w:val="105"/>
          <w:sz w:val="18"/>
        </w:rPr>
        <w:t>Reviews and discusses with management and recommends to the Board whether the disclosures under “Compensation Discussion and Analysis” should be included in our proxy statement.</w:t>
      </w:r>
    </w:p>
    <w:p>
      <w:pPr>
        <w:pStyle w:val="ListParagraph"/>
        <w:numPr>
          <w:ilvl w:val="1"/>
          <w:numId w:val="20"/>
        </w:numPr>
        <w:tabs>
          <w:tab w:pos="1960" w:val="left" w:leader="none"/>
        </w:tabs>
        <w:spacing w:line="240" w:lineRule="auto" w:before="112" w:after="0"/>
        <w:ind w:left="1959" w:right="0" w:hanging="188"/>
        <w:jc w:val="left"/>
        <w:rPr>
          <w:sz w:val="18"/>
        </w:rPr>
      </w:pPr>
      <w:r>
        <w:rPr>
          <w:w w:val="105"/>
          <w:sz w:val="18"/>
        </w:rPr>
        <w:t>Reviews</w:t>
      </w:r>
      <w:r>
        <w:rPr>
          <w:spacing w:val="10"/>
          <w:w w:val="105"/>
          <w:sz w:val="18"/>
        </w:rPr>
        <w:t> </w:t>
      </w:r>
      <w:r>
        <w:rPr>
          <w:w w:val="105"/>
          <w:sz w:val="18"/>
        </w:rPr>
        <w:t>the</w:t>
      </w:r>
      <w:r>
        <w:rPr>
          <w:spacing w:val="11"/>
          <w:w w:val="105"/>
          <w:sz w:val="18"/>
        </w:rPr>
        <w:t> </w:t>
      </w:r>
      <w:r>
        <w:rPr>
          <w:w w:val="105"/>
          <w:sz w:val="18"/>
        </w:rPr>
        <w:t>compensation</w:t>
      </w:r>
      <w:r>
        <w:rPr>
          <w:spacing w:val="11"/>
          <w:w w:val="105"/>
          <w:sz w:val="18"/>
        </w:rPr>
        <w:t> </w:t>
      </w:r>
      <w:r>
        <w:rPr>
          <w:w w:val="105"/>
          <w:sz w:val="18"/>
        </w:rPr>
        <w:t>paid</w:t>
      </w:r>
      <w:r>
        <w:rPr>
          <w:spacing w:val="10"/>
          <w:w w:val="105"/>
          <w:sz w:val="18"/>
        </w:rPr>
        <w:t> </w:t>
      </w:r>
      <w:r>
        <w:rPr>
          <w:w w:val="105"/>
          <w:sz w:val="18"/>
        </w:rPr>
        <w:t>to</w:t>
      </w:r>
      <w:r>
        <w:rPr>
          <w:spacing w:val="11"/>
          <w:w w:val="105"/>
          <w:sz w:val="18"/>
        </w:rPr>
        <w:t> </w:t>
      </w:r>
      <w:r>
        <w:rPr>
          <w:w w:val="105"/>
          <w:sz w:val="18"/>
        </w:rPr>
        <w:t>directors</w:t>
      </w:r>
      <w:r>
        <w:rPr>
          <w:spacing w:val="11"/>
          <w:w w:val="105"/>
          <w:sz w:val="18"/>
        </w:rPr>
        <w:t> </w:t>
      </w:r>
      <w:r>
        <w:rPr>
          <w:w w:val="105"/>
          <w:sz w:val="18"/>
        </w:rPr>
        <w:t>for</w:t>
      </w:r>
      <w:r>
        <w:rPr>
          <w:spacing w:val="11"/>
          <w:w w:val="105"/>
          <w:sz w:val="18"/>
        </w:rPr>
        <w:t> </w:t>
      </w:r>
      <w:r>
        <w:rPr>
          <w:w w:val="105"/>
          <w:sz w:val="18"/>
        </w:rPr>
        <w:t>service</w:t>
      </w:r>
      <w:r>
        <w:rPr>
          <w:spacing w:val="10"/>
          <w:w w:val="105"/>
          <w:sz w:val="18"/>
        </w:rPr>
        <w:t> </w:t>
      </w:r>
      <w:r>
        <w:rPr>
          <w:w w:val="105"/>
          <w:sz w:val="18"/>
        </w:rPr>
        <w:t>on</w:t>
      </w:r>
      <w:r>
        <w:rPr>
          <w:spacing w:val="11"/>
          <w:w w:val="105"/>
          <w:sz w:val="18"/>
        </w:rPr>
        <w:t> </w:t>
      </w:r>
      <w:r>
        <w:rPr>
          <w:w w:val="105"/>
          <w:sz w:val="18"/>
        </w:rPr>
        <w:t>the</w:t>
      </w:r>
      <w:r>
        <w:rPr>
          <w:spacing w:val="11"/>
          <w:w w:val="105"/>
          <w:sz w:val="18"/>
        </w:rPr>
        <w:t> </w:t>
      </w:r>
      <w:r>
        <w:rPr>
          <w:w w:val="105"/>
          <w:sz w:val="18"/>
        </w:rPr>
        <w:t>Board</w:t>
      </w:r>
      <w:r>
        <w:rPr>
          <w:spacing w:val="11"/>
          <w:w w:val="105"/>
          <w:sz w:val="18"/>
        </w:rPr>
        <w:t> </w:t>
      </w:r>
      <w:r>
        <w:rPr>
          <w:w w:val="105"/>
          <w:sz w:val="18"/>
        </w:rPr>
        <w:t>and</w:t>
      </w:r>
      <w:r>
        <w:rPr>
          <w:spacing w:val="10"/>
          <w:w w:val="105"/>
          <w:sz w:val="18"/>
        </w:rPr>
        <w:t> </w:t>
      </w:r>
      <w:r>
        <w:rPr>
          <w:w w:val="105"/>
          <w:sz w:val="18"/>
        </w:rPr>
        <w:t>its</w:t>
      </w:r>
      <w:r>
        <w:rPr>
          <w:spacing w:val="11"/>
          <w:w w:val="105"/>
          <w:sz w:val="18"/>
        </w:rPr>
        <w:t> </w:t>
      </w:r>
      <w:r>
        <w:rPr>
          <w:spacing w:val="-2"/>
          <w:w w:val="105"/>
          <w:sz w:val="18"/>
        </w:rPr>
        <w:t>committees.</w:t>
      </w:r>
    </w:p>
    <w:p>
      <w:pPr>
        <w:pStyle w:val="ListParagraph"/>
        <w:numPr>
          <w:ilvl w:val="1"/>
          <w:numId w:val="20"/>
        </w:numPr>
        <w:tabs>
          <w:tab w:pos="1960" w:val="left" w:leader="none"/>
        </w:tabs>
        <w:spacing w:line="259" w:lineRule="auto" w:before="128" w:after="0"/>
        <w:ind w:left="1959" w:right="1616" w:hanging="187"/>
        <w:jc w:val="left"/>
        <w:rPr>
          <w:sz w:val="18"/>
        </w:rPr>
      </w:pPr>
      <w:r>
        <w:rPr>
          <w:w w:val="105"/>
          <w:sz w:val="18"/>
        </w:rPr>
        <w:t>Ensures that reviews of plans for succession of executive officers occur at the Committee or Board level at least annually.</w:t>
      </w:r>
    </w:p>
    <w:p>
      <w:pPr>
        <w:pStyle w:val="ListParagraph"/>
        <w:numPr>
          <w:ilvl w:val="1"/>
          <w:numId w:val="20"/>
        </w:numPr>
        <w:tabs>
          <w:tab w:pos="1960" w:val="left" w:leader="none"/>
        </w:tabs>
        <w:spacing w:line="259" w:lineRule="auto" w:before="127" w:after="0"/>
        <w:ind w:left="1959" w:right="1545" w:hanging="187"/>
        <w:jc w:val="left"/>
        <w:rPr>
          <w:sz w:val="18"/>
        </w:rPr>
      </w:pPr>
      <w:r>
        <w:rPr>
          <w:w w:val="105"/>
          <w:sz w:val="18"/>
        </w:rPr>
        <w:t>Provides oversight on the development, implementation and effectiveness of our practices, policies, and strategies relating to human capital management as they relate to our workforce generally.</w:t>
      </w:r>
    </w:p>
    <w:p>
      <w:pPr>
        <w:pStyle w:val="ListParagraph"/>
        <w:numPr>
          <w:ilvl w:val="1"/>
          <w:numId w:val="20"/>
        </w:numPr>
        <w:tabs>
          <w:tab w:pos="1960" w:val="left" w:leader="none"/>
        </w:tabs>
        <w:spacing w:line="259" w:lineRule="auto" w:before="112" w:after="0"/>
        <w:ind w:left="1959" w:right="1428" w:hanging="187"/>
        <w:jc w:val="left"/>
        <w:rPr>
          <w:sz w:val="18"/>
        </w:rPr>
      </w:pPr>
      <w:r>
        <w:rPr>
          <w:w w:val="105"/>
          <w:sz w:val="18"/>
        </w:rPr>
        <w:t>Assesses, at least annually, the risks associated with our compensation policies, and reports to the</w:t>
      </w:r>
      <w:r>
        <w:rPr>
          <w:spacing w:val="80"/>
          <w:w w:val="105"/>
          <w:sz w:val="18"/>
        </w:rPr>
        <w:t> </w:t>
      </w:r>
      <w:r>
        <w:rPr>
          <w:w w:val="105"/>
          <w:sz w:val="18"/>
        </w:rPr>
        <w:t>Board and the Audit Committee whether our compensation policies and practices create risks that are reasonably likely to have a material adverse effect on us.</w:t>
      </w:r>
    </w:p>
    <w:p>
      <w:pPr>
        <w:pStyle w:val="BodyText"/>
        <w:spacing w:line="259" w:lineRule="auto" w:before="140"/>
        <w:ind w:left="1400" w:right="1465" w:firstLine="372"/>
      </w:pPr>
      <w:r>
        <w:rPr>
          <w:w w:val="105"/>
        </w:rPr>
        <w:t>The Compensation Committee determines all compensation for our NEOs and certain other of our</w:t>
      </w:r>
      <w:r>
        <w:rPr>
          <w:spacing w:val="40"/>
          <w:w w:val="105"/>
        </w:rPr>
        <w:t> </w:t>
      </w:r>
      <w:r>
        <w:rPr>
          <w:w w:val="105"/>
        </w:rPr>
        <w:t>officers.</w:t>
      </w:r>
      <w:r>
        <w:rPr>
          <w:spacing w:val="26"/>
          <w:w w:val="105"/>
        </w:rPr>
        <w:t> </w:t>
      </w:r>
      <w:r>
        <w:rPr>
          <w:w w:val="105"/>
        </w:rPr>
        <w:t>Before</w:t>
      </w:r>
      <w:r>
        <w:rPr>
          <w:spacing w:val="26"/>
          <w:w w:val="105"/>
        </w:rPr>
        <w:t> </w:t>
      </w:r>
      <w:r>
        <w:rPr>
          <w:w w:val="105"/>
        </w:rPr>
        <w:t>making</w:t>
      </w:r>
      <w:r>
        <w:rPr>
          <w:spacing w:val="26"/>
          <w:w w:val="105"/>
        </w:rPr>
        <w:t> </w:t>
      </w:r>
      <w:r>
        <w:rPr>
          <w:w w:val="105"/>
        </w:rPr>
        <w:t>decisions</w:t>
      </w:r>
      <w:r>
        <w:rPr>
          <w:spacing w:val="26"/>
          <w:w w:val="105"/>
        </w:rPr>
        <w:t> </w:t>
      </w:r>
      <w:r>
        <w:rPr>
          <w:w w:val="105"/>
        </w:rPr>
        <w:t>on</w:t>
      </w:r>
      <w:r>
        <w:rPr>
          <w:spacing w:val="26"/>
          <w:w w:val="105"/>
        </w:rPr>
        <w:t> </w:t>
      </w:r>
      <w:r>
        <w:rPr>
          <w:w w:val="105"/>
        </w:rPr>
        <w:t>compensation</w:t>
      </w:r>
      <w:r>
        <w:rPr>
          <w:spacing w:val="26"/>
          <w:w w:val="105"/>
        </w:rPr>
        <w:t> </w:t>
      </w:r>
      <w:r>
        <w:rPr>
          <w:w w:val="105"/>
        </w:rPr>
        <w:t>for</w:t>
      </w:r>
      <w:r>
        <w:rPr>
          <w:spacing w:val="26"/>
          <w:w w:val="105"/>
        </w:rPr>
        <w:t> </w:t>
      </w:r>
      <w:r>
        <w:rPr>
          <w:w w:val="105"/>
        </w:rPr>
        <w:t>individuals</w:t>
      </w:r>
      <w:r>
        <w:rPr>
          <w:spacing w:val="26"/>
          <w:w w:val="105"/>
        </w:rPr>
        <w:t> </w:t>
      </w:r>
      <w:r>
        <w:rPr>
          <w:w w:val="105"/>
        </w:rPr>
        <w:t>other</w:t>
      </w:r>
      <w:r>
        <w:rPr>
          <w:spacing w:val="26"/>
          <w:w w:val="105"/>
        </w:rPr>
        <w:t> </w:t>
      </w:r>
      <w:r>
        <w:rPr>
          <w:w w:val="105"/>
        </w:rPr>
        <w:t>than</w:t>
      </w:r>
      <w:r>
        <w:rPr>
          <w:spacing w:val="26"/>
          <w:w w:val="105"/>
        </w:rPr>
        <w:t> </w:t>
      </w:r>
      <w:r>
        <w:rPr>
          <w:w w:val="105"/>
        </w:rPr>
        <w:t>our</w:t>
      </w:r>
      <w:r>
        <w:rPr>
          <w:spacing w:val="26"/>
          <w:w w:val="105"/>
        </w:rPr>
        <w:t> </w:t>
      </w:r>
      <w:r>
        <w:rPr>
          <w:w w:val="105"/>
        </w:rPr>
        <w:t>Chief</w:t>
      </w:r>
      <w:r>
        <w:rPr>
          <w:spacing w:val="26"/>
          <w:w w:val="105"/>
        </w:rPr>
        <w:t> </w:t>
      </w:r>
      <w:r>
        <w:rPr>
          <w:w w:val="105"/>
        </w:rPr>
        <w:t>Executive</w:t>
      </w:r>
      <w:r>
        <w:rPr>
          <w:spacing w:val="26"/>
          <w:w w:val="105"/>
        </w:rPr>
        <w:t> </w:t>
      </w:r>
      <w:r>
        <w:rPr>
          <w:w w:val="105"/>
        </w:rPr>
        <w:t>Officer, the Compensation Committee reviews with our Chief Executive Officer each individual’s performance and accomplishments over the prior year. Except for his own position, our Chief Executive Officer makes recommendations to the Compensation Committee about base salary increases, any changes to the incentive</w:t>
      </w:r>
      <w:r>
        <w:rPr>
          <w:spacing w:val="40"/>
          <w:w w:val="105"/>
        </w:rPr>
        <w:t> </w:t>
      </w:r>
      <w:r>
        <w:rPr>
          <w:w w:val="105"/>
        </w:rPr>
        <w:t>plan target awards, and the amount of equity awards for each executive. However, the Compensation Committee retains and does not delegate any of its exclusive power to determine and approve all matters of</w:t>
      </w:r>
      <w:r>
        <w:rPr>
          <w:spacing w:val="40"/>
          <w:w w:val="105"/>
        </w:rPr>
        <w:t> </w:t>
      </w:r>
      <w:r>
        <w:rPr>
          <w:w w:val="105"/>
        </w:rPr>
        <w:t>executive compensation and benefits for certain officers as designated in the charter. The Compensation Committee</w:t>
      </w:r>
      <w:r>
        <w:rPr>
          <w:spacing w:val="25"/>
          <w:w w:val="105"/>
        </w:rPr>
        <w:t> </w:t>
      </w:r>
      <w:r>
        <w:rPr>
          <w:w w:val="105"/>
        </w:rPr>
        <w:t>meets</w:t>
      </w:r>
      <w:r>
        <w:rPr>
          <w:spacing w:val="25"/>
          <w:w w:val="105"/>
        </w:rPr>
        <w:t> </w:t>
      </w:r>
      <w:r>
        <w:rPr>
          <w:w w:val="105"/>
        </w:rPr>
        <w:t>with</w:t>
      </w:r>
      <w:r>
        <w:rPr>
          <w:spacing w:val="25"/>
          <w:w w:val="105"/>
        </w:rPr>
        <w:t> </w:t>
      </w:r>
      <w:r>
        <w:rPr>
          <w:w w:val="105"/>
        </w:rPr>
        <w:t>its</w:t>
      </w:r>
      <w:r>
        <w:rPr>
          <w:spacing w:val="25"/>
          <w:w w:val="105"/>
        </w:rPr>
        <w:t> </w:t>
      </w:r>
      <w:r>
        <w:rPr>
          <w:w w:val="105"/>
        </w:rPr>
        <w:t>independent</w:t>
      </w:r>
      <w:r>
        <w:rPr>
          <w:spacing w:val="25"/>
          <w:w w:val="105"/>
        </w:rPr>
        <w:t> </w:t>
      </w:r>
      <w:r>
        <w:rPr>
          <w:w w:val="105"/>
        </w:rPr>
        <w:t>advisors</w:t>
      </w:r>
      <w:r>
        <w:rPr>
          <w:spacing w:val="25"/>
          <w:w w:val="105"/>
        </w:rPr>
        <w:t> </w:t>
      </w:r>
      <w:r>
        <w:rPr>
          <w:w w:val="105"/>
        </w:rPr>
        <w:t>and</w:t>
      </w:r>
      <w:r>
        <w:rPr>
          <w:spacing w:val="25"/>
          <w:w w:val="105"/>
        </w:rPr>
        <w:t> </w:t>
      </w:r>
      <w:r>
        <w:rPr>
          <w:w w:val="105"/>
        </w:rPr>
        <w:t>other</w:t>
      </w:r>
      <w:r>
        <w:rPr>
          <w:spacing w:val="25"/>
          <w:w w:val="105"/>
        </w:rPr>
        <w:t> </w:t>
      </w:r>
      <w:r>
        <w:rPr>
          <w:w w:val="105"/>
        </w:rPr>
        <w:t>independent</w:t>
      </w:r>
      <w:r>
        <w:rPr>
          <w:spacing w:val="25"/>
          <w:w w:val="105"/>
        </w:rPr>
        <w:t> </w:t>
      </w:r>
      <w:r>
        <w:rPr>
          <w:w w:val="105"/>
        </w:rPr>
        <w:t>members</w:t>
      </w:r>
      <w:r>
        <w:rPr>
          <w:spacing w:val="25"/>
          <w:w w:val="105"/>
        </w:rPr>
        <w:t> </w:t>
      </w:r>
      <w:r>
        <w:rPr>
          <w:w w:val="105"/>
        </w:rPr>
        <w:t>of</w:t>
      </w:r>
      <w:r>
        <w:rPr>
          <w:spacing w:val="25"/>
          <w:w w:val="105"/>
        </w:rPr>
        <w:t> </w:t>
      </w:r>
      <w:r>
        <w:rPr>
          <w:w w:val="105"/>
        </w:rPr>
        <w:t>the</w:t>
      </w:r>
      <w:r>
        <w:rPr>
          <w:spacing w:val="25"/>
          <w:w w:val="105"/>
        </w:rPr>
        <w:t> </w:t>
      </w:r>
      <w:r>
        <w:rPr>
          <w:w w:val="105"/>
        </w:rPr>
        <w:t>Board</w:t>
      </w:r>
      <w:r>
        <w:rPr>
          <w:spacing w:val="25"/>
          <w:w w:val="105"/>
        </w:rPr>
        <w:t> </w:t>
      </w:r>
      <w:r>
        <w:rPr>
          <w:w w:val="105"/>
        </w:rPr>
        <w:t>to</w:t>
      </w:r>
      <w:r>
        <w:rPr>
          <w:spacing w:val="25"/>
          <w:w w:val="105"/>
        </w:rPr>
        <w:t> </w:t>
      </w:r>
      <w:r>
        <w:rPr>
          <w:w w:val="105"/>
        </w:rPr>
        <w:t>determine the Chief Executive Officer’s compensation.</w:t>
      </w:r>
    </w:p>
    <w:p>
      <w:pPr>
        <w:pStyle w:val="BodyText"/>
        <w:spacing w:line="259" w:lineRule="auto" w:before="155"/>
        <w:ind w:left="1400" w:right="1733" w:firstLine="372"/>
      </w:pPr>
      <w:r>
        <w:rPr>
          <w:w w:val="105"/>
        </w:rPr>
        <w:t>The Compensation Committee also reviews and provides oversight on the development,</w:t>
      </w:r>
      <w:r>
        <w:rPr>
          <w:spacing w:val="40"/>
          <w:w w:val="105"/>
        </w:rPr>
        <w:t> </w:t>
      </w:r>
      <w:r>
        <w:rPr>
          <w:w w:val="105"/>
        </w:rPr>
        <w:t>implementation and effectiveness of our practices, policies and strategies relating to human capital management as they relate to our workforce generally, including but not limited to policies and strategies</w:t>
      </w:r>
      <w:r>
        <w:rPr>
          <w:spacing w:val="40"/>
          <w:w w:val="105"/>
        </w:rPr>
        <w:t> </w:t>
      </w:r>
      <w:r>
        <w:rPr>
          <w:w w:val="105"/>
        </w:rPr>
        <w:t>regarding recruiting, selection, career development and progression, and diversity and employment</w:t>
      </w:r>
      <w:r>
        <w:rPr>
          <w:spacing w:val="40"/>
          <w:w w:val="105"/>
        </w:rPr>
        <w:t> </w:t>
      </w:r>
      <w:r>
        <w:rPr>
          <w:spacing w:val="-2"/>
          <w:w w:val="105"/>
        </w:rPr>
        <w:t>practices.</w:t>
      </w:r>
    </w:p>
    <w:p>
      <w:pPr>
        <w:pStyle w:val="BodyText"/>
        <w:spacing w:before="6"/>
        <w:rPr>
          <w:sz w:val="19"/>
        </w:rPr>
      </w:pPr>
    </w:p>
    <w:p>
      <w:pPr>
        <w:spacing w:before="0"/>
        <w:ind w:left="1772" w:right="0" w:firstLine="0"/>
        <w:jc w:val="left"/>
        <w:rPr>
          <w:i/>
          <w:sz w:val="18"/>
        </w:rPr>
      </w:pPr>
      <w:r>
        <w:rPr>
          <w:i/>
          <w:sz w:val="18"/>
        </w:rPr>
        <w:t>Compensation</w:t>
      </w:r>
      <w:r>
        <w:rPr>
          <w:i/>
          <w:spacing w:val="66"/>
          <w:sz w:val="18"/>
        </w:rPr>
        <w:t> </w:t>
      </w:r>
      <w:r>
        <w:rPr>
          <w:i/>
          <w:sz w:val="18"/>
        </w:rPr>
        <w:t>Committee</w:t>
      </w:r>
      <w:r>
        <w:rPr>
          <w:i/>
          <w:spacing w:val="59"/>
          <w:sz w:val="18"/>
        </w:rPr>
        <w:t> </w:t>
      </w:r>
      <w:r>
        <w:rPr>
          <w:i/>
          <w:spacing w:val="-2"/>
          <w:sz w:val="18"/>
        </w:rPr>
        <w:t>Advisors</w:t>
      </w:r>
    </w:p>
    <w:p>
      <w:pPr>
        <w:pStyle w:val="BodyText"/>
        <w:spacing w:line="259" w:lineRule="auto" w:before="170"/>
        <w:ind w:left="1400" w:right="1528" w:firstLine="372"/>
      </w:pPr>
      <w:r>
        <w:rPr>
          <w:w w:val="105"/>
        </w:rPr>
        <w:t>To independently assist and advise the Compensation Committee, the Compensation Committee has retained Frederic W. Cook &amp; Co., Inc. (“</w:t>
      </w:r>
      <w:r>
        <w:rPr>
          <w:b/>
          <w:w w:val="105"/>
        </w:rPr>
        <w:t>FW</w:t>
      </w:r>
      <w:r>
        <w:rPr>
          <w:b/>
          <w:spacing w:val="-4"/>
          <w:w w:val="105"/>
        </w:rPr>
        <w:t> </w:t>
      </w:r>
      <w:r>
        <w:rPr>
          <w:b/>
          <w:w w:val="105"/>
        </w:rPr>
        <w:t>Cook</w:t>
      </w:r>
      <w:r>
        <w:rPr>
          <w:w w:val="105"/>
        </w:rPr>
        <w:t>”) as its compensation consultant since May 2018. The engagement with FW Cook is exclusively with the Compensation Committee, which has sole authority to retain and terminate any compensation consultant or other advisor that it uses. FW Cook does not have any</w:t>
      </w:r>
      <w:r>
        <w:rPr>
          <w:spacing w:val="40"/>
          <w:w w:val="105"/>
        </w:rPr>
        <w:t> </w:t>
      </w:r>
      <w:r>
        <w:rPr>
          <w:w w:val="105"/>
        </w:rPr>
        <w:t>relationship</w:t>
      </w:r>
      <w:r>
        <w:rPr>
          <w:spacing w:val="20"/>
          <w:w w:val="105"/>
        </w:rPr>
        <w:t> </w:t>
      </w:r>
      <w:r>
        <w:rPr>
          <w:w w:val="105"/>
        </w:rPr>
        <w:t>with</w:t>
      </w:r>
      <w:r>
        <w:rPr>
          <w:spacing w:val="20"/>
          <w:w w:val="105"/>
        </w:rPr>
        <w:t> </w:t>
      </w:r>
      <w:r>
        <w:rPr>
          <w:w w:val="105"/>
        </w:rPr>
        <w:t>the</w:t>
      </w:r>
      <w:r>
        <w:rPr>
          <w:spacing w:val="20"/>
          <w:w w:val="105"/>
        </w:rPr>
        <w:t> </w:t>
      </w:r>
      <w:r>
        <w:rPr>
          <w:w w:val="105"/>
        </w:rPr>
        <w:t>Company</w:t>
      </w:r>
      <w:r>
        <w:rPr>
          <w:spacing w:val="20"/>
          <w:w w:val="105"/>
        </w:rPr>
        <w:t> </w:t>
      </w:r>
      <w:r>
        <w:rPr>
          <w:w w:val="105"/>
        </w:rPr>
        <w:t>or</w:t>
      </w:r>
      <w:r>
        <w:rPr>
          <w:spacing w:val="20"/>
          <w:w w:val="105"/>
        </w:rPr>
        <w:t> </w:t>
      </w:r>
      <w:r>
        <w:rPr>
          <w:w w:val="105"/>
        </w:rPr>
        <w:t>management</w:t>
      </w:r>
      <w:r>
        <w:rPr>
          <w:spacing w:val="20"/>
          <w:w w:val="105"/>
        </w:rPr>
        <w:t> </w:t>
      </w:r>
      <w:r>
        <w:rPr>
          <w:w w:val="105"/>
        </w:rPr>
        <w:t>except</w:t>
      </w:r>
      <w:r>
        <w:rPr>
          <w:spacing w:val="20"/>
          <w:w w:val="105"/>
        </w:rPr>
        <w:t> </w:t>
      </w:r>
      <w:r>
        <w:rPr>
          <w:w w:val="105"/>
        </w:rPr>
        <w:t>as</w:t>
      </w:r>
      <w:r>
        <w:rPr>
          <w:spacing w:val="20"/>
          <w:w w:val="105"/>
        </w:rPr>
        <w:t> </w:t>
      </w:r>
      <w:r>
        <w:rPr>
          <w:w w:val="105"/>
        </w:rPr>
        <w:t>it</w:t>
      </w:r>
      <w:r>
        <w:rPr>
          <w:spacing w:val="20"/>
          <w:w w:val="105"/>
        </w:rPr>
        <w:t> </w:t>
      </w:r>
      <w:r>
        <w:rPr>
          <w:w w:val="105"/>
        </w:rPr>
        <w:t>may</w:t>
      </w:r>
      <w:r>
        <w:rPr>
          <w:spacing w:val="20"/>
          <w:w w:val="105"/>
        </w:rPr>
        <w:t> </w:t>
      </w:r>
      <w:r>
        <w:rPr>
          <w:w w:val="105"/>
        </w:rPr>
        <w:t>relate</w:t>
      </w:r>
      <w:r>
        <w:rPr>
          <w:spacing w:val="20"/>
          <w:w w:val="105"/>
        </w:rPr>
        <w:t> </w:t>
      </w:r>
      <w:r>
        <w:rPr>
          <w:w w:val="105"/>
        </w:rPr>
        <w:t>to</w:t>
      </w:r>
      <w:r>
        <w:rPr>
          <w:spacing w:val="20"/>
          <w:w w:val="105"/>
        </w:rPr>
        <w:t> </w:t>
      </w:r>
      <w:r>
        <w:rPr>
          <w:w w:val="105"/>
        </w:rPr>
        <w:t>performing</w:t>
      </w:r>
      <w:r>
        <w:rPr>
          <w:spacing w:val="20"/>
          <w:w w:val="105"/>
        </w:rPr>
        <w:t> </w:t>
      </w:r>
      <w:r>
        <w:rPr>
          <w:w w:val="105"/>
        </w:rPr>
        <w:t>services</w:t>
      </w:r>
      <w:r>
        <w:rPr>
          <w:spacing w:val="20"/>
          <w:w w:val="105"/>
        </w:rPr>
        <w:t> </w:t>
      </w:r>
      <w:r>
        <w:rPr>
          <w:w w:val="105"/>
        </w:rPr>
        <w:t>on</w:t>
      </w:r>
      <w:r>
        <w:rPr>
          <w:spacing w:val="20"/>
          <w:w w:val="105"/>
        </w:rPr>
        <w:t> </w:t>
      </w:r>
      <w:r>
        <w:rPr>
          <w:w w:val="105"/>
        </w:rPr>
        <w:t>behalf</w:t>
      </w:r>
      <w:r>
        <w:rPr>
          <w:spacing w:val="20"/>
          <w:w w:val="105"/>
        </w:rPr>
        <w:t> </w:t>
      </w:r>
      <w:r>
        <w:rPr>
          <w:w w:val="105"/>
        </w:rPr>
        <w:t>of the Compensation Committee. The Compensation Committee has assessed the independence of FW Cook pursuant to SEC rules and concluded that no conflict of interest exists that would prevent FW Cook from</w:t>
      </w:r>
      <w:r>
        <w:rPr>
          <w:spacing w:val="40"/>
          <w:w w:val="105"/>
        </w:rPr>
        <w:t> </w:t>
      </w:r>
      <w:r>
        <w:rPr>
          <w:w w:val="105"/>
        </w:rPr>
        <w:t>independently representing the Compensation Committee.</w:t>
      </w:r>
    </w:p>
    <w:p>
      <w:pPr>
        <w:pStyle w:val="BodyText"/>
        <w:rPr>
          <w:sz w:val="20"/>
        </w:rPr>
      </w:pPr>
    </w:p>
    <w:p>
      <w:pPr>
        <w:pStyle w:val="BodyText"/>
        <w:spacing w:before="177"/>
        <w:ind w:left="142" w:right="143"/>
        <w:jc w:val="center"/>
      </w:pPr>
      <w:r>
        <w:rPr>
          <w:spacing w:val="-5"/>
          <w:w w:val="105"/>
        </w:rPr>
        <w:t>22</w:t>
      </w:r>
    </w:p>
    <w:p>
      <w:pPr>
        <w:spacing w:after="0"/>
        <w:jc w:val="center"/>
        <w:sectPr>
          <w:headerReference w:type="default" r:id="rId79"/>
          <w:footerReference w:type="default" r:id="rId80"/>
          <w:pgSz w:w="12240" w:h="15840"/>
          <w:pgMar w:header="529" w:footer="0" w:top="720" w:bottom="28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162" coordorigin="0,0" coordsize="11100,28">
            <v:rect style="position:absolute;left:0;top:0;width:11100;height:14" id="docshape163" filled="true" fillcolor="#999999" stroked="false">
              <v:fill type="solid"/>
            </v:rect>
            <v:shape style="position:absolute;left:-1;top:0;width:11100;height:28" id="docshape164" coordorigin="0,0" coordsize="11100,28" path="m11100,0l11086,14,0,14,0,28,11086,28,11100,28,11100,14,11100,0xe" filled="true" fillcolor="#ededed" stroked="false">
              <v:path arrowok="t"/>
              <v:fill type="solid"/>
            </v:shape>
            <v:shape style="position:absolute;left:0;top:0;width:14;height:28" id="docshape165"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81"/>
          <w:footerReference w:type="default" r:id="rId82"/>
          <w:pgSz w:w="12240" w:h="15840"/>
          <w:pgMar w:header="0" w:footer="0" w:top="580" w:bottom="280" w:left="480" w:right="460"/>
        </w:sectPr>
      </w:pPr>
    </w:p>
    <w:p>
      <w:pPr>
        <w:pStyle w:val="BodyText"/>
        <w:rPr>
          <w:sz w:val="20"/>
        </w:rPr>
      </w:pPr>
      <w:r>
        <w:rPr/>
        <w:pict>
          <v:group style="position:absolute;margin-left:28.999998pt;margin-top:712.614197pt;width:555pt;height:1.4pt;mso-position-horizontal-relative:page;mso-position-vertical-relative:page;z-index:15751680" id="docshapegroup168" coordorigin="580,14252" coordsize="11100,28">
            <v:rect style="position:absolute;left:580;top:14252;width:11100;height:14" id="docshape169" filled="true" fillcolor="#999999" stroked="false">
              <v:fill type="solid"/>
            </v:rect>
            <v:shape style="position:absolute;left:579;top:14252;width:11100;height:28" id="docshape170" coordorigin="580,14252" coordsize="11100,28" path="m11680,14252l11666,14266,580,14266,580,14280,11666,14280,11680,14280,11680,14266,11680,14252xe" filled="true" fillcolor="#ededed" stroked="false">
              <v:path arrowok="t"/>
              <v:fill type="solid"/>
            </v:shape>
            <v:shape style="position:absolute;left:580;top:14252;width:14;height:28" id="docshape171" coordorigin="580,14252" coordsize="14,28" path="m580,14280l580,14252,594,14252,594,14266,580,14280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400" w:right="1680" w:firstLine="372"/>
      </w:pPr>
      <w:r>
        <w:rPr>
          <w:w w:val="105"/>
        </w:rPr>
        <w:t>The compensation consultant reviews and analyzes our executive compensation programs,</w:t>
      </w:r>
      <w:r>
        <w:rPr>
          <w:spacing w:val="80"/>
          <w:w w:val="105"/>
        </w:rPr>
        <w:t> </w:t>
      </w:r>
      <w:r>
        <w:rPr>
          <w:w w:val="105"/>
        </w:rPr>
        <w:t>compensation strategy and effectiveness of pay delivery. The compensation consultant provides market information on compensation trends and practices and makes recommendations to the Compensation Committee based on competitive data. The compensation consultant advises the Compensation Committee chair on agenda items for Compensation Committee meetings, reviews management proposals and is available to perform special projects at the Compensation Committee chair’s request. The compensation consultant also periodically provides the Compensation Committee with updates on regulatory and</w:t>
      </w:r>
      <w:r>
        <w:rPr>
          <w:spacing w:val="80"/>
          <w:w w:val="105"/>
        </w:rPr>
        <w:t> </w:t>
      </w:r>
      <w:r>
        <w:rPr>
          <w:w w:val="105"/>
        </w:rPr>
        <w:t>legislative developments pertaining to executive compensation and compensation committee governance.</w:t>
      </w:r>
      <w:r>
        <w:rPr>
          <w:spacing w:val="80"/>
          <w:w w:val="105"/>
        </w:rPr>
        <w:t> </w:t>
      </w:r>
      <w:r>
        <w:rPr>
          <w:w w:val="105"/>
        </w:rPr>
        <w:t>The compensation consultant provides analyses and recommendations that inform the Compensation Committee’s decisions but does not decide or approve any compensation actions. As needed, the Compensation Committee also consults with the compensation consultant on program design changes.</w:t>
      </w:r>
    </w:p>
    <w:p>
      <w:pPr>
        <w:pStyle w:val="BodyText"/>
        <w:spacing w:before="7"/>
        <w:rPr>
          <w:sz w:val="19"/>
        </w:rPr>
      </w:pPr>
    </w:p>
    <w:p>
      <w:pPr>
        <w:spacing w:before="0"/>
        <w:ind w:left="1772" w:right="0" w:firstLine="0"/>
        <w:jc w:val="left"/>
        <w:rPr>
          <w:i/>
          <w:sz w:val="18"/>
        </w:rPr>
      </w:pPr>
      <w:r>
        <w:rPr>
          <w:i/>
          <w:w w:val="105"/>
          <w:sz w:val="18"/>
        </w:rPr>
        <w:t>Member</w:t>
      </w:r>
      <w:r>
        <w:rPr>
          <w:i/>
          <w:spacing w:val="9"/>
          <w:w w:val="105"/>
          <w:sz w:val="18"/>
        </w:rPr>
        <w:t> </w:t>
      </w:r>
      <w:r>
        <w:rPr>
          <w:i/>
          <w:spacing w:val="-2"/>
          <w:w w:val="105"/>
          <w:sz w:val="18"/>
        </w:rPr>
        <w:t>Qualifications</w:t>
      </w:r>
    </w:p>
    <w:p>
      <w:pPr>
        <w:pStyle w:val="BodyText"/>
        <w:spacing w:line="259" w:lineRule="auto" w:before="171"/>
        <w:ind w:left="1400" w:right="1551" w:firstLine="372"/>
      </w:pPr>
      <w:r>
        <w:rPr>
          <w:w w:val="105"/>
        </w:rPr>
        <w:t>In addition to being independent, each member of the Compensation Committee is a “non-employee director” for purposes of the Exchange Act.</w:t>
      </w:r>
    </w:p>
    <w:p>
      <w:pPr>
        <w:pStyle w:val="Heading2"/>
        <w:spacing w:line="259" w:lineRule="auto" w:before="154"/>
        <w:ind w:left="3684" w:right="3678"/>
        <w:jc w:val="center"/>
        <w:rPr>
          <w:b w:val="0"/>
        </w:rPr>
      </w:pPr>
      <w:r>
        <w:rPr>
          <w:u w:val="single"/>
        </w:rPr>
        <w:t>Nominatin</w:t>
      </w:r>
      <w:r>
        <w:rPr/>
        <w:t>g</w:t>
      </w:r>
      <w:r>
        <w:rPr>
          <w:spacing w:val="-12"/>
        </w:rPr>
        <w:t> </w:t>
      </w:r>
      <w:r>
        <w:rPr>
          <w:u w:val="single"/>
        </w:rPr>
        <w:t>and</w:t>
      </w:r>
      <w:r>
        <w:rPr>
          <w:spacing w:val="-11"/>
          <w:u w:val="single"/>
        </w:rPr>
        <w:t> </w:t>
      </w:r>
      <w:r>
        <w:rPr>
          <w:u w:val="single"/>
        </w:rPr>
        <w:t>Corporate</w:t>
      </w:r>
      <w:r>
        <w:rPr>
          <w:spacing w:val="-11"/>
          <w:u w:val="single"/>
        </w:rPr>
        <w:t> </w:t>
      </w:r>
      <w:r>
        <w:rPr>
          <w:u w:val="single"/>
        </w:rPr>
        <w:t>Governance</w:t>
      </w:r>
      <w:r>
        <w:rPr>
          <w:spacing w:val="-11"/>
          <w:u w:val="single"/>
        </w:rPr>
        <w:t> </w:t>
      </w:r>
      <w:r>
        <w:rPr>
          <w:u w:val="single"/>
        </w:rPr>
        <w:t>Committee</w:t>
      </w:r>
      <w:r>
        <w:rPr/>
        <w:t> </w:t>
      </w:r>
      <w:r>
        <w:rPr>
          <w:w w:val="105"/>
        </w:rPr>
        <w:t>Chair: </w:t>
      </w:r>
      <w:r>
        <w:rPr>
          <w:b w:val="0"/>
          <w:w w:val="105"/>
        </w:rPr>
        <w:t>Dr. Chertoff</w:t>
      </w:r>
    </w:p>
    <w:p>
      <w:pPr>
        <w:spacing w:before="0"/>
        <w:ind w:left="0" w:right="1" w:firstLine="0"/>
        <w:jc w:val="center"/>
        <w:rPr>
          <w:sz w:val="18"/>
        </w:rPr>
      </w:pPr>
      <w:r>
        <w:rPr>
          <w:b/>
          <w:w w:val="105"/>
          <w:sz w:val="18"/>
        </w:rPr>
        <w:t>Additional</w:t>
      </w:r>
      <w:r>
        <w:rPr>
          <w:b/>
          <w:spacing w:val="-12"/>
          <w:w w:val="105"/>
          <w:sz w:val="18"/>
        </w:rPr>
        <w:t> </w:t>
      </w:r>
      <w:r>
        <w:rPr>
          <w:b/>
          <w:w w:val="105"/>
          <w:sz w:val="18"/>
        </w:rPr>
        <w:t>Members:</w:t>
      </w:r>
      <w:r>
        <w:rPr>
          <w:b/>
          <w:spacing w:val="-12"/>
          <w:w w:val="105"/>
          <w:sz w:val="18"/>
        </w:rPr>
        <w:t> </w:t>
      </w:r>
      <w:r>
        <w:rPr>
          <w:w w:val="105"/>
          <w:sz w:val="18"/>
        </w:rPr>
        <w:t>Mr.</w:t>
      </w:r>
      <w:r>
        <w:rPr>
          <w:spacing w:val="-11"/>
          <w:w w:val="105"/>
          <w:sz w:val="18"/>
        </w:rPr>
        <w:t> </w:t>
      </w:r>
      <w:r>
        <w:rPr>
          <w:w w:val="105"/>
          <w:sz w:val="18"/>
        </w:rPr>
        <w:t>Guertin,</w:t>
      </w:r>
      <w:r>
        <w:rPr>
          <w:spacing w:val="-6"/>
          <w:w w:val="105"/>
          <w:sz w:val="18"/>
        </w:rPr>
        <w:t> </w:t>
      </w:r>
      <w:r>
        <w:rPr>
          <w:w w:val="105"/>
          <w:sz w:val="18"/>
        </w:rPr>
        <w:t>Mr.</w:t>
      </w:r>
      <w:r>
        <w:rPr>
          <w:spacing w:val="-5"/>
          <w:w w:val="105"/>
          <w:sz w:val="18"/>
        </w:rPr>
        <w:t> </w:t>
      </w:r>
      <w:r>
        <w:rPr>
          <w:w w:val="105"/>
          <w:sz w:val="18"/>
        </w:rPr>
        <w:t>Rosebrough,</w:t>
      </w:r>
      <w:r>
        <w:rPr>
          <w:spacing w:val="-6"/>
          <w:w w:val="105"/>
          <w:sz w:val="18"/>
        </w:rPr>
        <w:t> </w:t>
      </w:r>
      <w:r>
        <w:rPr>
          <w:w w:val="105"/>
          <w:sz w:val="18"/>
        </w:rPr>
        <w:t>and</w:t>
      </w:r>
      <w:r>
        <w:rPr>
          <w:spacing w:val="-5"/>
          <w:w w:val="105"/>
          <w:sz w:val="18"/>
        </w:rPr>
        <w:t> </w:t>
      </w:r>
      <w:r>
        <w:rPr>
          <w:w w:val="105"/>
          <w:sz w:val="18"/>
        </w:rPr>
        <w:t>Ms.</w:t>
      </w:r>
      <w:r>
        <w:rPr>
          <w:spacing w:val="-9"/>
          <w:w w:val="105"/>
          <w:sz w:val="18"/>
        </w:rPr>
        <w:t> </w:t>
      </w:r>
      <w:r>
        <w:rPr>
          <w:spacing w:val="-2"/>
          <w:w w:val="105"/>
          <w:sz w:val="18"/>
        </w:rPr>
        <w:t>Tsingos</w:t>
      </w:r>
    </w:p>
    <w:p>
      <w:pPr>
        <w:pStyle w:val="Heading2"/>
        <w:spacing w:before="17"/>
        <w:ind w:left="0" w:right="1"/>
        <w:jc w:val="center"/>
        <w:rPr>
          <w:b w:val="0"/>
        </w:rPr>
      </w:pPr>
      <w:r>
        <w:rPr>
          <w:spacing w:val="-2"/>
        </w:rPr>
        <w:t>Meetings</w:t>
      </w:r>
      <w:r>
        <w:rPr>
          <w:spacing w:val="-4"/>
        </w:rPr>
        <w:t> </w:t>
      </w:r>
      <w:r>
        <w:rPr>
          <w:spacing w:val="-2"/>
        </w:rPr>
        <w:t>in</w:t>
      </w:r>
      <w:r>
        <w:rPr>
          <w:spacing w:val="-3"/>
        </w:rPr>
        <w:t> </w:t>
      </w:r>
      <w:r>
        <w:rPr>
          <w:spacing w:val="-2"/>
        </w:rPr>
        <w:t>Fiscal</w:t>
      </w:r>
      <w:r>
        <w:rPr>
          <w:spacing w:val="-11"/>
        </w:rPr>
        <w:t> </w:t>
      </w:r>
      <w:r>
        <w:rPr>
          <w:spacing w:val="-2"/>
        </w:rPr>
        <w:t>Year</w:t>
      </w:r>
      <w:r>
        <w:rPr>
          <w:spacing w:val="-8"/>
        </w:rPr>
        <w:t> </w:t>
      </w:r>
      <w:r>
        <w:rPr>
          <w:spacing w:val="-2"/>
        </w:rPr>
        <w:t>2022:</w:t>
      </w:r>
      <w:r>
        <w:rPr>
          <w:spacing w:val="-4"/>
        </w:rPr>
        <w:t> </w:t>
      </w:r>
      <w:r>
        <w:rPr>
          <w:b w:val="0"/>
          <w:spacing w:val="-10"/>
        </w:rPr>
        <w:t>6</w:t>
      </w:r>
    </w:p>
    <w:p>
      <w:pPr>
        <w:pStyle w:val="BodyText"/>
        <w:spacing w:before="10"/>
        <w:rPr>
          <w:sz w:val="20"/>
        </w:rPr>
      </w:pPr>
    </w:p>
    <w:p>
      <w:pPr>
        <w:spacing w:before="0"/>
        <w:ind w:left="1772" w:right="0" w:firstLine="0"/>
        <w:jc w:val="left"/>
        <w:rPr>
          <w:i/>
          <w:sz w:val="18"/>
        </w:rPr>
      </w:pPr>
      <w:r>
        <w:rPr>
          <w:i/>
          <w:w w:val="105"/>
          <w:sz w:val="18"/>
        </w:rPr>
        <w:t>Committee</w:t>
      </w:r>
      <w:r>
        <w:rPr>
          <w:i/>
          <w:spacing w:val="15"/>
          <w:w w:val="105"/>
          <w:sz w:val="18"/>
        </w:rPr>
        <w:t> </w:t>
      </w:r>
      <w:r>
        <w:rPr>
          <w:i/>
          <w:spacing w:val="-2"/>
          <w:w w:val="105"/>
          <w:sz w:val="18"/>
        </w:rPr>
        <w:t>Functions:</w:t>
      </w:r>
    </w:p>
    <w:p>
      <w:pPr>
        <w:pStyle w:val="ListParagraph"/>
        <w:numPr>
          <w:ilvl w:val="1"/>
          <w:numId w:val="20"/>
        </w:numPr>
        <w:tabs>
          <w:tab w:pos="1960" w:val="left" w:leader="none"/>
        </w:tabs>
        <w:spacing w:line="259" w:lineRule="auto" w:before="129" w:after="0"/>
        <w:ind w:left="1959" w:right="1688" w:hanging="187"/>
        <w:jc w:val="left"/>
        <w:rPr>
          <w:sz w:val="18"/>
        </w:rPr>
      </w:pPr>
      <w:r>
        <w:rPr>
          <w:w w:val="105"/>
          <w:sz w:val="18"/>
        </w:rPr>
        <w:t>Develops and recommends to the Board corporate governance principles, including our Corporate Governance Guidelines, Code of Conduct, and Related Party Transaction Policy.</w:t>
      </w:r>
    </w:p>
    <w:p>
      <w:pPr>
        <w:pStyle w:val="ListParagraph"/>
        <w:numPr>
          <w:ilvl w:val="1"/>
          <w:numId w:val="20"/>
        </w:numPr>
        <w:tabs>
          <w:tab w:pos="1960" w:val="left" w:leader="none"/>
        </w:tabs>
        <w:spacing w:line="259" w:lineRule="auto" w:before="112" w:after="0"/>
        <w:ind w:left="1959" w:right="1490" w:hanging="187"/>
        <w:jc w:val="left"/>
        <w:rPr>
          <w:sz w:val="18"/>
        </w:rPr>
      </w:pPr>
      <w:r>
        <w:rPr>
          <w:w w:val="105"/>
          <w:sz w:val="18"/>
        </w:rPr>
        <w:t>Identifies, evaluates, and recommends to the Board potential nominees to the Board, including those received from stockholders.</w:t>
      </w:r>
    </w:p>
    <w:p>
      <w:pPr>
        <w:pStyle w:val="ListParagraph"/>
        <w:numPr>
          <w:ilvl w:val="1"/>
          <w:numId w:val="20"/>
        </w:numPr>
        <w:tabs>
          <w:tab w:pos="1960" w:val="left" w:leader="none"/>
        </w:tabs>
        <w:spacing w:line="259" w:lineRule="auto" w:before="112" w:after="0"/>
        <w:ind w:left="1959" w:right="2012" w:hanging="187"/>
        <w:jc w:val="left"/>
        <w:rPr>
          <w:sz w:val="18"/>
        </w:rPr>
      </w:pPr>
      <w:r>
        <w:rPr>
          <w:w w:val="105"/>
          <w:sz w:val="18"/>
        </w:rPr>
        <w:t>Reviews with the Board annually the independence, skills and characteristics of all individual members and the skills and characteristics of the Board as a whole in determining whether to recommend incumbent directors for re-election.</w:t>
      </w:r>
    </w:p>
    <w:p>
      <w:pPr>
        <w:pStyle w:val="ListParagraph"/>
        <w:numPr>
          <w:ilvl w:val="1"/>
          <w:numId w:val="20"/>
        </w:numPr>
        <w:tabs>
          <w:tab w:pos="1960" w:val="left" w:leader="none"/>
        </w:tabs>
        <w:spacing w:line="259" w:lineRule="auto" w:before="112" w:after="0"/>
        <w:ind w:left="1959" w:right="1828" w:hanging="187"/>
        <w:jc w:val="left"/>
        <w:rPr>
          <w:sz w:val="18"/>
        </w:rPr>
      </w:pPr>
      <w:r>
        <w:rPr>
          <w:w w:val="105"/>
          <w:sz w:val="18"/>
        </w:rPr>
        <w:t>Evaluates and makes recommendations to the Board concerning the size of the Board, the appointment of directors to Board committees, the qualifications of committee members and the selection of Board committee chairs.</w:t>
      </w:r>
    </w:p>
    <w:p>
      <w:pPr>
        <w:pStyle w:val="ListParagraph"/>
        <w:numPr>
          <w:ilvl w:val="1"/>
          <w:numId w:val="20"/>
        </w:numPr>
        <w:tabs>
          <w:tab w:pos="1960" w:val="left" w:leader="none"/>
        </w:tabs>
        <w:spacing w:line="259" w:lineRule="auto" w:before="112" w:after="0"/>
        <w:ind w:left="1959" w:right="1802" w:hanging="187"/>
        <w:jc w:val="left"/>
        <w:rPr>
          <w:sz w:val="18"/>
        </w:rPr>
      </w:pPr>
      <w:r>
        <w:rPr>
          <w:w w:val="105"/>
          <w:sz w:val="18"/>
        </w:rPr>
        <w:t>Reviews and determines whether to approve all related party transactions in accordance with the Related Party Transaction Policy.</w:t>
      </w:r>
    </w:p>
    <w:p>
      <w:pPr>
        <w:pStyle w:val="ListParagraph"/>
        <w:numPr>
          <w:ilvl w:val="1"/>
          <w:numId w:val="20"/>
        </w:numPr>
        <w:tabs>
          <w:tab w:pos="1960" w:val="left" w:leader="none"/>
        </w:tabs>
        <w:spacing w:line="240" w:lineRule="auto" w:before="112" w:after="0"/>
        <w:ind w:left="1959" w:right="0" w:hanging="188"/>
        <w:jc w:val="left"/>
        <w:rPr>
          <w:sz w:val="18"/>
        </w:rPr>
      </w:pPr>
      <w:r>
        <w:rPr>
          <w:w w:val="105"/>
          <w:sz w:val="18"/>
        </w:rPr>
        <w:t>Oversees</w:t>
      </w:r>
      <w:r>
        <w:rPr>
          <w:spacing w:val="11"/>
          <w:w w:val="105"/>
          <w:sz w:val="18"/>
        </w:rPr>
        <w:t> </w:t>
      </w:r>
      <w:r>
        <w:rPr>
          <w:w w:val="105"/>
          <w:sz w:val="18"/>
        </w:rPr>
        <w:t>the</w:t>
      </w:r>
      <w:r>
        <w:rPr>
          <w:spacing w:val="11"/>
          <w:w w:val="105"/>
          <w:sz w:val="18"/>
        </w:rPr>
        <w:t> </w:t>
      </w:r>
      <w:r>
        <w:rPr>
          <w:w w:val="105"/>
          <w:sz w:val="18"/>
        </w:rPr>
        <w:t>annual</w:t>
      </w:r>
      <w:r>
        <w:rPr>
          <w:spacing w:val="11"/>
          <w:w w:val="105"/>
          <w:sz w:val="18"/>
        </w:rPr>
        <w:t> </w:t>
      </w:r>
      <w:r>
        <w:rPr>
          <w:w w:val="105"/>
          <w:sz w:val="18"/>
        </w:rPr>
        <w:t>review</w:t>
      </w:r>
      <w:r>
        <w:rPr>
          <w:spacing w:val="12"/>
          <w:w w:val="105"/>
          <w:sz w:val="18"/>
        </w:rPr>
        <w:t> </w:t>
      </w:r>
      <w:r>
        <w:rPr>
          <w:w w:val="105"/>
          <w:sz w:val="18"/>
        </w:rPr>
        <w:t>of</w:t>
      </w:r>
      <w:r>
        <w:rPr>
          <w:spacing w:val="11"/>
          <w:w w:val="105"/>
          <w:sz w:val="18"/>
        </w:rPr>
        <w:t> </w:t>
      </w:r>
      <w:r>
        <w:rPr>
          <w:w w:val="105"/>
          <w:sz w:val="18"/>
        </w:rPr>
        <w:t>director</w:t>
      </w:r>
      <w:r>
        <w:rPr>
          <w:spacing w:val="11"/>
          <w:w w:val="105"/>
          <w:sz w:val="18"/>
        </w:rPr>
        <w:t> </w:t>
      </w:r>
      <w:r>
        <w:rPr>
          <w:w w:val="105"/>
          <w:sz w:val="18"/>
        </w:rPr>
        <w:t>independence</w:t>
      </w:r>
      <w:r>
        <w:rPr>
          <w:spacing w:val="11"/>
          <w:w w:val="105"/>
          <w:sz w:val="18"/>
        </w:rPr>
        <w:t> </w:t>
      </w:r>
      <w:r>
        <w:rPr>
          <w:w w:val="105"/>
          <w:sz w:val="18"/>
        </w:rPr>
        <w:t>and</w:t>
      </w:r>
      <w:r>
        <w:rPr>
          <w:spacing w:val="12"/>
          <w:w w:val="105"/>
          <w:sz w:val="18"/>
        </w:rPr>
        <w:t> </w:t>
      </w:r>
      <w:r>
        <w:rPr>
          <w:w w:val="105"/>
          <w:sz w:val="18"/>
        </w:rPr>
        <w:t>evaluation</w:t>
      </w:r>
      <w:r>
        <w:rPr>
          <w:spacing w:val="11"/>
          <w:w w:val="105"/>
          <w:sz w:val="18"/>
        </w:rPr>
        <w:t> </w:t>
      </w:r>
      <w:r>
        <w:rPr>
          <w:w w:val="105"/>
          <w:sz w:val="18"/>
        </w:rPr>
        <w:t>of</w:t>
      </w:r>
      <w:r>
        <w:rPr>
          <w:spacing w:val="11"/>
          <w:w w:val="105"/>
          <w:sz w:val="18"/>
        </w:rPr>
        <w:t> </w:t>
      </w:r>
      <w:r>
        <w:rPr>
          <w:w w:val="105"/>
          <w:sz w:val="18"/>
        </w:rPr>
        <w:t>the</w:t>
      </w:r>
      <w:r>
        <w:rPr>
          <w:spacing w:val="11"/>
          <w:w w:val="105"/>
          <w:sz w:val="18"/>
        </w:rPr>
        <w:t> </w:t>
      </w:r>
      <w:r>
        <w:rPr>
          <w:w w:val="105"/>
          <w:sz w:val="18"/>
        </w:rPr>
        <w:t>Board’s</w:t>
      </w:r>
      <w:r>
        <w:rPr>
          <w:spacing w:val="12"/>
          <w:w w:val="105"/>
          <w:sz w:val="18"/>
        </w:rPr>
        <w:t> </w:t>
      </w:r>
      <w:r>
        <w:rPr>
          <w:spacing w:val="-2"/>
          <w:w w:val="105"/>
          <w:sz w:val="18"/>
        </w:rPr>
        <w:t>performance.</w:t>
      </w:r>
    </w:p>
    <w:p>
      <w:pPr>
        <w:pStyle w:val="ListParagraph"/>
        <w:numPr>
          <w:ilvl w:val="1"/>
          <w:numId w:val="20"/>
        </w:numPr>
        <w:tabs>
          <w:tab w:pos="1960" w:val="left" w:leader="none"/>
        </w:tabs>
        <w:spacing w:line="259" w:lineRule="auto" w:before="129" w:after="0"/>
        <w:ind w:left="1959" w:right="1643" w:hanging="187"/>
        <w:jc w:val="left"/>
        <w:rPr>
          <w:sz w:val="18"/>
        </w:rPr>
      </w:pPr>
      <w:r>
        <w:rPr>
          <w:w w:val="105"/>
          <w:sz w:val="18"/>
        </w:rPr>
        <w:t>Assists the Board in exercising oversight with respect to our ESG programs, policies and practices and related disclosures, and makes recommendations to the Board regarding our overall general strategy with respect to ESG matters.</w:t>
      </w:r>
    </w:p>
    <w:p>
      <w:pPr>
        <w:spacing w:after="0" w:line="259" w:lineRule="auto"/>
        <w:jc w:val="left"/>
        <w:rPr>
          <w:sz w:val="18"/>
        </w:rPr>
        <w:sectPr>
          <w:headerReference w:type="default" r:id="rId83"/>
          <w:footerReference w:type="default" r:id="rId84"/>
          <w:pgSz w:w="12240" w:h="15840"/>
          <w:pgMar w:header="529" w:footer="2015" w:top="720" w:bottom="2200" w:left="480" w:right="460"/>
        </w:sectPr>
      </w:pPr>
    </w:p>
    <w:p>
      <w:pPr>
        <w:pStyle w:val="BodyText"/>
        <w:rPr>
          <w:sz w:val="20"/>
        </w:rPr>
      </w:pPr>
      <w:r>
        <w:rPr/>
        <w:pict>
          <v:group style="position:absolute;margin-left:28.999998pt;margin-top:734.982971pt;width:555pt;height:1.4pt;mso-position-horizontal-relative:page;mso-position-vertical-relative:page;z-index:15752192" id="docshapegroup174" coordorigin="580,14700" coordsize="11100,28">
            <v:rect style="position:absolute;left:580;top:14699;width:11100;height:14" id="docshape175" filled="true" fillcolor="#999999" stroked="false">
              <v:fill type="solid"/>
            </v:rect>
            <v:shape style="position:absolute;left:579;top:14699;width:11100;height:28" id="docshape176" coordorigin="580,14700" coordsize="11100,28" path="m11680,14700l11666,14714,580,14714,580,14728,11666,14728,11680,14728,11680,14714,11680,14700xe" filled="true" fillcolor="#ededed" stroked="false">
              <v:path arrowok="t"/>
              <v:fill type="solid"/>
            </v:shape>
            <v:shape style="position:absolute;left:580;top:14699;width:14;height:28" id="docshape177" coordorigin="580,14700" coordsize="14,28" path="m580,14728l580,14700,594,14700,594,14714,580,14728xe" filled="true" fillcolor="#999999" stroked="false">
              <v:path arrowok="t"/>
              <v:fill type="solid"/>
            </v:shape>
            <w10:wrap type="none"/>
          </v:group>
        </w:pict>
      </w:r>
    </w:p>
    <w:p>
      <w:pPr>
        <w:pStyle w:val="BodyText"/>
        <w:rPr>
          <w:sz w:val="20"/>
        </w:rPr>
      </w:pPr>
    </w:p>
    <w:p>
      <w:pPr>
        <w:pStyle w:val="BodyText"/>
        <w:spacing w:before="2"/>
        <w:rPr>
          <w:sz w:val="27"/>
        </w:rPr>
      </w:pPr>
    </w:p>
    <w:p>
      <w:pPr>
        <w:pStyle w:val="Heading1"/>
      </w:pPr>
      <w:bookmarkStart w:name="_TOC_250034" w:id="9"/>
      <w:r>
        <w:rPr/>
        <w:t>ENVIRONMENTAL,</w:t>
      </w:r>
      <w:r>
        <w:rPr>
          <w:spacing w:val="-11"/>
        </w:rPr>
        <w:t> </w:t>
      </w:r>
      <w:r>
        <w:rPr/>
        <w:t>SOCIAL,</w:t>
      </w:r>
      <w:r>
        <w:rPr>
          <w:spacing w:val="-17"/>
        </w:rPr>
        <w:t> </w:t>
      </w:r>
      <w:r>
        <w:rPr/>
        <w:t>AND</w:t>
      </w:r>
      <w:r>
        <w:rPr>
          <w:spacing w:val="-9"/>
        </w:rPr>
        <w:t> </w:t>
      </w:r>
      <w:r>
        <w:rPr/>
        <w:t>GOVERNANCE</w:t>
      </w:r>
      <w:r>
        <w:rPr>
          <w:spacing w:val="-9"/>
        </w:rPr>
        <w:t> </w:t>
      </w:r>
      <w:bookmarkEnd w:id="9"/>
      <w:r>
        <w:rPr>
          <w:spacing w:val="-2"/>
        </w:rPr>
        <w:t>MATTERS</w:t>
      </w:r>
    </w:p>
    <w:p>
      <w:pPr>
        <w:pStyle w:val="BodyText"/>
        <w:spacing w:before="11"/>
        <w:rPr>
          <w:b/>
          <w:sz w:val="20"/>
        </w:rPr>
      </w:pPr>
    </w:p>
    <w:p>
      <w:pPr>
        <w:pStyle w:val="Heading2"/>
      </w:pPr>
      <w:r>
        <w:rPr>
          <w:spacing w:val="-2"/>
        </w:rPr>
        <w:t>Our</w:t>
      </w:r>
      <w:r>
        <w:rPr>
          <w:spacing w:val="-1"/>
        </w:rPr>
        <w:t> </w:t>
      </w:r>
      <w:r>
        <w:rPr>
          <w:spacing w:val="-2"/>
        </w:rPr>
        <w:t>ESG/Sustainability</w:t>
      </w:r>
      <w:r>
        <w:rPr>
          <w:spacing w:val="4"/>
        </w:rPr>
        <w:t> </w:t>
      </w:r>
      <w:r>
        <w:rPr>
          <w:spacing w:val="-2"/>
        </w:rPr>
        <w:t>Strategy</w:t>
      </w:r>
    </w:p>
    <w:p>
      <w:pPr>
        <w:pStyle w:val="BodyText"/>
        <w:spacing w:line="259" w:lineRule="auto" w:before="170"/>
        <w:ind w:left="1400" w:right="1551" w:firstLine="372"/>
      </w:pPr>
      <w:r>
        <w:rPr>
          <w:w w:val="105"/>
        </w:rPr>
        <w:t>Managing the environmental, social, and governance aspects of our business is the central focus of our</w:t>
      </w:r>
      <w:r>
        <w:rPr>
          <w:spacing w:val="40"/>
          <w:w w:val="105"/>
        </w:rPr>
        <w:t> </w:t>
      </w:r>
      <w:r>
        <w:rPr>
          <w:w w:val="105"/>
        </w:rPr>
        <w:t>ESG/Sustainability strategy. From innovating new products and services to building relationships with our customers and local communities, our ESG/Sustainability strategy guides us in operating a responsible and</w:t>
      </w:r>
      <w:r>
        <w:rPr>
          <w:spacing w:val="40"/>
          <w:w w:val="105"/>
        </w:rPr>
        <w:t> </w:t>
      </w:r>
      <w:r>
        <w:rPr>
          <w:w w:val="105"/>
        </w:rPr>
        <w:t>resilient business. It addresses four key areas:</w:t>
      </w:r>
    </w:p>
    <w:p>
      <w:pPr>
        <w:pStyle w:val="ListParagraph"/>
        <w:numPr>
          <w:ilvl w:val="1"/>
          <w:numId w:val="20"/>
        </w:numPr>
        <w:tabs>
          <w:tab w:pos="1960" w:val="left" w:leader="none"/>
        </w:tabs>
        <w:spacing w:line="240" w:lineRule="auto" w:before="113" w:after="0"/>
        <w:ind w:left="1959" w:right="0" w:hanging="188"/>
        <w:jc w:val="left"/>
        <w:rPr>
          <w:sz w:val="18"/>
        </w:rPr>
      </w:pPr>
      <w:r>
        <w:rPr>
          <w:w w:val="105"/>
          <w:sz w:val="18"/>
        </w:rPr>
        <w:t>Inspiring</w:t>
      </w:r>
      <w:r>
        <w:rPr>
          <w:spacing w:val="17"/>
          <w:w w:val="105"/>
          <w:sz w:val="18"/>
        </w:rPr>
        <w:t> </w:t>
      </w:r>
      <w:r>
        <w:rPr>
          <w:spacing w:val="-2"/>
          <w:w w:val="105"/>
          <w:sz w:val="18"/>
        </w:rPr>
        <w:t>Innovation</w:t>
      </w:r>
    </w:p>
    <w:p>
      <w:pPr>
        <w:pStyle w:val="ListParagraph"/>
        <w:numPr>
          <w:ilvl w:val="1"/>
          <w:numId w:val="20"/>
        </w:numPr>
        <w:tabs>
          <w:tab w:pos="1960" w:val="left" w:leader="none"/>
        </w:tabs>
        <w:spacing w:line="240" w:lineRule="auto" w:before="142" w:after="0"/>
        <w:ind w:left="1959" w:right="0" w:hanging="188"/>
        <w:jc w:val="left"/>
        <w:rPr>
          <w:sz w:val="18"/>
        </w:rPr>
      </w:pPr>
      <w:r>
        <w:rPr>
          <w:w w:val="105"/>
          <w:sz w:val="18"/>
        </w:rPr>
        <w:t>Protecting</w:t>
      </w:r>
      <w:r>
        <w:rPr>
          <w:spacing w:val="13"/>
          <w:w w:val="105"/>
          <w:sz w:val="18"/>
        </w:rPr>
        <w:t> </w:t>
      </w:r>
      <w:r>
        <w:rPr>
          <w:w w:val="105"/>
          <w:sz w:val="18"/>
        </w:rPr>
        <w:t>the</w:t>
      </w:r>
      <w:r>
        <w:rPr>
          <w:spacing w:val="14"/>
          <w:w w:val="105"/>
          <w:sz w:val="18"/>
        </w:rPr>
        <w:t> </w:t>
      </w:r>
      <w:r>
        <w:rPr>
          <w:spacing w:val="-2"/>
          <w:w w:val="105"/>
          <w:sz w:val="18"/>
        </w:rPr>
        <w:t>Environment</w:t>
      </w:r>
    </w:p>
    <w:p>
      <w:pPr>
        <w:pStyle w:val="ListParagraph"/>
        <w:numPr>
          <w:ilvl w:val="1"/>
          <w:numId w:val="20"/>
        </w:numPr>
        <w:tabs>
          <w:tab w:pos="1960" w:val="left" w:leader="none"/>
        </w:tabs>
        <w:spacing w:line="240" w:lineRule="auto" w:before="129" w:after="0"/>
        <w:ind w:left="1959" w:right="0" w:hanging="188"/>
        <w:jc w:val="left"/>
        <w:rPr>
          <w:sz w:val="18"/>
        </w:rPr>
      </w:pPr>
      <w:r>
        <w:rPr>
          <w:w w:val="105"/>
          <w:sz w:val="18"/>
        </w:rPr>
        <w:t>Empowering</w:t>
      </w:r>
      <w:r>
        <w:rPr>
          <w:spacing w:val="11"/>
          <w:w w:val="105"/>
          <w:sz w:val="18"/>
        </w:rPr>
        <w:t> </w:t>
      </w:r>
      <w:r>
        <w:rPr>
          <w:w w:val="105"/>
          <w:sz w:val="18"/>
        </w:rPr>
        <w:t>People</w:t>
      </w:r>
      <w:r>
        <w:rPr>
          <w:spacing w:val="12"/>
          <w:w w:val="105"/>
          <w:sz w:val="18"/>
        </w:rPr>
        <w:t> </w:t>
      </w:r>
      <w:r>
        <w:rPr>
          <w:w w:val="105"/>
          <w:sz w:val="18"/>
        </w:rPr>
        <w:t>and</w:t>
      </w:r>
      <w:r>
        <w:rPr>
          <w:spacing w:val="11"/>
          <w:w w:val="105"/>
          <w:sz w:val="18"/>
        </w:rPr>
        <w:t> </w:t>
      </w:r>
      <w:r>
        <w:rPr>
          <w:spacing w:val="-2"/>
          <w:w w:val="105"/>
          <w:sz w:val="18"/>
        </w:rPr>
        <w:t>Communities</w:t>
      </w:r>
    </w:p>
    <w:p>
      <w:pPr>
        <w:pStyle w:val="ListParagraph"/>
        <w:numPr>
          <w:ilvl w:val="1"/>
          <w:numId w:val="20"/>
        </w:numPr>
        <w:tabs>
          <w:tab w:pos="1960" w:val="left" w:leader="none"/>
        </w:tabs>
        <w:spacing w:line="240" w:lineRule="auto" w:before="128" w:after="0"/>
        <w:ind w:left="1959" w:right="0" w:hanging="188"/>
        <w:jc w:val="left"/>
        <w:rPr>
          <w:sz w:val="18"/>
        </w:rPr>
      </w:pPr>
      <w:r>
        <w:rPr>
          <w:w w:val="105"/>
          <w:sz w:val="18"/>
        </w:rPr>
        <w:t>Acting</w:t>
      </w:r>
      <w:r>
        <w:rPr>
          <w:spacing w:val="10"/>
          <w:w w:val="105"/>
          <w:sz w:val="18"/>
        </w:rPr>
        <w:t> </w:t>
      </w:r>
      <w:r>
        <w:rPr>
          <w:w w:val="105"/>
          <w:sz w:val="18"/>
        </w:rPr>
        <w:t>with</w:t>
      </w:r>
      <w:r>
        <w:rPr>
          <w:spacing w:val="11"/>
          <w:w w:val="105"/>
          <w:sz w:val="18"/>
        </w:rPr>
        <w:t> </w:t>
      </w:r>
      <w:r>
        <w:rPr>
          <w:spacing w:val="-2"/>
          <w:w w:val="105"/>
          <w:sz w:val="18"/>
        </w:rPr>
        <w:t>Integrity</w:t>
      </w:r>
    </w:p>
    <w:p>
      <w:pPr>
        <w:pStyle w:val="BodyText"/>
        <w:spacing w:before="4"/>
        <w:rPr>
          <w:sz w:val="12"/>
        </w:rPr>
      </w:pPr>
    </w:p>
    <w:p>
      <w:pPr>
        <w:pStyle w:val="Heading2"/>
        <w:spacing w:before="99"/>
      </w:pPr>
      <w:r>
        <w:rPr>
          <w:spacing w:val="-2"/>
        </w:rPr>
        <w:t>Inspiring</w:t>
      </w:r>
      <w:r>
        <w:rPr>
          <w:spacing w:val="1"/>
        </w:rPr>
        <w:t> </w:t>
      </w:r>
      <w:r>
        <w:rPr>
          <w:spacing w:val="-2"/>
        </w:rPr>
        <w:t>Innovation</w:t>
      </w:r>
    </w:p>
    <w:p>
      <w:pPr>
        <w:pStyle w:val="BodyText"/>
        <w:spacing w:line="259" w:lineRule="auto" w:before="170"/>
        <w:ind w:left="1400" w:right="1551" w:firstLine="372"/>
      </w:pPr>
      <w:r>
        <w:rPr>
          <w:w w:val="105"/>
        </w:rPr>
        <w:t>Innovation is at the heart of our aspiration to secure a healthier, safer future for all. The products we</w:t>
      </w:r>
      <w:r>
        <w:rPr>
          <w:spacing w:val="40"/>
          <w:w w:val="105"/>
        </w:rPr>
        <w:t> </w:t>
      </w:r>
      <w:r>
        <w:rPr>
          <w:w w:val="105"/>
        </w:rPr>
        <w:t>develop enable our customers to deliver high-quality services to those who need them most, from illness</w:t>
      </w:r>
      <w:r>
        <w:rPr>
          <w:spacing w:val="40"/>
          <w:w w:val="105"/>
        </w:rPr>
        <w:t> </w:t>
      </w:r>
      <w:r>
        <w:rPr>
          <w:w w:val="105"/>
        </w:rPr>
        <w:t>detection</w:t>
      </w:r>
      <w:r>
        <w:rPr>
          <w:spacing w:val="16"/>
          <w:w w:val="105"/>
        </w:rPr>
        <w:t> </w:t>
      </w:r>
      <w:r>
        <w:rPr>
          <w:w w:val="105"/>
        </w:rPr>
        <w:t>to</w:t>
      </w:r>
      <w:r>
        <w:rPr>
          <w:spacing w:val="16"/>
          <w:w w:val="105"/>
        </w:rPr>
        <w:t> </w:t>
      </w:r>
      <w:r>
        <w:rPr>
          <w:w w:val="105"/>
        </w:rPr>
        <w:t>security</w:t>
      </w:r>
      <w:r>
        <w:rPr>
          <w:spacing w:val="16"/>
          <w:w w:val="105"/>
        </w:rPr>
        <w:t> </w:t>
      </w:r>
      <w:r>
        <w:rPr>
          <w:w w:val="105"/>
        </w:rPr>
        <w:t>screening.</w:t>
      </w:r>
      <w:r>
        <w:rPr>
          <w:spacing w:val="16"/>
          <w:w w:val="105"/>
        </w:rPr>
        <w:t> </w:t>
      </w:r>
      <w:r>
        <w:rPr>
          <w:w w:val="105"/>
        </w:rPr>
        <w:t>By</w:t>
      </w:r>
      <w:r>
        <w:rPr>
          <w:spacing w:val="16"/>
          <w:w w:val="105"/>
        </w:rPr>
        <w:t> </w:t>
      </w:r>
      <w:r>
        <w:rPr>
          <w:w w:val="105"/>
        </w:rPr>
        <w:t>producing</w:t>
      </w:r>
      <w:r>
        <w:rPr>
          <w:spacing w:val="16"/>
          <w:w w:val="105"/>
        </w:rPr>
        <w:t> </w:t>
      </w:r>
      <w:r>
        <w:rPr>
          <w:w w:val="105"/>
        </w:rPr>
        <w:t>innovative</w:t>
      </w:r>
      <w:r>
        <w:rPr>
          <w:spacing w:val="16"/>
          <w:w w:val="105"/>
        </w:rPr>
        <w:t> </w:t>
      </w:r>
      <w:r>
        <w:rPr>
          <w:w w:val="105"/>
        </w:rPr>
        <w:t>components,</w:t>
      </w:r>
      <w:r>
        <w:rPr>
          <w:spacing w:val="16"/>
          <w:w w:val="105"/>
        </w:rPr>
        <w:t> </w:t>
      </w:r>
      <w:r>
        <w:rPr>
          <w:w w:val="105"/>
        </w:rPr>
        <w:t>we</w:t>
      </w:r>
      <w:r>
        <w:rPr>
          <w:spacing w:val="16"/>
          <w:w w:val="105"/>
        </w:rPr>
        <w:t> </w:t>
      </w:r>
      <w:r>
        <w:rPr>
          <w:w w:val="105"/>
        </w:rPr>
        <w:t>are</w:t>
      </w:r>
      <w:r>
        <w:rPr>
          <w:spacing w:val="16"/>
          <w:w w:val="105"/>
        </w:rPr>
        <w:t> </w:t>
      </w:r>
      <w:r>
        <w:rPr>
          <w:w w:val="105"/>
        </w:rPr>
        <w:t>also</w:t>
      </w:r>
      <w:r>
        <w:rPr>
          <w:spacing w:val="16"/>
          <w:w w:val="105"/>
        </w:rPr>
        <w:t> </w:t>
      </w:r>
      <w:r>
        <w:rPr>
          <w:w w:val="105"/>
        </w:rPr>
        <w:t>supporting</w:t>
      </w:r>
      <w:r>
        <w:rPr>
          <w:spacing w:val="16"/>
          <w:w w:val="105"/>
        </w:rPr>
        <w:t> </w:t>
      </w:r>
      <w:r>
        <w:rPr>
          <w:w w:val="105"/>
        </w:rPr>
        <w:t>our</w:t>
      </w:r>
      <w:r>
        <w:rPr>
          <w:spacing w:val="16"/>
          <w:w w:val="105"/>
        </w:rPr>
        <w:t> </w:t>
      </w:r>
      <w:r>
        <w:rPr>
          <w:w w:val="105"/>
        </w:rPr>
        <w:t>vision</w:t>
      </w:r>
      <w:r>
        <w:rPr>
          <w:spacing w:val="16"/>
          <w:w w:val="105"/>
        </w:rPr>
        <w:t> </w:t>
      </w:r>
      <w:r>
        <w:rPr>
          <w:w w:val="105"/>
        </w:rPr>
        <w:t>to be the preferred global partner for X-ray imaging solutions.</w:t>
      </w:r>
    </w:p>
    <w:p>
      <w:pPr>
        <w:pStyle w:val="BodyText"/>
        <w:spacing w:line="259" w:lineRule="auto" w:before="140"/>
        <w:ind w:left="1400" w:right="1680" w:firstLine="372"/>
      </w:pPr>
      <w:r>
        <w:rPr>
          <w:i/>
          <w:w w:val="105"/>
        </w:rPr>
        <w:t>Better Health.</w:t>
      </w:r>
      <w:r>
        <w:rPr>
          <w:i/>
          <w:spacing w:val="80"/>
          <w:w w:val="105"/>
        </w:rPr>
        <w:t> </w:t>
      </w:r>
      <w:r>
        <w:rPr>
          <w:w w:val="105"/>
        </w:rPr>
        <w:t>As a manufacturer of X-ray components, driving better health is at the core of our</w:t>
      </w:r>
      <w:r>
        <w:rPr>
          <w:spacing w:val="40"/>
          <w:w w:val="105"/>
        </w:rPr>
        <w:t> </w:t>
      </w:r>
      <w:r>
        <w:rPr>
          <w:w w:val="105"/>
        </w:rPr>
        <w:t>purpose as a business. Innovating for better health means developing the next generation of detection and</w:t>
      </w:r>
      <w:r>
        <w:rPr>
          <w:spacing w:val="40"/>
          <w:w w:val="105"/>
        </w:rPr>
        <w:t> </w:t>
      </w:r>
      <w:r>
        <w:rPr>
          <w:w w:val="105"/>
        </w:rPr>
        <w:t>diagnosis products and solutions for use in medical systems around the globe.</w:t>
      </w:r>
    </w:p>
    <w:p>
      <w:pPr>
        <w:pStyle w:val="BodyText"/>
        <w:spacing w:line="259" w:lineRule="auto" w:before="155"/>
        <w:ind w:left="1400" w:right="1464" w:firstLine="372"/>
      </w:pPr>
      <w:r>
        <w:rPr>
          <w:i/>
          <w:w w:val="105"/>
        </w:rPr>
        <w:t>Product Safety and Quality.</w:t>
      </w:r>
      <w:r>
        <w:rPr>
          <w:i/>
          <w:spacing w:val="80"/>
          <w:w w:val="105"/>
        </w:rPr>
        <w:t> </w:t>
      </w:r>
      <w:r>
        <w:rPr>
          <w:w w:val="105"/>
        </w:rPr>
        <w:t>We are committed to providing our customers with solutions that promote better health and a safer, more secure world. Safety, quality, reliability, and durability are key considerations</w:t>
      </w:r>
      <w:r>
        <w:rPr>
          <w:spacing w:val="40"/>
          <w:w w:val="105"/>
        </w:rPr>
        <w:t> </w:t>
      </w:r>
      <w:r>
        <w:rPr>
          <w:w w:val="105"/>
        </w:rPr>
        <w:t>for</w:t>
      </w:r>
      <w:r>
        <w:rPr>
          <w:spacing w:val="22"/>
          <w:w w:val="105"/>
        </w:rPr>
        <w:t> </w:t>
      </w:r>
      <w:r>
        <w:rPr>
          <w:w w:val="105"/>
        </w:rPr>
        <w:t>each</w:t>
      </w:r>
      <w:r>
        <w:rPr>
          <w:spacing w:val="22"/>
          <w:w w:val="105"/>
        </w:rPr>
        <w:t> </w:t>
      </w:r>
      <w:r>
        <w:rPr>
          <w:w w:val="105"/>
        </w:rPr>
        <w:t>product</w:t>
      </w:r>
      <w:r>
        <w:rPr>
          <w:spacing w:val="22"/>
          <w:w w:val="105"/>
        </w:rPr>
        <w:t> </w:t>
      </w:r>
      <w:r>
        <w:rPr>
          <w:w w:val="105"/>
        </w:rPr>
        <w:t>we</w:t>
      </w:r>
      <w:r>
        <w:rPr>
          <w:spacing w:val="22"/>
          <w:w w:val="105"/>
        </w:rPr>
        <w:t> </w:t>
      </w:r>
      <w:r>
        <w:rPr>
          <w:w w:val="105"/>
        </w:rPr>
        <w:t>design,</w:t>
      </w:r>
      <w:r>
        <w:rPr>
          <w:spacing w:val="22"/>
          <w:w w:val="105"/>
        </w:rPr>
        <w:t> </w:t>
      </w:r>
      <w:r>
        <w:rPr>
          <w:w w:val="105"/>
        </w:rPr>
        <w:t>and</w:t>
      </w:r>
      <w:r>
        <w:rPr>
          <w:spacing w:val="22"/>
          <w:w w:val="105"/>
        </w:rPr>
        <w:t> </w:t>
      </w:r>
      <w:r>
        <w:rPr>
          <w:w w:val="105"/>
        </w:rPr>
        <w:t>we</w:t>
      </w:r>
      <w:r>
        <w:rPr>
          <w:spacing w:val="22"/>
          <w:w w:val="105"/>
        </w:rPr>
        <w:t> </w:t>
      </w:r>
      <w:r>
        <w:rPr>
          <w:w w:val="105"/>
        </w:rPr>
        <w:t>perform</w:t>
      </w:r>
      <w:r>
        <w:rPr>
          <w:spacing w:val="22"/>
          <w:w w:val="105"/>
        </w:rPr>
        <w:t> </w:t>
      </w:r>
      <w:r>
        <w:rPr>
          <w:w w:val="105"/>
        </w:rPr>
        <w:t>hundreds</w:t>
      </w:r>
      <w:r>
        <w:rPr>
          <w:spacing w:val="22"/>
          <w:w w:val="105"/>
        </w:rPr>
        <w:t> </w:t>
      </w:r>
      <w:r>
        <w:rPr>
          <w:w w:val="105"/>
        </w:rPr>
        <w:t>of</w:t>
      </w:r>
      <w:r>
        <w:rPr>
          <w:spacing w:val="22"/>
          <w:w w:val="105"/>
        </w:rPr>
        <w:t> </w:t>
      </w:r>
      <w:r>
        <w:rPr>
          <w:w w:val="105"/>
        </w:rPr>
        <w:t>tests</w:t>
      </w:r>
      <w:r>
        <w:rPr>
          <w:spacing w:val="22"/>
          <w:w w:val="105"/>
        </w:rPr>
        <w:t> </w:t>
      </w:r>
      <w:r>
        <w:rPr>
          <w:w w:val="105"/>
        </w:rPr>
        <w:t>designed</w:t>
      </w:r>
      <w:r>
        <w:rPr>
          <w:spacing w:val="22"/>
          <w:w w:val="105"/>
        </w:rPr>
        <w:t> </w:t>
      </w:r>
      <w:r>
        <w:rPr>
          <w:w w:val="105"/>
        </w:rPr>
        <w:t>to</w:t>
      </w:r>
      <w:r>
        <w:rPr>
          <w:spacing w:val="22"/>
          <w:w w:val="105"/>
        </w:rPr>
        <w:t> </w:t>
      </w:r>
      <w:r>
        <w:rPr>
          <w:w w:val="105"/>
        </w:rPr>
        <w:t>ensure</w:t>
      </w:r>
      <w:r>
        <w:rPr>
          <w:spacing w:val="22"/>
          <w:w w:val="105"/>
        </w:rPr>
        <w:t> </w:t>
      </w:r>
      <w:r>
        <w:rPr>
          <w:w w:val="105"/>
        </w:rPr>
        <w:t>that</w:t>
      </w:r>
      <w:r>
        <w:rPr>
          <w:spacing w:val="22"/>
          <w:w w:val="105"/>
        </w:rPr>
        <w:t> </w:t>
      </w:r>
      <w:r>
        <w:rPr>
          <w:w w:val="105"/>
        </w:rPr>
        <w:t>our</w:t>
      </w:r>
      <w:r>
        <w:rPr>
          <w:spacing w:val="22"/>
          <w:w w:val="105"/>
        </w:rPr>
        <w:t> </w:t>
      </w:r>
      <w:r>
        <w:rPr>
          <w:w w:val="105"/>
        </w:rPr>
        <w:t>products</w:t>
      </w:r>
      <w:r>
        <w:rPr>
          <w:spacing w:val="22"/>
          <w:w w:val="105"/>
        </w:rPr>
        <w:t> </w:t>
      </w:r>
      <w:r>
        <w:rPr>
          <w:w w:val="105"/>
        </w:rPr>
        <w:t>satisfy our standards. In addition, we conduct consistent safety training, provide necessary personal protective</w:t>
      </w:r>
      <w:r>
        <w:rPr>
          <w:spacing w:val="40"/>
          <w:w w:val="105"/>
        </w:rPr>
        <w:t> </w:t>
      </w:r>
      <w:r>
        <w:rPr>
          <w:w w:val="105"/>
        </w:rPr>
        <w:t>equipment, and work to ensure that our employees, contractors, and visitors remain safe at our facilities. We</w:t>
      </w:r>
      <w:r>
        <w:rPr>
          <w:spacing w:val="40"/>
          <w:w w:val="105"/>
        </w:rPr>
        <w:t> </w:t>
      </w:r>
      <w:r>
        <w:rPr>
          <w:w w:val="105"/>
        </w:rPr>
        <w:t>have</w:t>
      </w:r>
      <w:r>
        <w:rPr>
          <w:spacing w:val="23"/>
          <w:w w:val="105"/>
        </w:rPr>
        <w:t> </w:t>
      </w:r>
      <w:r>
        <w:rPr>
          <w:w w:val="105"/>
        </w:rPr>
        <w:t>a</w:t>
      </w:r>
      <w:r>
        <w:rPr>
          <w:spacing w:val="23"/>
          <w:w w:val="105"/>
        </w:rPr>
        <w:t> </w:t>
      </w:r>
      <w:r>
        <w:rPr>
          <w:w w:val="105"/>
        </w:rPr>
        <w:t>dedicated</w:t>
      </w:r>
      <w:r>
        <w:rPr>
          <w:spacing w:val="23"/>
          <w:w w:val="105"/>
        </w:rPr>
        <w:t> </w:t>
      </w:r>
      <w:r>
        <w:rPr>
          <w:w w:val="105"/>
        </w:rPr>
        <w:t>team</w:t>
      </w:r>
      <w:r>
        <w:rPr>
          <w:spacing w:val="23"/>
          <w:w w:val="105"/>
        </w:rPr>
        <w:t> </w:t>
      </w:r>
      <w:r>
        <w:rPr>
          <w:w w:val="105"/>
        </w:rPr>
        <w:t>that</w:t>
      </w:r>
      <w:r>
        <w:rPr>
          <w:spacing w:val="23"/>
          <w:w w:val="105"/>
        </w:rPr>
        <w:t> </w:t>
      </w:r>
      <w:r>
        <w:rPr>
          <w:w w:val="105"/>
        </w:rPr>
        <w:t>reviews</w:t>
      </w:r>
      <w:r>
        <w:rPr>
          <w:spacing w:val="23"/>
          <w:w w:val="105"/>
        </w:rPr>
        <w:t> </w:t>
      </w:r>
      <w:r>
        <w:rPr>
          <w:w w:val="105"/>
        </w:rPr>
        <w:t>and</w:t>
      </w:r>
      <w:r>
        <w:rPr>
          <w:spacing w:val="23"/>
          <w:w w:val="105"/>
        </w:rPr>
        <w:t> </w:t>
      </w:r>
      <w:r>
        <w:rPr>
          <w:w w:val="105"/>
        </w:rPr>
        <w:t>investigates</w:t>
      </w:r>
      <w:r>
        <w:rPr>
          <w:spacing w:val="23"/>
          <w:w w:val="105"/>
        </w:rPr>
        <w:t> </w:t>
      </w:r>
      <w:r>
        <w:rPr>
          <w:w w:val="105"/>
        </w:rPr>
        <w:t>quality</w:t>
      </w:r>
      <w:r>
        <w:rPr>
          <w:spacing w:val="23"/>
          <w:w w:val="105"/>
        </w:rPr>
        <w:t> </w:t>
      </w:r>
      <w:r>
        <w:rPr>
          <w:w w:val="105"/>
        </w:rPr>
        <w:t>and</w:t>
      </w:r>
      <w:r>
        <w:rPr>
          <w:spacing w:val="23"/>
          <w:w w:val="105"/>
        </w:rPr>
        <w:t> </w:t>
      </w:r>
      <w:r>
        <w:rPr>
          <w:w w:val="105"/>
        </w:rPr>
        <w:t>safety</w:t>
      </w:r>
      <w:r>
        <w:rPr>
          <w:spacing w:val="23"/>
          <w:w w:val="105"/>
        </w:rPr>
        <w:t> </w:t>
      </w:r>
      <w:r>
        <w:rPr>
          <w:w w:val="105"/>
        </w:rPr>
        <w:t>incidents</w:t>
      </w:r>
      <w:r>
        <w:rPr>
          <w:spacing w:val="23"/>
          <w:w w:val="105"/>
        </w:rPr>
        <w:t> </w:t>
      </w:r>
      <w:r>
        <w:rPr>
          <w:w w:val="105"/>
        </w:rPr>
        <w:t>as</w:t>
      </w:r>
      <w:r>
        <w:rPr>
          <w:spacing w:val="23"/>
          <w:w w:val="105"/>
        </w:rPr>
        <w:t> </w:t>
      </w:r>
      <w:r>
        <w:rPr>
          <w:w w:val="105"/>
        </w:rPr>
        <w:t>well</w:t>
      </w:r>
      <w:r>
        <w:rPr>
          <w:spacing w:val="23"/>
          <w:w w:val="105"/>
        </w:rPr>
        <w:t> </w:t>
      </w:r>
      <w:r>
        <w:rPr>
          <w:w w:val="105"/>
        </w:rPr>
        <w:t>as</w:t>
      </w:r>
      <w:r>
        <w:rPr>
          <w:spacing w:val="23"/>
          <w:w w:val="105"/>
        </w:rPr>
        <w:t> </w:t>
      </w:r>
      <w:r>
        <w:rPr>
          <w:w w:val="105"/>
        </w:rPr>
        <w:t>near</w:t>
      </w:r>
      <w:r>
        <w:rPr>
          <w:spacing w:val="23"/>
          <w:w w:val="105"/>
        </w:rPr>
        <w:t> </w:t>
      </w:r>
      <w:r>
        <w:rPr>
          <w:w w:val="105"/>
        </w:rPr>
        <w:t>misses.</w:t>
      </w:r>
    </w:p>
    <w:p>
      <w:pPr>
        <w:pStyle w:val="BodyText"/>
        <w:spacing w:line="259" w:lineRule="auto" w:before="154"/>
        <w:ind w:left="1400" w:right="1680" w:firstLine="372"/>
      </w:pPr>
      <w:r>
        <w:rPr>
          <w:i/>
          <w:w w:val="105"/>
        </w:rPr>
        <w:t>Caring for Our Customers: A Partner for Success.</w:t>
      </w:r>
      <w:r>
        <w:rPr>
          <w:i/>
          <w:spacing w:val="80"/>
          <w:w w:val="105"/>
        </w:rPr>
        <w:t> </w:t>
      </w:r>
      <w:r>
        <w:rPr>
          <w:w w:val="105"/>
        </w:rPr>
        <w:t>Our success relies on our customers being successful. We develop our products and services with customer needs in mind, and regularly engage with them to understand how our components can support their businesses. We have cultivated relationships,</w:t>
      </w:r>
      <w:r>
        <w:rPr>
          <w:spacing w:val="40"/>
          <w:w w:val="105"/>
        </w:rPr>
        <w:t> </w:t>
      </w:r>
      <w:r>
        <w:rPr>
          <w:w w:val="105"/>
        </w:rPr>
        <w:t>some for over 40 years, in order to work together to create shared value.</w:t>
      </w:r>
    </w:p>
    <w:p>
      <w:pPr>
        <w:pStyle w:val="BodyText"/>
        <w:spacing w:before="6"/>
        <w:rPr>
          <w:sz w:val="19"/>
        </w:rPr>
      </w:pPr>
    </w:p>
    <w:p>
      <w:pPr>
        <w:pStyle w:val="Heading2"/>
      </w:pPr>
      <w:r>
        <w:rPr>
          <w:spacing w:val="-2"/>
        </w:rPr>
        <w:t>Protecting the</w:t>
      </w:r>
      <w:r>
        <w:rPr>
          <w:spacing w:val="-1"/>
        </w:rPr>
        <w:t> </w:t>
      </w:r>
      <w:r>
        <w:rPr>
          <w:spacing w:val="-2"/>
        </w:rPr>
        <w:t>Environment</w:t>
      </w:r>
    </w:p>
    <w:p>
      <w:pPr>
        <w:pStyle w:val="BodyText"/>
        <w:spacing w:line="259" w:lineRule="auto" w:before="156"/>
        <w:ind w:left="1400" w:right="1461" w:firstLine="372"/>
        <w:jc w:val="both"/>
      </w:pPr>
      <w:r>
        <w:rPr>
          <w:w w:val="105"/>
        </w:rPr>
        <w:t>We recognize the importance of reducing our carbon footprint and promoting a more circular economy. We strive to embed sustainable thinking across our operations — not only because it is the right thing to do,</w:t>
      </w:r>
      <w:r>
        <w:rPr>
          <w:spacing w:val="40"/>
          <w:w w:val="105"/>
        </w:rPr>
        <w:t> </w:t>
      </w:r>
      <w:r>
        <w:rPr>
          <w:w w:val="105"/>
        </w:rPr>
        <w:t>but also because it makes good business sense.</w:t>
      </w:r>
    </w:p>
    <w:p>
      <w:pPr>
        <w:pStyle w:val="BodyText"/>
        <w:spacing w:line="259" w:lineRule="auto" w:before="155"/>
        <w:ind w:left="1400" w:right="1423" w:firstLine="372"/>
      </w:pPr>
      <w:r>
        <w:rPr>
          <w:i/>
          <w:w w:val="105"/>
        </w:rPr>
        <w:t>Resource</w:t>
      </w:r>
      <w:r>
        <w:rPr>
          <w:i/>
          <w:spacing w:val="22"/>
          <w:w w:val="105"/>
        </w:rPr>
        <w:t> </w:t>
      </w:r>
      <w:r>
        <w:rPr>
          <w:i/>
          <w:w w:val="105"/>
        </w:rPr>
        <w:t>Stewardship.</w:t>
      </w:r>
      <w:r>
        <w:rPr>
          <w:i/>
          <w:spacing w:val="40"/>
          <w:w w:val="105"/>
        </w:rPr>
        <w:t>  </w:t>
      </w:r>
      <w:r>
        <w:rPr>
          <w:w w:val="105"/>
        </w:rPr>
        <w:t>Raw</w:t>
      </w:r>
      <w:r>
        <w:rPr>
          <w:spacing w:val="22"/>
          <w:w w:val="105"/>
        </w:rPr>
        <w:t> </w:t>
      </w:r>
      <w:r>
        <w:rPr>
          <w:w w:val="105"/>
        </w:rPr>
        <w:t>materials</w:t>
      </w:r>
      <w:r>
        <w:rPr>
          <w:spacing w:val="22"/>
          <w:w w:val="105"/>
        </w:rPr>
        <w:t> </w:t>
      </w:r>
      <w:r>
        <w:rPr>
          <w:w w:val="105"/>
        </w:rPr>
        <w:t>are</w:t>
      </w:r>
      <w:r>
        <w:rPr>
          <w:spacing w:val="22"/>
          <w:w w:val="105"/>
        </w:rPr>
        <w:t> </w:t>
      </w:r>
      <w:r>
        <w:rPr>
          <w:w w:val="105"/>
        </w:rPr>
        <w:t>critical</w:t>
      </w:r>
      <w:r>
        <w:rPr>
          <w:spacing w:val="22"/>
          <w:w w:val="105"/>
        </w:rPr>
        <w:t> </w:t>
      </w:r>
      <w:r>
        <w:rPr>
          <w:w w:val="105"/>
        </w:rPr>
        <w:t>in</w:t>
      </w:r>
      <w:r>
        <w:rPr>
          <w:spacing w:val="22"/>
          <w:w w:val="105"/>
        </w:rPr>
        <w:t> </w:t>
      </w:r>
      <w:r>
        <w:rPr>
          <w:w w:val="105"/>
        </w:rPr>
        <w:t>the</w:t>
      </w:r>
      <w:r>
        <w:rPr>
          <w:spacing w:val="22"/>
          <w:w w:val="105"/>
        </w:rPr>
        <w:t> </w:t>
      </w:r>
      <w:r>
        <w:rPr>
          <w:w w:val="105"/>
        </w:rPr>
        <w:t>production</w:t>
      </w:r>
      <w:r>
        <w:rPr>
          <w:spacing w:val="22"/>
          <w:w w:val="105"/>
        </w:rPr>
        <w:t> </w:t>
      </w:r>
      <w:r>
        <w:rPr>
          <w:w w:val="105"/>
        </w:rPr>
        <w:t>of</w:t>
      </w:r>
      <w:r>
        <w:rPr>
          <w:spacing w:val="22"/>
          <w:w w:val="105"/>
        </w:rPr>
        <w:t> </w:t>
      </w:r>
      <w:r>
        <w:rPr>
          <w:w w:val="105"/>
        </w:rPr>
        <w:t>our</w:t>
      </w:r>
      <w:r>
        <w:rPr>
          <w:spacing w:val="22"/>
          <w:w w:val="105"/>
        </w:rPr>
        <w:t> </w:t>
      </w:r>
      <w:r>
        <w:rPr>
          <w:w w:val="105"/>
        </w:rPr>
        <w:t>components,</w:t>
      </w:r>
      <w:r>
        <w:rPr>
          <w:spacing w:val="22"/>
          <w:w w:val="105"/>
        </w:rPr>
        <w:t> </w:t>
      </w:r>
      <w:r>
        <w:rPr>
          <w:w w:val="105"/>
        </w:rPr>
        <w:t>which</w:t>
      </w:r>
      <w:r>
        <w:rPr>
          <w:spacing w:val="22"/>
          <w:w w:val="105"/>
        </w:rPr>
        <w:t> </w:t>
      </w:r>
      <w:r>
        <w:rPr>
          <w:w w:val="105"/>
        </w:rPr>
        <w:t>is</w:t>
      </w:r>
      <w:r>
        <w:rPr>
          <w:spacing w:val="22"/>
          <w:w w:val="105"/>
        </w:rPr>
        <w:t> </w:t>
      </w:r>
      <w:r>
        <w:rPr>
          <w:w w:val="105"/>
        </w:rPr>
        <w:t>why we are finding creative ways to reuse what we can. We are also identifying areas of our operations where we</w:t>
      </w:r>
      <w:r>
        <w:rPr>
          <w:spacing w:val="40"/>
          <w:w w:val="105"/>
        </w:rPr>
        <w:t> </w:t>
      </w:r>
      <w:r>
        <w:rPr>
          <w:w w:val="105"/>
        </w:rPr>
        <w:t>can</w:t>
      </w:r>
      <w:r>
        <w:rPr>
          <w:spacing w:val="26"/>
          <w:w w:val="105"/>
        </w:rPr>
        <w:t> </w:t>
      </w:r>
      <w:r>
        <w:rPr>
          <w:w w:val="105"/>
        </w:rPr>
        <w:t>increase</w:t>
      </w:r>
      <w:r>
        <w:rPr>
          <w:spacing w:val="26"/>
          <w:w w:val="105"/>
        </w:rPr>
        <w:t> </w:t>
      </w:r>
      <w:r>
        <w:rPr>
          <w:w w:val="105"/>
        </w:rPr>
        <w:t>efficiency</w:t>
      </w:r>
      <w:r>
        <w:rPr>
          <w:spacing w:val="26"/>
          <w:w w:val="105"/>
        </w:rPr>
        <w:t> </w:t>
      </w:r>
      <w:r>
        <w:rPr>
          <w:w w:val="105"/>
        </w:rPr>
        <w:t>by</w:t>
      </w:r>
      <w:r>
        <w:rPr>
          <w:spacing w:val="26"/>
          <w:w w:val="105"/>
        </w:rPr>
        <w:t> </w:t>
      </w:r>
      <w:r>
        <w:rPr>
          <w:w w:val="105"/>
        </w:rPr>
        <w:t>diverting</w:t>
      </w:r>
      <w:r>
        <w:rPr>
          <w:spacing w:val="26"/>
          <w:w w:val="105"/>
        </w:rPr>
        <w:t> </w:t>
      </w:r>
      <w:r>
        <w:rPr>
          <w:w w:val="105"/>
        </w:rPr>
        <w:t>materials</w:t>
      </w:r>
      <w:r>
        <w:rPr>
          <w:spacing w:val="26"/>
          <w:w w:val="105"/>
        </w:rPr>
        <w:t> </w:t>
      </w:r>
      <w:r>
        <w:rPr>
          <w:w w:val="105"/>
        </w:rPr>
        <w:t>from</w:t>
      </w:r>
      <w:r>
        <w:rPr>
          <w:spacing w:val="26"/>
          <w:w w:val="105"/>
        </w:rPr>
        <w:t> </w:t>
      </w:r>
      <w:r>
        <w:rPr>
          <w:w w:val="105"/>
        </w:rPr>
        <w:t>the</w:t>
      </w:r>
      <w:r>
        <w:rPr>
          <w:spacing w:val="26"/>
          <w:w w:val="105"/>
        </w:rPr>
        <w:t> </w:t>
      </w:r>
      <w:r>
        <w:rPr>
          <w:w w:val="105"/>
        </w:rPr>
        <w:t>landfill</w:t>
      </w:r>
      <w:r>
        <w:rPr>
          <w:spacing w:val="26"/>
          <w:w w:val="105"/>
        </w:rPr>
        <w:t> </w:t>
      </w:r>
      <w:r>
        <w:rPr>
          <w:w w:val="105"/>
        </w:rPr>
        <w:t>at</w:t>
      </w:r>
      <w:r>
        <w:rPr>
          <w:spacing w:val="26"/>
          <w:w w:val="105"/>
        </w:rPr>
        <w:t> </w:t>
      </w:r>
      <w:r>
        <w:rPr>
          <w:w w:val="105"/>
        </w:rPr>
        <w:t>their</w:t>
      </w:r>
      <w:r>
        <w:rPr>
          <w:spacing w:val="26"/>
          <w:w w:val="105"/>
        </w:rPr>
        <w:t> </w:t>
      </w:r>
      <w:r>
        <w:rPr>
          <w:w w:val="105"/>
        </w:rPr>
        <w:t>end-of-life</w:t>
      </w:r>
      <w:r>
        <w:rPr>
          <w:spacing w:val="26"/>
          <w:w w:val="105"/>
        </w:rPr>
        <w:t> </w:t>
      </w:r>
      <w:r>
        <w:rPr>
          <w:w w:val="105"/>
        </w:rPr>
        <w:t>and</w:t>
      </w:r>
      <w:r>
        <w:rPr>
          <w:spacing w:val="26"/>
          <w:w w:val="105"/>
        </w:rPr>
        <w:t> </w:t>
      </w:r>
      <w:r>
        <w:rPr>
          <w:w w:val="105"/>
        </w:rPr>
        <w:t>designing</w:t>
      </w:r>
      <w:r>
        <w:rPr>
          <w:spacing w:val="26"/>
          <w:w w:val="105"/>
        </w:rPr>
        <w:t> </w:t>
      </w:r>
      <w:r>
        <w:rPr>
          <w:w w:val="105"/>
        </w:rPr>
        <w:t>our</w:t>
      </w:r>
      <w:r>
        <w:rPr>
          <w:w w:val="105"/>
        </w:rPr>
        <w:t> products with recyclability in mind.</w:t>
      </w:r>
    </w:p>
    <w:p>
      <w:pPr>
        <w:pStyle w:val="BodyText"/>
        <w:spacing w:line="259" w:lineRule="auto" w:before="154"/>
        <w:ind w:left="1400" w:right="1551" w:firstLine="372"/>
      </w:pPr>
      <w:r>
        <w:rPr>
          <w:w w:val="105"/>
        </w:rPr>
        <w:t>We consider the environmental impact, including accounting for full-lifecycle waste, when designing products. To aid this analysis, we developed a set of Sustainable Innovation Guidelines. Under these guidelines, we aim to develop resource-efficient products by:</w:t>
      </w:r>
    </w:p>
    <w:p>
      <w:pPr>
        <w:pStyle w:val="ListParagraph"/>
        <w:numPr>
          <w:ilvl w:val="1"/>
          <w:numId w:val="20"/>
        </w:numPr>
        <w:tabs>
          <w:tab w:pos="1960" w:val="left" w:leader="none"/>
        </w:tabs>
        <w:spacing w:line="240" w:lineRule="auto" w:before="112" w:after="0"/>
        <w:ind w:left="1959" w:right="0" w:hanging="188"/>
        <w:jc w:val="left"/>
        <w:rPr>
          <w:sz w:val="18"/>
        </w:rPr>
      </w:pPr>
      <w:r>
        <w:rPr>
          <w:w w:val="105"/>
          <w:sz w:val="18"/>
        </w:rPr>
        <w:t>Designing</w:t>
      </w:r>
      <w:r>
        <w:rPr>
          <w:spacing w:val="12"/>
          <w:w w:val="105"/>
          <w:sz w:val="18"/>
        </w:rPr>
        <w:t> </w:t>
      </w:r>
      <w:r>
        <w:rPr>
          <w:w w:val="105"/>
          <w:sz w:val="18"/>
        </w:rPr>
        <w:t>for</w:t>
      </w:r>
      <w:r>
        <w:rPr>
          <w:spacing w:val="12"/>
          <w:w w:val="105"/>
          <w:sz w:val="18"/>
        </w:rPr>
        <w:t> </w:t>
      </w:r>
      <w:r>
        <w:rPr>
          <w:w w:val="105"/>
          <w:sz w:val="18"/>
        </w:rPr>
        <w:t>the</w:t>
      </w:r>
      <w:r>
        <w:rPr>
          <w:spacing w:val="13"/>
          <w:w w:val="105"/>
          <w:sz w:val="18"/>
        </w:rPr>
        <w:t> </w:t>
      </w:r>
      <w:r>
        <w:rPr>
          <w:w w:val="105"/>
          <w:sz w:val="18"/>
        </w:rPr>
        <w:t>circular</w:t>
      </w:r>
      <w:r>
        <w:rPr>
          <w:spacing w:val="12"/>
          <w:w w:val="105"/>
          <w:sz w:val="18"/>
        </w:rPr>
        <w:t> </w:t>
      </w:r>
      <w:r>
        <w:rPr>
          <w:spacing w:val="-2"/>
          <w:w w:val="105"/>
          <w:sz w:val="18"/>
        </w:rPr>
        <w:t>economy;</w:t>
      </w:r>
    </w:p>
    <w:p>
      <w:pPr>
        <w:pStyle w:val="ListParagraph"/>
        <w:numPr>
          <w:ilvl w:val="1"/>
          <w:numId w:val="20"/>
        </w:numPr>
        <w:tabs>
          <w:tab w:pos="1960" w:val="left" w:leader="none"/>
        </w:tabs>
        <w:spacing w:line="240" w:lineRule="auto" w:before="129" w:after="0"/>
        <w:ind w:left="1959" w:right="0" w:hanging="188"/>
        <w:jc w:val="left"/>
        <w:rPr>
          <w:sz w:val="18"/>
        </w:rPr>
      </w:pPr>
      <w:r>
        <w:rPr>
          <w:w w:val="105"/>
          <w:sz w:val="18"/>
        </w:rPr>
        <w:t>Reducing</w:t>
      </w:r>
      <w:r>
        <w:rPr>
          <w:spacing w:val="11"/>
          <w:w w:val="105"/>
          <w:sz w:val="18"/>
        </w:rPr>
        <w:t> </w:t>
      </w:r>
      <w:r>
        <w:rPr>
          <w:w w:val="105"/>
          <w:sz w:val="18"/>
        </w:rPr>
        <w:t>our</w:t>
      </w:r>
      <w:r>
        <w:rPr>
          <w:spacing w:val="11"/>
          <w:w w:val="105"/>
          <w:sz w:val="18"/>
        </w:rPr>
        <w:t> </w:t>
      </w:r>
      <w:r>
        <w:rPr>
          <w:w w:val="105"/>
          <w:sz w:val="18"/>
        </w:rPr>
        <w:t>use</w:t>
      </w:r>
      <w:r>
        <w:rPr>
          <w:spacing w:val="11"/>
          <w:w w:val="105"/>
          <w:sz w:val="18"/>
        </w:rPr>
        <w:t> </w:t>
      </w:r>
      <w:r>
        <w:rPr>
          <w:w w:val="105"/>
          <w:sz w:val="18"/>
        </w:rPr>
        <w:t>of</w:t>
      </w:r>
      <w:r>
        <w:rPr>
          <w:spacing w:val="11"/>
          <w:w w:val="105"/>
          <w:sz w:val="18"/>
        </w:rPr>
        <w:t> </w:t>
      </w:r>
      <w:r>
        <w:rPr>
          <w:w w:val="105"/>
          <w:sz w:val="18"/>
        </w:rPr>
        <w:t>precious</w:t>
      </w:r>
      <w:r>
        <w:rPr>
          <w:spacing w:val="11"/>
          <w:w w:val="105"/>
          <w:sz w:val="18"/>
        </w:rPr>
        <w:t> </w:t>
      </w:r>
      <w:r>
        <w:rPr>
          <w:w w:val="105"/>
          <w:sz w:val="18"/>
        </w:rPr>
        <w:t>metals;</w:t>
      </w:r>
      <w:r>
        <w:rPr>
          <w:spacing w:val="11"/>
          <w:w w:val="105"/>
          <w:sz w:val="18"/>
        </w:rPr>
        <w:t> </w:t>
      </w:r>
      <w:r>
        <w:rPr>
          <w:spacing w:val="-5"/>
          <w:w w:val="105"/>
          <w:sz w:val="18"/>
        </w:rPr>
        <w:t>and</w:t>
      </w:r>
    </w:p>
    <w:p>
      <w:pPr>
        <w:pStyle w:val="ListParagraph"/>
        <w:numPr>
          <w:ilvl w:val="1"/>
          <w:numId w:val="20"/>
        </w:numPr>
        <w:tabs>
          <w:tab w:pos="1960" w:val="left" w:leader="none"/>
        </w:tabs>
        <w:spacing w:line="240" w:lineRule="auto" w:before="128" w:after="0"/>
        <w:ind w:left="1959" w:right="0" w:hanging="188"/>
        <w:jc w:val="left"/>
        <w:rPr>
          <w:sz w:val="18"/>
        </w:rPr>
      </w:pPr>
      <w:r>
        <w:rPr>
          <w:w w:val="105"/>
          <w:sz w:val="18"/>
        </w:rPr>
        <w:t>Increasing</w:t>
      </w:r>
      <w:r>
        <w:rPr>
          <w:spacing w:val="14"/>
          <w:w w:val="105"/>
          <w:sz w:val="18"/>
        </w:rPr>
        <w:t> </w:t>
      </w:r>
      <w:r>
        <w:rPr>
          <w:w w:val="105"/>
          <w:sz w:val="18"/>
        </w:rPr>
        <w:t>our</w:t>
      </w:r>
      <w:r>
        <w:rPr>
          <w:spacing w:val="15"/>
          <w:w w:val="105"/>
          <w:sz w:val="18"/>
        </w:rPr>
        <w:t> </w:t>
      </w:r>
      <w:r>
        <w:rPr>
          <w:w w:val="105"/>
          <w:sz w:val="18"/>
        </w:rPr>
        <w:t>use</w:t>
      </w:r>
      <w:r>
        <w:rPr>
          <w:spacing w:val="15"/>
          <w:w w:val="105"/>
          <w:sz w:val="18"/>
        </w:rPr>
        <w:t> </w:t>
      </w:r>
      <w:r>
        <w:rPr>
          <w:w w:val="105"/>
          <w:sz w:val="18"/>
        </w:rPr>
        <w:t>of</w:t>
      </w:r>
      <w:r>
        <w:rPr>
          <w:spacing w:val="15"/>
          <w:w w:val="105"/>
          <w:sz w:val="18"/>
        </w:rPr>
        <w:t> </w:t>
      </w:r>
      <w:r>
        <w:rPr>
          <w:w w:val="105"/>
          <w:sz w:val="18"/>
        </w:rPr>
        <w:t>reusable/recyclable</w:t>
      </w:r>
      <w:r>
        <w:rPr>
          <w:spacing w:val="15"/>
          <w:w w:val="105"/>
          <w:sz w:val="18"/>
        </w:rPr>
        <w:t> </w:t>
      </w:r>
      <w:r>
        <w:rPr>
          <w:spacing w:val="-2"/>
          <w:w w:val="105"/>
          <w:sz w:val="18"/>
        </w:rPr>
        <w:t>materials.</w:t>
      </w:r>
    </w:p>
    <w:p>
      <w:pPr>
        <w:spacing w:after="0" w:line="240" w:lineRule="auto"/>
        <w:jc w:val="left"/>
        <w:rPr>
          <w:sz w:val="18"/>
        </w:rPr>
        <w:sectPr>
          <w:headerReference w:type="default" r:id="rId85"/>
          <w:footerReference w:type="default" r:id="rId86"/>
          <w:pgSz w:w="12240" w:h="15840"/>
          <w:pgMar w:header="529" w:footer="1568" w:top="720" w:bottom="1760" w:left="480" w:right="460"/>
        </w:sectPr>
      </w:pPr>
    </w:p>
    <w:p>
      <w:pPr>
        <w:pStyle w:val="BodyText"/>
        <w:rPr>
          <w:sz w:val="20"/>
        </w:rPr>
      </w:pPr>
      <w:r>
        <w:rPr/>
        <w:pict>
          <v:group style="position:absolute;margin-left:28.999998pt;margin-top:754.553833pt;width:555pt;height:1.4pt;mso-position-horizontal-relative:page;mso-position-vertical-relative:page;z-index:15754752" id="docshapegroup180" coordorigin="580,15091" coordsize="11100,28">
            <v:rect style="position:absolute;left:580;top:15091;width:11100;height:14" id="docshape181" filled="true" fillcolor="#999999" stroked="false">
              <v:fill type="solid"/>
            </v:rect>
            <v:shape style="position:absolute;left:579;top:15091;width:11100;height:28" id="docshape182" coordorigin="580,15091" coordsize="11100,28" path="m11680,15091l11666,15105,580,15105,580,15119,11666,15119,11680,15119,11680,15105,11680,15091xe" filled="true" fillcolor="#ededed" stroked="false">
              <v:path arrowok="t"/>
              <v:fill type="solid"/>
            </v:shape>
            <v:shape style="position:absolute;left:580;top:15091;width:14;height:28" id="docshape183" coordorigin="580,15091" coordsize="14,28" path="m580,15119l580,15091,594,15091,594,15105,580,15119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400" w:right="1551" w:firstLine="372"/>
      </w:pPr>
      <w:r>
        <w:rPr>
          <w:i/>
          <w:w w:val="105"/>
        </w:rPr>
        <w:t>Climate Change and Energy.</w:t>
      </w:r>
      <w:r>
        <w:rPr>
          <w:i/>
          <w:spacing w:val="80"/>
          <w:w w:val="105"/>
        </w:rPr>
        <w:t> </w:t>
      </w:r>
      <w:r>
        <w:rPr>
          <w:w w:val="105"/>
        </w:rPr>
        <w:t>We are investing in solutions to improve the sustainability of our operations and supply chain. Among other things, we are moving distribution from air transport to ocean freight, which will reduce greenhouse gas emissions and are investing in solutions to increase the energy</w:t>
      </w:r>
      <w:r>
        <w:rPr>
          <w:spacing w:val="40"/>
          <w:w w:val="105"/>
        </w:rPr>
        <w:t> </w:t>
      </w:r>
      <w:r>
        <w:rPr>
          <w:w w:val="105"/>
        </w:rPr>
        <w:t>efficiency of our facilities.</w:t>
      </w:r>
    </w:p>
    <w:p>
      <w:pPr>
        <w:pStyle w:val="BodyText"/>
        <w:spacing w:before="6"/>
        <w:rPr>
          <w:sz w:val="19"/>
        </w:rPr>
      </w:pPr>
    </w:p>
    <w:p>
      <w:pPr>
        <w:pStyle w:val="Heading2"/>
      </w:pPr>
      <w:r>
        <w:rPr/>
        <w:t>Empowering</w:t>
      </w:r>
      <w:r>
        <w:rPr>
          <w:spacing w:val="-10"/>
        </w:rPr>
        <w:t> </w:t>
      </w:r>
      <w:r>
        <w:rPr/>
        <w:t>People</w:t>
      </w:r>
      <w:r>
        <w:rPr>
          <w:spacing w:val="-9"/>
        </w:rPr>
        <w:t> </w:t>
      </w:r>
      <w:r>
        <w:rPr/>
        <w:t>and</w:t>
      </w:r>
      <w:r>
        <w:rPr>
          <w:spacing w:val="-10"/>
        </w:rPr>
        <w:t> </w:t>
      </w:r>
      <w:r>
        <w:rPr>
          <w:spacing w:val="-2"/>
        </w:rPr>
        <w:t>Communities</w:t>
      </w:r>
    </w:p>
    <w:p>
      <w:pPr>
        <w:pStyle w:val="BodyText"/>
        <w:spacing w:line="259" w:lineRule="auto" w:before="171"/>
        <w:ind w:left="1400" w:right="1423" w:firstLine="372"/>
      </w:pPr>
      <w:r>
        <w:rPr>
          <w:w w:val="105"/>
        </w:rPr>
        <w:t>We are committed to creating workspaces where everyone feels supported to bring their best selves to work. We</w:t>
      </w:r>
      <w:r>
        <w:rPr>
          <w:spacing w:val="11"/>
          <w:w w:val="105"/>
        </w:rPr>
        <w:t> </w:t>
      </w:r>
      <w:r>
        <w:rPr>
          <w:w w:val="105"/>
        </w:rPr>
        <w:t>work</w:t>
      </w:r>
      <w:r>
        <w:rPr>
          <w:spacing w:val="11"/>
          <w:w w:val="105"/>
        </w:rPr>
        <w:t> </w:t>
      </w:r>
      <w:r>
        <w:rPr>
          <w:w w:val="105"/>
        </w:rPr>
        <w:t>to</w:t>
      </w:r>
      <w:r>
        <w:rPr>
          <w:spacing w:val="11"/>
          <w:w w:val="105"/>
        </w:rPr>
        <w:t> </w:t>
      </w:r>
      <w:r>
        <w:rPr>
          <w:w w:val="105"/>
        </w:rPr>
        <w:t>build</w:t>
      </w:r>
      <w:r>
        <w:rPr>
          <w:spacing w:val="11"/>
          <w:w w:val="105"/>
        </w:rPr>
        <w:t> </w:t>
      </w:r>
      <w:r>
        <w:rPr>
          <w:w w:val="105"/>
        </w:rPr>
        <w:t>a</w:t>
      </w:r>
      <w:r>
        <w:rPr>
          <w:spacing w:val="11"/>
          <w:w w:val="105"/>
        </w:rPr>
        <w:t> </w:t>
      </w:r>
      <w:r>
        <w:rPr>
          <w:w w:val="105"/>
        </w:rPr>
        <w:t>more</w:t>
      </w:r>
      <w:r>
        <w:rPr>
          <w:spacing w:val="11"/>
          <w:w w:val="105"/>
        </w:rPr>
        <w:t> </w:t>
      </w:r>
      <w:r>
        <w:rPr>
          <w:w w:val="105"/>
        </w:rPr>
        <w:t>diverse</w:t>
      </w:r>
      <w:r>
        <w:rPr>
          <w:spacing w:val="11"/>
          <w:w w:val="105"/>
        </w:rPr>
        <w:t> </w:t>
      </w:r>
      <w:r>
        <w:rPr>
          <w:w w:val="105"/>
        </w:rPr>
        <w:t>and</w:t>
      </w:r>
      <w:r>
        <w:rPr>
          <w:spacing w:val="11"/>
          <w:w w:val="105"/>
        </w:rPr>
        <w:t> </w:t>
      </w:r>
      <w:r>
        <w:rPr>
          <w:w w:val="105"/>
        </w:rPr>
        <w:t>inclusive</w:t>
      </w:r>
      <w:r>
        <w:rPr>
          <w:spacing w:val="11"/>
          <w:w w:val="105"/>
        </w:rPr>
        <w:t> </w:t>
      </w:r>
      <w:r>
        <w:rPr>
          <w:w w:val="105"/>
        </w:rPr>
        <w:t>workforce. We</w:t>
      </w:r>
      <w:r>
        <w:rPr>
          <w:spacing w:val="11"/>
          <w:w w:val="105"/>
        </w:rPr>
        <w:t> </w:t>
      </w:r>
      <w:r>
        <w:rPr>
          <w:w w:val="105"/>
        </w:rPr>
        <w:t>also</w:t>
      </w:r>
      <w:r>
        <w:rPr>
          <w:spacing w:val="11"/>
          <w:w w:val="105"/>
        </w:rPr>
        <w:t> </w:t>
      </w:r>
      <w:r>
        <w:rPr>
          <w:w w:val="105"/>
        </w:rPr>
        <w:t>work</w:t>
      </w:r>
      <w:r>
        <w:rPr>
          <w:spacing w:val="11"/>
          <w:w w:val="105"/>
        </w:rPr>
        <w:t> </w:t>
      </w:r>
      <w:r>
        <w:rPr>
          <w:w w:val="105"/>
        </w:rPr>
        <w:t>closely</w:t>
      </w:r>
      <w:r>
        <w:rPr>
          <w:spacing w:val="11"/>
          <w:w w:val="105"/>
        </w:rPr>
        <w:t> </w:t>
      </w:r>
      <w:r>
        <w:rPr>
          <w:w w:val="105"/>
        </w:rPr>
        <w:t>with</w:t>
      </w:r>
      <w:r>
        <w:rPr>
          <w:spacing w:val="11"/>
          <w:w w:val="105"/>
        </w:rPr>
        <w:t> </w:t>
      </w:r>
      <w:r>
        <w:rPr>
          <w:w w:val="105"/>
        </w:rPr>
        <w:t>the</w:t>
      </w:r>
      <w:r>
        <w:rPr>
          <w:spacing w:val="11"/>
          <w:w w:val="105"/>
        </w:rPr>
        <w:t> </w:t>
      </w:r>
      <w:r>
        <w:rPr>
          <w:w w:val="105"/>
        </w:rPr>
        <w:t>communities in</w:t>
      </w:r>
      <w:r>
        <w:rPr>
          <w:spacing w:val="24"/>
          <w:w w:val="105"/>
        </w:rPr>
        <w:t> </w:t>
      </w:r>
      <w:r>
        <w:rPr>
          <w:w w:val="105"/>
        </w:rPr>
        <w:t>which</w:t>
      </w:r>
      <w:r>
        <w:rPr>
          <w:spacing w:val="24"/>
          <w:w w:val="105"/>
        </w:rPr>
        <w:t> </w:t>
      </w:r>
      <w:r>
        <w:rPr>
          <w:w w:val="105"/>
        </w:rPr>
        <w:t>we</w:t>
      </w:r>
      <w:r>
        <w:rPr>
          <w:spacing w:val="24"/>
          <w:w w:val="105"/>
        </w:rPr>
        <w:t> </w:t>
      </w:r>
      <w:r>
        <w:rPr>
          <w:w w:val="105"/>
        </w:rPr>
        <w:t>operate,</w:t>
      </w:r>
      <w:r>
        <w:rPr>
          <w:spacing w:val="24"/>
          <w:w w:val="105"/>
        </w:rPr>
        <w:t> </w:t>
      </w:r>
      <w:r>
        <w:rPr>
          <w:w w:val="105"/>
        </w:rPr>
        <w:t>offering</w:t>
      </w:r>
      <w:r>
        <w:rPr>
          <w:spacing w:val="24"/>
          <w:w w:val="105"/>
        </w:rPr>
        <w:t> </w:t>
      </w:r>
      <w:r>
        <w:rPr>
          <w:w w:val="105"/>
        </w:rPr>
        <w:t>volunteering</w:t>
      </w:r>
      <w:r>
        <w:rPr>
          <w:spacing w:val="24"/>
          <w:w w:val="105"/>
        </w:rPr>
        <w:t> </w:t>
      </w:r>
      <w:r>
        <w:rPr>
          <w:w w:val="105"/>
        </w:rPr>
        <w:t>time</w:t>
      </w:r>
      <w:r>
        <w:rPr>
          <w:spacing w:val="24"/>
          <w:w w:val="105"/>
        </w:rPr>
        <w:t> </w:t>
      </w:r>
      <w:r>
        <w:rPr>
          <w:w w:val="105"/>
        </w:rPr>
        <w:t>and</w:t>
      </w:r>
      <w:r>
        <w:rPr>
          <w:spacing w:val="24"/>
          <w:w w:val="105"/>
        </w:rPr>
        <w:t> </w:t>
      </w:r>
      <w:r>
        <w:rPr>
          <w:w w:val="105"/>
        </w:rPr>
        <w:t>resources</w:t>
      </w:r>
      <w:r>
        <w:rPr>
          <w:spacing w:val="24"/>
          <w:w w:val="105"/>
        </w:rPr>
        <w:t> </w:t>
      </w:r>
      <w:r>
        <w:rPr>
          <w:w w:val="105"/>
        </w:rPr>
        <w:t>to</w:t>
      </w:r>
      <w:r>
        <w:rPr>
          <w:spacing w:val="24"/>
          <w:w w:val="105"/>
        </w:rPr>
        <w:t> </w:t>
      </w:r>
      <w:r>
        <w:rPr>
          <w:w w:val="105"/>
        </w:rPr>
        <w:t>benefit</w:t>
      </w:r>
      <w:r>
        <w:rPr>
          <w:spacing w:val="24"/>
          <w:w w:val="105"/>
        </w:rPr>
        <w:t> </w:t>
      </w:r>
      <w:r>
        <w:rPr>
          <w:w w:val="105"/>
        </w:rPr>
        <w:t>the</w:t>
      </w:r>
      <w:r>
        <w:rPr>
          <w:spacing w:val="24"/>
          <w:w w:val="105"/>
        </w:rPr>
        <w:t> </w:t>
      </w:r>
      <w:r>
        <w:rPr>
          <w:w w:val="105"/>
        </w:rPr>
        <w:t>health</w:t>
      </w:r>
      <w:r>
        <w:rPr>
          <w:spacing w:val="24"/>
          <w:w w:val="105"/>
        </w:rPr>
        <w:t> </w:t>
      </w:r>
      <w:r>
        <w:rPr>
          <w:w w:val="105"/>
        </w:rPr>
        <w:t>of</w:t>
      </w:r>
      <w:r>
        <w:rPr>
          <w:spacing w:val="24"/>
          <w:w w:val="105"/>
        </w:rPr>
        <w:t> </w:t>
      </w:r>
      <w:r>
        <w:rPr>
          <w:w w:val="105"/>
        </w:rPr>
        <w:t>the</w:t>
      </w:r>
      <w:r>
        <w:rPr>
          <w:spacing w:val="24"/>
          <w:w w:val="105"/>
        </w:rPr>
        <w:t> </w:t>
      </w:r>
      <w:r>
        <w:rPr>
          <w:w w:val="105"/>
        </w:rPr>
        <w:t>local</w:t>
      </w:r>
      <w:r>
        <w:rPr>
          <w:spacing w:val="24"/>
          <w:w w:val="105"/>
        </w:rPr>
        <w:t> </w:t>
      </w:r>
      <w:r>
        <w:rPr>
          <w:w w:val="105"/>
        </w:rPr>
        <w:t>population.</w:t>
      </w:r>
    </w:p>
    <w:p>
      <w:pPr>
        <w:pStyle w:val="BodyText"/>
        <w:spacing w:line="259" w:lineRule="auto" w:before="154"/>
        <w:ind w:left="1400" w:right="1551" w:firstLine="372"/>
      </w:pPr>
      <w:r>
        <w:rPr>
          <w:i/>
          <w:w w:val="105"/>
        </w:rPr>
        <w:t>Being</w:t>
      </w:r>
      <w:r>
        <w:rPr>
          <w:i/>
          <w:spacing w:val="21"/>
          <w:w w:val="105"/>
        </w:rPr>
        <w:t> </w:t>
      </w:r>
      <w:r>
        <w:rPr>
          <w:i/>
          <w:w w:val="105"/>
        </w:rPr>
        <w:t>an</w:t>
      </w:r>
      <w:r>
        <w:rPr>
          <w:i/>
          <w:spacing w:val="21"/>
          <w:w w:val="105"/>
        </w:rPr>
        <w:t> </w:t>
      </w:r>
      <w:r>
        <w:rPr>
          <w:i/>
          <w:w w:val="105"/>
        </w:rPr>
        <w:t>Employer</w:t>
      </w:r>
      <w:r>
        <w:rPr>
          <w:i/>
          <w:spacing w:val="21"/>
          <w:w w:val="105"/>
        </w:rPr>
        <w:t> </w:t>
      </w:r>
      <w:r>
        <w:rPr>
          <w:i/>
          <w:w w:val="105"/>
        </w:rPr>
        <w:t>of</w:t>
      </w:r>
      <w:r>
        <w:rPr>
          <w:i/>
          <w:spacing w:val="21"/>
          <w:w w:val="105"/>
        </w:rPr>
        <w:t> </w:t>
      </w:r>
      <w:r>
        <w:rPr>
          <w:i/>
          <w:w w:val="105"/>
        </w:rPr>
        <w:t>Choice.</w:t>
      </w:r>
      <w:r>
        <w:rPr>
          <w:i/>
          <w:spacing w:val="80"/>
          <w:w w:val="150"/>
        </w:rPr>
        <w:t> </w:t>
      </w:r>
      <w:r>
        <w:rPr>
          <w:w w:val="105"/>
        </w:rPr>
        <w:t>We</w:t>
      </w:r>
      <w:r>
        <w:rPr>
          <w:spacing w:val="21"/>
          <w:w w:val="105"/>
        </w:rPr>
        <w:t> </w:t>
      </w:r>
      <w:r>
        <w:rPr>
          <w:w w:val="105"/>
        </w:rPr>
        <w:t>are</w:t>
      </w:r>
      <w:r>
        <w:rPr>
          <w:spacing w:val="21"/>
          <w:w w:val="105"/>
        </w:rPr>
        <w:t> </w:t>
      </w:r>
      <w:r>
        <w:rPr>
          <w:w w:val="105"/>
        </w:rPr>
        <w:t>committed</w:t>
      </w:r>
      <w:r>
        <w:rPr>
          <w:spacing w:val="21"/>
          <w:w w:val="105"/>
        </w:rPr>
        <w:t> </w:t>
      </w:r>
      <w:r>
        <w:rPr>
          <w:w w:val="105"/>
        </w:rPr>
        <w:t>to</w:t>
      </w:r>
      <w:r>
        <w:rPr>
          <w:spacing w:val="21"/>
          <w:w w:val="105"/>
        </w:rPr>
        <w:t> </w:t>
      </w:r>
      <w:r>
        <w:rPr>
          <w:w w:val="105"/>
        </w:rPr>
        <w:t>creating</w:t>
      </w:r>
      <w:r>
        <w:rPr>
          <w:spacing w:val="21"/>
          <w:w w:val="105"/>
        </w:rPr>
        <w:t> </w:t>
      </w:r>
      <w:r>
        <w:rPr>
          <w:w w:val="105"/>
        </w:rPr>
        <w:t>a</w:t>
      </w:r>
      <w:r>
        <w:rPr>
          <w:spacing w:val="21"/>
          <w:w w:val="105"/>
        </w:rPr>
        <w:t> </w:t>
      </w:r>
      <w:r>
        <w:rPr>
          <w:w w:val="105"/>
        </w:rPr>
        <w:t>culture</w:t>
      </w:r>
      <w:r>
        <w:rPr>
          <w:spacing w:val="21"/>
          <w:w w:val="105"/>
        </w:rPr>
        <w:t> </w:t>
      </w:r>
      <w:r>
        <w:rPr>
          <w:w w:val="105"/>
        </w:rPr>
        <w:t>of</w:t>
      </w:r>
      <w:r>
        <w:rPr>
          <w:spacing w:val="21"/>
          <w:w w:val="105"/>
        </w:rPr>
        <w:t> </w:t>
      </w:r>
      <w:r>
        <w:rPr>
          <w:w w:val="105"/>
        </w:rPr>
        <w:t>inclusion</w:t>
      </w:r>
      <w:r>
        <w:rPr>
          <w:spacing w:val="21"/>
          <w:w w:val="105"/>
        </w:rPr>
        <w:t> </w:t>
      </w:r>
      <w:r>
        <w:rPr>
          <w:w w:val="105"/>
        </w:rPr>
        <w:t>where</w:t>
      </w:r>
      <w:r>
        <w:rPr>
          <w:spacing w:val="21"/>
          <w:w w:val="105"/>
        </w:rPr>
        <w:t> </w:t>
      </w:r>
      <w:r>
        <w:rPr>
          <w:w w:val="105"/>
        </w:rPr>
        <w:t>diverse minds and ideas are valued. To attract, retain and develop talented individuals, we believe our workforce should feel safe, healthy and supported. We seek to create workspaces where championing health and well- being is a collective effort.</w:t>
      </w:r>
    </w:p>
    <w:p>
      <w:pPr>
        <w:pStyle w:val="BodyText"/>
        <w:spacing w:line="259" w:lineRule="auto" w:before="140"/>
        <w:ind w:left="1400" w:right="1551" w:firstLine="372"/>
      </w:pPr>
      <w:r>
        <w:rPr>
          <w:i/>
          <w:w w:val="105"/>
        </w:rPr>
        <w:t>Supporting our Neighbors.</w:t>
      </w:r>
      <w:r>
        <w:rPr>
          <w:i/>
          <w:spacing w:val="80"/>
          <w:w w:val="105"/>
        </w:rPr>
        <w:t> </w:t>
      </w:r>
      <w:r>
        <w:rPr>
          <w:w w:val="105"/>
        </w:rPr>
        <w:t>Through working with our local communities, we are helping to build a</w:t>
      </w:r>
      <w:r>
        <w:rPr>
          <w:spacing w:val="40"/>
          <w:w w:val="105"/>
        </w:rPr>
        <w:t> </w:t>
      </w:r>
      <w:r>
        <w:rPr>
          <w:w w:val="105"/>
        </w:rPr>
        <w:t>healthier and safer future for all. We also view being a good corporate citizen as key to our ability to attract</w:t>
      </w:r>
      <w:r>
        <w:rPr>
          <w:spacing w:val="40"/>
          <w:w w:val="105"/>
        </w:rPr>
        <w:t> </w:t>
      </w:r>
      <w:r>
        <w:rPr>
          <w:w w:val="105"/>
        </w:rPr>
        <w:t>and retain talent. We focus these efforts in three areas: health and health research; STEM education; and diversity and inclusion to support the local communities of our global facilities.</w:t>
      </w:r>
    </w:p>
    <w:p>
      <w:pPr>
        <w:pStyle w:val="BodyText"/>
        <w:spacing w:before="6"/>
        <w:rPr>
          <w:sz w:val="19"/>
        </w:rPr>
      </w:pPr>
    </w:p>
    <w:p>
      <w:pPr>
        <w:pStyle w:val="Heading2"/>
      </w:pPr>
      <w:r>
        <w:rPr/>
        <w:t>Acting</w:t>
      </w:r>
      <w:r>
        <w:rPr>
          <w:spacing w:val="-10"/>
        </w:rPr>
        <w:t> </w:t>
      </w:r>
      <w:r>
        <w:rPr/>
        <w:t>with</w:t>
      </w:r>
      <w:r>
        <w:rPr>
          <w:spacing w:val="-9"/>
        </w:rPr>
        <w:t> </w:t>
      </w:r>
      <w:r>
        <w:rPr>
          <w:spacing w:val="-2"/>
        </w:rPr>
        <w:t>Integrity</w:t>
      </w:r>
    </w:p>
    <w:p>
      <w:pPr>
        <w:pStyle w:val="BodyText"/>
        <w:spacing w:line="259" w:lineRule="auto" w:before="170"/>
        <w:ind w:left="1400" w:right="1680" w:firstLine="372"/>
      </w:pPr>
      <w:r>
        <w:rPr>
          <w:w w:val="105"/>
        </w:rPr>
        <w:t>We want to be a company that customers and other stakeholders’ trust. That starts with acting responsibly and putting integrity, fairness and accountability at the forefront of our decisions. We partner with</w:t>
      </w:r>
      <w:r>
        <w:rPr>
          <w:spacing w:val="26"/>
          <w:w w:val="105"/>
        </w:rPr>
        <w:t> </w:t>
      </w:r>
      <w:r>
        <w:rPr>
          <w:w w:val="105"/>
        </w:rPr>
        <w:t>suppliers</w:t>
      </w:r>
      <w:r>
        <w:rPr>
          <w:spacing w:val="26"/>
          <w:w w:val="105"/>
        </w:rPr>
        <w:t> </w:t>
      </w:r>
      <w:r>
        <w:rPr>
          <w:w w:val="105"/>
        </w:rPr>
        <w:t>to</w:t>
      </w:r>
      <w:r>
        <w:rPr>
          <w:spacing w:val="26"/>
          <w:w w:val="105"/>
        </w:rPr>
        <w:t> </w:t>
      </w:r>
      <w:r>
        <w:rPr>
          <w:w w:val="105"/>
        </w:rPr>
        <w:t>promote</w:t>
      </w:r>
      <w:r>
        <w:rPr>
          <w:spacing w:val="26"/>
          <w:w w:val="105"/>
        </w:rPr>
        <w:t> </w:t>
      </w:r>
      <w:r>
        <w:rPr>
          <w:w w:val="105"/>
        </w:rPr>
        <w:t>a</w:t>
      </w:r>
      <w:r>
        <w:rPr>
          <w:spacing w:val="26"/>
          <w:w w:val="105"/>
        </w:rPr>
        <w:t> </w:t>
      </w:r>
      <w:r>
        <w:rPr>
          <w:w w:val="105"/>
        </w:rPr>
        <w:t>responsible</w:t>
      </w:r>
      <w:r>
        <w:rPr>
          <w:spacing w:val="26"/>
          <w:w w:val="105"/>
        </w:rPr>
        <w:t> </w:t>
      </w:r>
      <w:r>
        <w:rPr>
          <w:w w:val="105"/>
        </w:rPr>
        <w:t>supply</w:t>
      </w:r>
      <w:r>
        <w:rPr>
          <w:spacing w:val="26"/>
          <w:w w:val="105"/>
        </w:rPr>
        <w:t> </w:t>
      </w:r>
      <w:r>
        <w:rPr>
          <w:w w:val="105"/>
        </w:rPr>
        <w:t>chain,</w:t>
      </w:r>
      <w:r>
        <w:rPr>
          <w:spacing w:val="26"/>
          <w:w w:val="105"/>
        </w:rPr>
        <w:t> </w:t>
      </w:r>
      <w:r>
        <w:rPr>
          <w:w w:val="105"/>
        </w:rPr>
        <w:t>including</w:t>
      </w:r>
      <w:r>
        <w:rPr>
          <w:spacing w:val="26"/>
          <w:w w:val="105"/>
        </w:rPr>
        <w:t> </w:t>
      </w:r>
      <w:r>
        <w:rPr>
          <w:w w:val="105"/>
        </w:rPr>
        <w:t>protecting</w:t>
      </w:r>
      <w:r>
        <w:rPr>
          <w:spacing w:val="26"/>
          <w:w w:val="105"/>
        </w:rPr>
        <w:t> </w:t>
      </w:r>
      <w:r>
        <w:rPr>
          <w:w w:val="105"/>
        </w:rPr>
        <w:t>and</w:t>
      </w:r>
      <w:r>
        <w:rPr>
          <w:spacing w:val="26"/>
          <w:w w:val="105"/>
        </w:rPr>
        <w:t> </w:t>
      </w:r>
      <w:r>
        <w:rPr>
          <w:w w:val="105"/>
        </w:rPr>
        <w:t>respecting</w:t>
      </w:r>
      <w:r>
        <w:rPr>
          <w:spacing w:val="26"/>
          <w:w w:val="105"/>
        </w:rPr>
        <w:t> </w:t>
      </w:r>
      <w:r>
        <w:rPr>
          <w:w w:val="105"/>
        </w:rPr>
        <w:t>human</w:t>
      </w:r>
      <w:r>
        <w:rPr>
          <w:spacing w:val="26"/>
          <w:w w:val="105"/>
        </w:rPr>
        <w:t> </w:t>
      </w:r>
      <w:r>
        <w:rPr>
          <w:w w:val="105"/>
        </w:rPr>
        <w:t>rights.</w:t>
      </w:r>
    </w:p>
    <w:p>
      <w:pPr>
        <w:pStyle w:val="BodyText"/>
        <w:spacing w:line="259" w:lineRule="auto" w:before="155"/>
        <w:ind w:left="1400" w:right="1551" w:firstLine="372"/>
      </w:pPr>
      <w:r>
        <w:rPr>
          <w:i/>
          <w:w w:val="105"/>
        </w:rPr>
        <w:t>Governance.</w:t>
      </w:r>
      <w:r>
        <w:rPr>
          <w:i/>
          <w:spacing w:val="80"/>
          <w:w w:val="105"/>
        </w:rPr>
        <w:t> </w:t>
      </w:r>
      <w:r>
        <w:rPr>
          <w:w w:val="105"/>
        </w:rPr>
        <w:t>Our Board and its committees play important roles in creating sustainable value,</w:t>
      </w:r>
      <w:r>
        <w:rPr>
          <w:spacing w:val="40"/>
          <w:w w:val="105"/>
        </w:rPr>
        <w:t> </w:t>
      </w:r>
      <w:r>
        <w:rPr>
          <w:w w:val="105"/>
        </w:rPr>
        <w:t>developing ESG strategy and overseeing critical ESG matters.</w:t>
      </w:r>
    </w:p>
    <w:p>
      <w:pPr>
        <w:pStyle w:val="BodyText"/>
        <w:spacing w:before="8"/>
        <w:rPr>
          <w:sz w:val="13"/>
        </w:rPr>
      </w:pPr>
      <w:r>
        <w:rPr/>
        <w:pict>
          <v:shape style="position:absolute;margin-left:94.355782pt;margin-top:9.457003pt;width:424.3pt;height:36.35pt;mso-position-horizontal-relative:page;mso-position-vertical-relative:paragraph;z-index:-15704576;mso-wrap-distance-left:0;mso-wrap-distance-right:0" type="#_x0000_t202" id="docshape184" filled="false" stroked="true" strokeweight=".698992pt" strokecolor="#000000">
            <v:textbox inset="0,0,0,0">
              <w:txbxContent>
                <w:p>
                  <w:pPr>
                    <w:spacing w:before="41"/>
                    <w:ind w:left="985" w:right="983" w:firstLine="0"/>
                    <w:jc w:val="center"/>
                    <w:rPr>
                      <w:b/>
                      <w:sz w:val="18"/>
                    </w:rPr>
                  </w:pPr>
                  <w:r>
                    <w:rPr>
                      <w:b/>
                      <w:sz w:val="18"/>
                    </w:rPr>
                    <w:t>The</w:t>
                  </w:r>
                  <w:r>
                    <w:rPr>
                      <w:b/>
                      <w:spacing w:val="-7"/>
                      <w:sz w:val="18"/>
                    </w:rPr>
                    <w:t> </w:t>
                  </w:r>
                  <w:r>
                    <w:rPr>
                      <w:b/>
                      <w:sz w:val="18"/>
                    </w:rPr>
                    <w:t>Board</w:t>
                  </w:r>
                  <w:r>
                    <w:rPr>
                      <w:b/>
                      <w:spacing w:val="-6"/>
                      <w:sz w:val="18"/>
                    </w:rPr>
                    <w:t> </w:t>
                  </w:r>
                  <w:r>
                    <w:rPr>
                      <w:b/>
                      <w:sz w:val="18"/>
                    </w:rPr>
                    <w:t>of</w:t>
                  </w:r>
                  <w:r>
                    <w:rPr>
                      <w:b/>
                      <w:spacing w:val="-6"/>
                      <w:sz w:val="18"/>
                    </w:rPr>
                    <w:t> </w:t>
                  </w:r>
                  <w:r>
                    <w:rPr>
                      <w:b/>
                      <w:spacing w:val="-2"/>
                      <w:sz w:val="18"/>
                    </w:rPr>
                    <w:t>Directors</w:t>
                  </w:r>
                </w:p>
                <w:p>
                  <w:pPr>
                    <w:pStyle w:val="BodyText"/>
                    <w:spacing w:before="129"/>
                    <w:ind w:left="985" w:right="987"/>
                    <w:jc w:val="center"/>
                  </w:pPr>
                  <w:r>
                    <w:rPr>
                      <w:w w:val="105"/>
                    </w:rPr>
                    <w:t>Our</w:t>
                  </w:r>
                  <w:r>
                    <w:rPr>
                      <w:spacing w:val="10"/>
                      <w:w w:val="105"/>
                    </w:rPr>
                    <w:t> </w:t>
                  </w:r>
                  <w:r>
                    <w:rPr>
                      <w:w w:val="105"/>
                    </w:rPr>
                    <w:t>Board</w:t>
                  </w:r>
                  <w:r>
                    <w:rPr>
                      <w:spacing w:val="10"/>
                      <w:w w:val="105"/>
                    </w:rPr>
                    <w:t> </w:t>
                  </w:r>
                  <w:r>
                    <w:rPr>
                      <w:w w:val="105"/>
                    </w:rPr>
                    <w:t>is</w:t>
                  </w:r>
                  <w:r>
                    <w:rPr>
                      <w:spacing w:val="10"/>
                      <w:w w:val="105"/>
                    </w:rPr>
                    <w:t> </w:t>
                  </w:r>
                  <w:r>
                    <w:rPr>
                      <w:w w:val="105"/>
                    </w:rPr>
                    <w:t>responsible</w:t>
                  </w:r>
                  <w:r>
                    <w:rPr>
                      <w:spacing w:val="11"/>
                      <w:w w:val="105"/>
                    </w:rPr>
                    <w:t> </w:t>
                  </w:r>
                  <w:r>
                    <w:rPr>
                      <w:w w:val="105"/>
                    </w:rPr>
                    <w:t>for</w:t>
                  </w:r>
                  <w:r>
                    <w:rPr>
                      <w:spacing w:val="10"/>
                      <w:w w:val="105"/>
                    </w:rPr>
                    <w:t> </w:t>
                  </w:r>
                  <w:r>
                    <w:rPr>
                      <w:w w:val="105"/>
                    </w:rPr>
                    <w:t>oversight</w:t>
                  </w:r>
                  <w:r>
                    <w:rPr>
                      <w:spacing w:val="10"/>
                      <w:w w:val="105"/>
                    </w:rPr>
                    <w:t> </w:t>
                  </w:r>
                  <w:r>
                    <w:rPr>
                      <w:w w:val="105"/>
                    </w:rPr>
                    <w:t>of</w:t>
                  </w:r>
                  <w:r>
                    <w:rPr>
                      <w:spacing w:val="11"/>
                      <w:w w:val="105"/>
                    </w:rPr>
                    <w:t> </w:t>
                  </w:r>
                  <w:r>
                    <w:rPr>
                      <w:w w:val="105"/>
                    </w:rPr>
                    <w:t>ESG</w:t>
                  </w:r>
                  <w:r>
                    <w:rPr>
                      <w:spacing w:val="10"/>
                      <w:w w:val="105"/>
                    </w:rPr>
                    <w:t> </w:t>
                  </w:r>
                  <w:r>
                    <w:rPr>
                      <w:w w:val="105"/>
                    </w:rPr>
                    <w:t>risks</w:t>
                  </w:r>
                  <w:r>
                    <w:rPr>
                      <w:spacing w:val="10"/>
                      <w:w w:val="105"/>
                    </w:rPr>
                    <w:t> </w:t>
                  </w:r>
                  <w:r>
                    <w:rPr>
                      <w:w w:val="105"/>
                    </w:rPr>
                    <w:t>and</w:t>
                  </w:r>
                  <w:r>
                    <w:rPr>
                      <w:spacing w:val="10"/>
                      <w:w w:val="105"/>
                    </w:rPr>
                    <w:t> </w:t>
                  </w:r>
                  <w:r>
                    <w:rPr>
                      <w:spacing w:val="-2"/>
                      <w:w w:val="105"/>
                    </w:rPr>
                    <w:t>opportunities.</w:t>
                  </w:r>
                </w:p>
              </w:txbxContent>
            </v:textbox>
            <v:stroke dashstyle="solid"/>
            <w10:wrap type="topAndBottom"/>
          </v:shape>
        </w:pict>
      </w:r>
      <w:r>
        <w:rPr/>
        <w:pict>
          <v:shape style="position:absolute;margin-left:94.355782pt;margin-top:53.493523pt;width:424.3pt;height:81.1pt;mso-position-horizontal-relative:page;mso-position-vertical-relative:paragraph;z-index:-15704064;mso-wrap-distance-left:0;mso-wrap-distance-right:0" type="#_x0000_t202" id="docshape185" filled="false" stroked="true" strokeweight=".698992pt" strokecolor="#000000">
            <v:textbox inset="0,0,0,0">
              <w:txbxContent>
                <w:p>
                  <w:pPr>
                    <w:spacing w:before="41"/>
                    <w:ind w:left="985" w:right="983" w:firstLine="0"/>
                    <w:jc w:val="center"/>
                    <w:rPr>
                      <w:b/>
                      <w:sz w:val="18"/>
                    </w:rPr>
                  </w:pPr>
                  <w:r>
                    <w:rPr>
                      <w:b/>
                      <w:spacing w:val="-2"/>
                      <w:sz w:val="18"/>
                    </w:rPr>
                    <w:t>Nominating</w:t>
                  </w:r>
                  <w:r>
                    <w:rPr>
                      <w:b/>
                      <w:spacing w:val="3"/>
                      <w:sz w:val="18"/>
                    </w:rPr>
                    <w:t> </w:t>
                  </w:r>
                  <w:r>
                    <w:rPr>
                      <w:b/>
                      <w:spacing w:val="-2"/>
                      <w:sz w:val="18"/>
                    </w:rPr>
                    <w:t>and</w:t>
                  </w:r>
                  <w:r>
                    <w:rPr>
                      <w:b/>
                      <w:spacing w:val="4"/>
                      <w:sz w:val="18"/>
                    </w:rPr>
                    <w:t> </w:t>
                  </w:r>
                  <w:r>
                    <w:rPr>
                      <w:b/>
                      <w:spacing w:val="-2"/>
                      <w:sz w:val="18"/>
                    </w:rPr>
                    <w:t>Corporate</w:t>
                  </w:r>
                  <w:r>
                    <w:rPr>
                      <w:b/>
                      <w:spacing w:val="4"/>
                      <w:sz w:val="18"/>
                    </w:rPr>
                    <w:t> </w:t>
                  </w:r>
                  <w:r>
                    <w:rPr>
                      <w:b/>
                      <w:spacing w:val="-2"/>
                      <w:sz w:val="18"/>
                    </w:rPr>
                    <w:t>Governance</w:t>
                  </w:r>
                  <w:r>
                    <w:rPr>
                      <w:b/>
                      <w:spacing w:val="4"/>
                      <w:sz w:val="18"/>
                    </w:rPr>
                    <w:t> </w:t>
                  </w:r>
                  <w:r>
                    <w:rPr>
                      <w:b/>
                      <w:spacing w:val="-2"/>
                      <w:sz w:val="18"/>
                    </w:rPr>
                    <w:t>Committee</w:t>
                  </w:r>
                </w:p>
                <w:p>
                  <w:pPr>
                    <w:pStyle w:val="BodyText"/>
                    <w:spacing w:before="129"/>
                    <w:ind w:left="985" w:right="987"/>
                    <w:jc w:val="center"/>
                  </w:pPr>
                  <w:r>
                    <w:rPr>
                      <w:w w:val="105"/>
                    </w:rPr>
                    <w:t>Oversees</w:t>
                  </w:r>
                  <w:r>
                    <w:rPr>
                      <w:spacing w:val="9"/>
                      <w:w w:val="105"/>
                    </w:rPr>
                    <w:t> </w:t>
                  </w:r>
                  <w:r>
                    <w:rPr>
                      <w:w w:val="105"/>
                    </w:rPr>
                    <w:t>our</w:t>
                  </w:r>
                  <w:r>
                    <w:rPr>
                      <w:spacing w:val="9"/>
                      <w:w w:val="105"/>
                    </w:rPr>
                    <w:t> </w:t>
                  </w:r>
                  <w:r>
                    <w:rPr>
                      <w:w w:val="105"/>
                    </w:rPr>
                    <w:t>ESG</w:t>
                  </w:r>
                  <w:r>
                    <w:rPr>
                      <w:spacing w:val="10"/>
                      <w:w w:val="105"/>
                    </w:rPr>
                    <w:t> </w:t>
                  </w:r>
                  <w:r>
                    <w:rPr>
                      <w:spacing w:val="-2"/>
                      <w:w w:val="105"/>
                    </w:rPr>
                    <w:t>efforts.</w:t>
                  </w:r>
                </w:p>
                <w:p>
                  <w:pPr>
                    <w:pStyle w:val="BodyText"/>
                    <w:spacing w:line="259" w:lineRule="auto" w:before="128"/>
                    <w:ind w:left="1830" w:right="1833"/>
                    <w:jc w:val="center"/>
                  </w:pPr>
                  <w:r>
                    <w:rPr>
                      <w:w w:val="105"/>
                    </w:rPr>
                    <w:t>Reviews and evaluates our programs, policies and practices relating to ESG issues and related disclosures.</w:t>
                  </w:r>
                </w:p>
                <w:p>
                  <w:pPr>
                    <w:pStyle w:val="BodyText"/>
                    <w:spacing w:before="113"/>
                    <w:ind w:left="985" w:right="987"/>
                    <w:jc w:val="center"/>
                  </w:pPr>
                  <w:r>
                    <w:rPr>
                      <w:w w:val="105"/>
                    </w:rPr>
                    <w:t>Recommends</w:t>
                  </w:r>
                  <w:r>
                    <w:rPr>
                      <w:spacing w:val="10"/>
                      <w:w w:val="105"/>
                    </w:rPr>
                    <w:t> </w:t>
                  </w:r>
                  <w:r>
                    <w:rPr>
                      <w:w w:val="105"/>
                    </w:rPr>
                    <w:t>to</w:t>
                  </w:r>
                  <w:r>
                    <w:rPr>
                      <w:spacing w:val="11"/>
                      <w:w w:val="105"/>
                    </w:rPr>
                    <w:t> </w:t>
                  </w:r>
                  <w:r>
                    <w:rPr>
                      <w:w w:val="105"/>
                    </w:rPr>
                    <w:t>the</w:t>
                  </w:r>
                  <w:r>
                    <w:rPr>
                      <w:spacing w:val="11"/>
                      <w:w w:val="105"/>
                    </w:rPr>
                    <w:t> </w:t>
                  </w:r>
                  <w:r>
                    <w:rPr>
                      <w:w w:val="105"/>
                    </w:rPr>
                    <w:t>Board</w:t>
                  </w:r>
                  <w:r>
                    <w:rPr>
                      <w:spacing w:val="11"/>
                      <w:w w:val="105"/>
                    </w:rPr>
                    <w:t> </w:t>
                  </w:r>
                  <w:r>
                    <w:rPr>
                      <w:w w:val="105"/>
                    </w:rPr>
                    <w:t>our</w:t>
                  </w:r>
                  <w:r>
                    <w:rPr>
                      <w:spacing w:val="10"/>
                      <w:w w:val="105"/>
                    </w:rPr>
                    <w:t> </w:t>
                  </w:r>
                  <w:r>
                    <w:rPr>
                      <w:w w:val="105"/>
                    </w:rPr>
                    <w:t>overall</w:t>
                  </w:r>
                  <w:r>
                    <w:rPr>
                      <w:spacing w:val="11"/>
                      <w:w w:val="105"/>
                    </w:rPr>
                    <w:t> </w:t>
                  </w:r>
                  <w:r>
                    <w:rPr>
                      <w:w w:val="105"/>
                    </w:rPr>
                    <w:t>general</w:t>
                  </w:r>
                  <w:r>
                    <w:rPr>
                      <w:spacing w:val="11"/>
                      <w:w w:val="105"/>
                    </w:rPr>
                    <w:t> </w:t>
                  </w:r>
                  <w:r>
                    <w:rPr>
                      <w:w w:val="105"/>
                    </w:rPr>
                    <w:t>strategy</w:t>
                  </w:r>
                  <w:r>
                    <w:rPr>
                      <w:spacing w:val="11"/>
                      <w:w w:val="105"/>
                    </w:rPr>
                    <w:t> </w:t>
                  </w:r>
                  <w:r>
                    <w:rPr>
                      <w:w w:val="105"/>
                    </w:rPr>
                    <w:t>with</w:t>
                  </w:r>
                  <w:r>
                    <w:rPr>
                      <w:spacing w:val="11"/>
                      <w:w w:val="105"/>
                    </w:rPr>
                    <w:t> </w:t>
                  </w:r>
                  <w:r>
                    <w:rPr>
                      <w:w w:val="105"/>
                    </w:rPr>
                    <w:t>respect</w:t>
                  </w:r>
                  <w:r>
                    <w:rPr>
                      <w:spacing w:val="10"/>
                      <w:w w:val="105"/>
                    </w:rPr>
                    <w:t> </w:t>
                  </w:r>
                  <w:r>
                    <w:rPr>
                      <w:w w:val="105"/>
                    </w:rPr>
                    <w:t>to</w:t>
                  </w:r>
                  <w:r>
                    <w:rPr>
                      <w:spacing w:val="11"/>
                      <w:w w:val="105"/>
                    </w:rPr>
                    <w:t> </w:t>
                  </w:r>
                  <w:r>
                    <w:rPr>
                      <w:w w:val="105"/>
                    </w:rPr>
                    <w:t>ESG</w:t>
                  </w:r>
                  <w:r>
                    <w:rPr>
                      <w:spacing w:val="11"/>
                      <w:w w:val="105"/>
                    </w:rPr>
                    <w:t> </w:t>
                  </w:r>
                  <w:r>
                    <w:rPr>
                      <w:spacing w:val="-2"/>
                      <w:w w:val="105"/>
                    </w:rPr>
                    <w:t>matters.</w:t>
                  </w:r>
                </w:p>
              </w:txbxContent>
            </v:textbox>
            <v:stroke dashstyle="solid"/>
            <w10:wrap type="topAndBottom"/>
          </v:shape>
        </w:pict>
      </w:r>
      <w:r>
        <w:rPr/>
        <w:pict>
          <v:shape style="position:absolute;margin-left:94.355782pt;margin-top:146.459503pt;width:206.25pt;height:146.1pt;mso-position-horizontal-relative:page;mso-position-vertical-relative:paragraph;z-index:-15703552;mso-wrap-distance-left:0;mso-wrap-distance-right:0" type="#_x0000_t202" id="docshape186" filled="false" stroked="true" strokeweight=".698992pt" strokecolor="#000000">
            <v:textbox inset="0,0,0,0">
              <w:txbxContent>
                <w:p>
                  <w:pPr>
                    <w:spacing w:line="259" w:lineRule="auto" w:before="55"/>
                    <w:ind w:left="276" w:right="271" w:firstLine="0"/>
                    <w:jc w:val="center"/>
                    <w:rPr>
                      <w:b/>
                      <w:sz w:val="18"/>
                    </w:rPr>
                  </w:pPr>
                  <w:r>
                    <w:rPr>
                      <w:b/>
                      <w:sz w:val="18"/>
                    </w:rPr>
                    <w:t>Compensation</w:t>
                  </w:r>
                  <w:r>
                    <w:rPr>
                      <w:b/>
                      <w:spacing w:val="-12"/>
                      <w:sz w:val="18"/>
                    </w:rPr>
                    <w:t> </w:t>
                  </w:r>
                  <w:r>
                    <w:rPr>
                      <w:b/>
                      <w:sz w:val="18"/>
                    </w:rPr>
                    <w:t>and</w:t>
                  </w:r>
                  <w:r>
                    <w:rPr>
                      <w:b/>
                      <w:spacing w:val="-11"/>
                      <w:sz w:val="18"/>
                    </w:rPr>
                    <w:t> </w:t>
                  </w:r>
                  <w:r>
                    <w:rPr>
                      <w:b/>
                      <w:sz w:val="18"/>
                    </w:rPr>
                    <w:t>Human</w:t>
                  </w:r>
                  <w:r>
                    <w:rPr>
                      <w:b/>
                      <w:spacing w:val="-11"/>
                      <w:sz w:val="18"/>
                    </w:rPr>
                    <w:t> </w:t>
                  </w:r>
                  <w:r>
                    <w:rPr>
                      <w:b/>
                      <w:sz w:val="18"/>
                    </w:rPr>
                    <w:t>Capital </w:t>
                  </w:r>
                  <w:r>
                    <w:rPr>
                      <w:b/>
                      <w:w w:val="105"/>
                      <w:sz w:val="18"/>
                    </w:rPr>
                    <w:t>Management</w:t>
                  </w:r>
                  <w:r>
                    <w:rPr>
                      <w:b/>
                      <w:spacing w:val="-10"/>
                      <w:w w:val="105"/>
                      <w:sz w:val="18"/>
                    </w:rPr>
                    <w:t> </w:t>
                  </w:r>
                  <w:r>
                    <w:rPr>
                      <w:b/>
                      <w:w w:val="105"/>
                      <w:sz w:val="18"/>
                    </w:rPr>
                    <w:t>Committee</w:t>
                  </w:r>
                </w:p>
                <w:p>
                  <w:pPr>
                    <w:pStyle w:val="BodyText"/>
                    <w:spacing w:line="259" w:lineRule="auto" w:before="168"/>
                    <w:ind w:left="189" w:right="191"/>
                    <w:jc w:val="center"/>
                  </w:pPr>
                  <w:r>
                    <w:rPr>
                      <w:w w:val="105"/>
                    </w:rPr>
                    <w:t>Provides oversight on to the development, implementation and effectiveness of our</w:t>
                  </w:r>
                  <w:r>
                    <w:rPr>
                      <w:spacing w:val="40"/>
                      <w:w w:val="105"/>
                    </w:rPr>
                    <w:t> </w:t>
                  </w:r>
                  <w:r>
                    <w:rPr>
                      <w:w w:val="105"/>
                    </w:rPr>
                    <w:t>practices, policies and strategies relating to</w:t>
                  </w:r>
                  <w:r>
                    <w:rPr>
                      <w:spacing w:val="40"/>
                      <w:w w:val="105"/>
                    </w:rPr>
                    <w:t> </w:t>
                  </w:r>
                  <w:r>
                    <w:rPr>
                      <w:w w:val="105"/>
                    </w:rPr>
                    <w:t>human capital management as they relate to our workforce generally, including but not limited to policies and strategies regarding recruiting, selection, career development and progression, and diversity, and employment practices.</w:t>
                  </w:r>
                </w:p>
              </w:txbxContent>
            </v:textbox>
            <v:stroke dashstyle="solid"/>
            <w10:wrap type="topAndBottom"/>
          </v:shape>
        </w:pict>
      </w:r>
      <w:r>
        <w:rPr/>
        <w:pict>
          <v:shape style="position:absolute;margin-left:312.441406pt;margin-top:146.459503pt;width:206.25pt;height:146.1pt;mso-position-horizontal-relative:page;mso-position-vertical-relative:paragraph;z-index:-15703040;mso-wrap-distance-left:0;mso-wrap-distance-right:0" type="#_x0000_t202" id="docshape187" filled="false" stroked="true" strokeweight=".698992pt" strokecolor="#000000">
            <v:textbox inset="0,0,0,0">
              <w:txbxContent>
                <w:p>
                  <w:pPr>
                    <w:spacing w:before="41"/>
                    <w:ind w:left="276" w:right="273" w:firstLine="0"/>
                    <w:jc w:val="center"/>
                    <w:rPr>
                      <w:b/>
                      <w:sz w:val="18"/>
                    </w:rPr>
                  </w:pPr>
                  <w:r>
                    <w:rPr>
                      <w:b/>
                      <w:sz w:val="18"/>
                    </w:rPr>
                    <w:t>Audit</w:t>
                  </w:r>
                  <w:r>
                    <w:rPr>
                      <w:b/>
                      <w:spacing w:val="-9"/>
                      <w:sz w:val="18"/>
                    </w:rPr>
                    <w:t> </w:t>
                  </w:r>
                  <w:r>
                    <w:rPr>
                      <w:b/>
                      <w:spacing w:val="-2"/>
                      <w:sz w:val="18"/>
                    </w:rPr>
                    <w:t>Committee</w:t>
                  </w:r>
                </w:p>
                <w:p>
                  <w:pPr>
                    <w:pStyle w:val="BodyText"/>
                    <w:spacing w:before="3"/>
                    <w:rPr>
                      <w:b/>
                      <w:sz w:val="17"/>
                    </w:rPr>
                  </w:pPr>
                </w:p>
                <w:p>
                  <w:pPr>
                    <w:pStyle w:val="BodyText"/>
                    <w:spacing w:line="259" w:lineRule="auto"/>
                    <w:ind w:left="276" w:right="278"/>
                    <w:jc w:val="center"/>
                  </w:pPr>
                  <w:r>
                    <w:rPr>
                      <w:w w:val="105"/>
                    </w:rPr>
                    <w:t>Reviews our public disclosures with respect to sustainability accounting standards.</w:t>
                  </w:r>
                </w:p>
                <w:p>
                  <w:pPr>
                    <w:pStyle w:val="BodyText"/>
                    <w:spacing w:line="259" w:lineRule="auto" w:before="84"/>
                    <w:ind w:left="232" w:right="235" w:hanging="1"/>
                    <w:jc w:val="center"/>
                  </w:pPr>
                  <w:r>
                    <w:rPr>
                      <w:w w:val="105"/>
                    </w:rPr>
                    <w:t>Reviews cybersecurity, data privacy and other risks relevant to our computerized information system controls and security, as well as mitigation plans and relevant policies and </w:t>
                  </w:r>
                  <w:r>
                    <w:rPr>
                      <w:spacing w:val="-2"/>
                      <w:w w:val="105"/>
                    </w:rPr>
                    <w:t>programs.</w:t>
                  </w:r>
                </w:p>
                <w:p>
                  <w:pPr>
                    <w:pStyle w:val="BodyText"/>
                    <w:spacing w:line="259" w:lineRule="auto" w:before="99"/>
                    <w:ind w:left="276" w:right="278"/>
                    <w:jc w:val="center"/>
                  </w:pPr>
                  <w:r>
                    <w:rPr>
                      <w:w w:val="105"/>
                    </w:rPr>
                    <w:t>Reviews our business continuity and disaster preparedness planning.</w:t>
                  </w:r>
                </w:p>
              </w:txbxContent>
            </v:textbox>
            <v:stroke dashstyle="solid"/>
            <w10:wrap type="topAndBottom"/>
          </v:shape>
        </w:pict>
      </w:r>
    </w:p>
    <w:p>
      <w:pPr>
        <w:pStyle w:val="BodyText"/>
        <w:spacing w:before="7"/>
        <w:rPr>
          <w:sz w:val="10"/>
        </w:rPr>
      </w:pPr>
    </w:p>
    <w:p>
      <w:pPr>
        <w:pStyle w:val="BodyText"/>
        <w:spacing w:before="11"/>
        <w:rPr>
          <w:sz w:val="17"/>
        </w:rPr>
      </w:pPr>
    </w:p>
    <w:p>
      <w:pPr>
        <w:spacing w:after="0"/>
        <w:rPr>
          <w:sz w:val="17"/>
        </w:rPr>
        <w:sectPr>
          <w:headerReference w:type="default" r:id="rId87"/>
          <w:footerReference w:type="default" r:id="rId88"/>
          <w:pgSz w:w="12240" w:h="15840"/>
          <w:pgMar w:header="529" w:footer="1176" w:top="720" w:bottom="1360" w:left="480" w:right="460"/>
        </w:sectPr>
      </w:pPr>
    </w:p>
    <w:p>
      <w:pPr>
        <w:pStyle w:val="BodyText"/>
        <w:rPr>
          <w:sz w:val="20"/>
        </w:rPr>
      </w:pPr>
    </w:p>
    <w:p>
      <w:pPr>
        <w:pStyle w:val="BodyText"/>
        <w:rPr>
          <w:sz w:val="20"/>
        </w:rPr>
      </w:pPr>
    </w:p>
    <w:p>
      <w:pPr>
        <w:pStyle w:val="BodyText"/>
        <w:spacing w:before="2"/>
        <w:rPr>
          <w:sz w:val="27"/>
        </w:rPr>
      </w:pPr>
    </w:p>
    <w:p>
      <w:pPr>
        <w:pStyle w:val="BodyText"/>
        <w:spacing w:line="259" w:lineRule="auto" w:before="98"/>
        <w:ind w:left="1400" w:right="1500" w:firstLine="372"/>
      </w:pPr>
      <w:r>
        <w:rPr>
          <w:w w:val="105"/>
        </w:rPr>
        <w:t>In</w:t>
      </w:r>
      <w:r>
        <w:rPr>
          <w:spacing w:val="29"/>
          <w:w w:val="105"/>
        </w:rPr>
        <w:t> </w:t>
      </w:r>
      <w:r>
        <w:rPr>
          <w:w w:val="105"/>
        </w:rPr>
        <w:t>fiscal</w:t>
      </w:r>
      <w:r>
        <w:rPr>
          <w:spacing w:val="29"/>
          <w:w w:val="105"/>
        </w:rPr>
        <w:t> </w:t>
      </w:r>
      <w:r>
        <w:rPr>
          <w:w w:val="105"/>
        </w:rPr>
        <w:t>year</w:t>
      </w:r>
      <w:r>
        <w:rPr>
          <w:spacing w:val="29"/>
          <w:w w:val="105"/>
        </w:rPr>
        <w:t> </w:t>
      </w:r>
      <w:r>
        <w:rPr>
          <w:w w:val="105"/>
        </w:rPr>
        <w:t>2021,</w:t>
      </w:r>
      <w:r>
        <w:rPr>
          <w:spacing w:val="29"/>
          <w:w w:val="105"/>
        </w:rPr>
        <w:t> </w:t>
      </w:r>
      <w:r>
        <w:rPr>
          <w:w w:val="105"/>
        </w:rPr>
        <w:t>we</w:t>
      </w:r>
      <w:r>
        <w:rPr>
          <w:spacing w:val="29"/>
          <w:w w:val="105"/>
        </w:rPr>
        <w:t> </w:t>
      </w:r>
      <w:r>
        <w:rPr>
          <w:w w:val="105"/>
        </w:rPr>
        <w:t>established</w:t>
      </w:r>
      <w:r>
        <w:rPr>
          <w:spacing w:val="29"/>
          <w:w w:val="105"/>
        </w:rPr>
        <w:t> </w:t>
      </w:r>
      <w:r>
        <w:rPr>
          <w:w w:val="105"/>
        </w:rPr>
        <w:t>a</w:t>
      </w:r>
      <w:r>
        <w:rPr>
          <w:spacing w:val="29"/>
          <w:w w:val="105"/>
        </w:rPr>
        <w:t> </w:t>
      </w:r>
      <w:r>
        <w:rPr>
          <w:w w:val="105"/>
        </w:rPr>
        <w:t>management-level</w:t>
      </w:r>
      <w:r>
        <w:rPr>
          <w:spacing w:val="29"/>
          <w:w w:val="105"/>
        </w:rPr>
        <w:t> </w:t>
      </w:r>
      <w:r>
        <w:rPr>
          <w:w w:val="105"/>
        </w:rPr>
        <w:t>Executive</w:t>
      </w:r>
      <w:r>
        <w:rPr>
          <w:spacing w:val="29"/>
          <w:w w:val="105"/>
        </w:rPr>
        <w:t> </w:t>
      </w:r>
      <w:r>
        <w:rPr>
          <w:w w:val="105"/>
        </w:rPr>
        <w:t>Compliance</w:t>
      </w:r>
      <w:r>
        <w:rPr>
          <w:spacing w:val="29"/>
          <w:w w:val="105"/>
        </w:rPr>
        <w:t> </w:t>
      </w:r>
      <w:r>
        <w:rPr>
          <w:w w:val="105"/>
        </w:rPr>
        <w:t>Committee</w:t>
      </w:r>
      <w:r>
        <w:rPr>
          <w:spacing w:val="29"/>
          <w:w w:val="105"/>
        </w:rPr>
        <w:t> </w:t>
      </w:r>
      <w:r>
        <w:rPr>
          <w:w w:val="105"/>
        </w:rPr>
        <w:t>to</w:t>
      </w:r>
      <w:r>
        <w:rPr>
          <w:spacing w:val="29"/>
          <w:w w:val="105"/>
        </w:rPr>
        <w:t> </w:t>
      </w:r>
      <w:r>
        <w:rPr>
          <w:w w:val="105"/>
        </w:rPr>
        <w:t>oversee our</w:t>
      </w:r>
      <w:r>
        <w:rPr>
          <w:spacing w:val="27"/>
          <w:w w:val="105"/>
        </w:rPr>
        <w:t> </w:t>
      </w:r>
      <w:r>
        <w:rPr>
          <w:w w:val="105"/>
        </w:rPr>
        <w:t>ESG</w:t>
      </w:r>
      <w:r>
        <w:rPr>
          <w:spacing w:val="27"/>
          <w:w w:val="105"/>
        </w:rPr>
        <w:t> </w:t>
      </w:r>
      <w:r>
        <w:rPr>
          <w:w w:val="105"/>
        </w:rPr>
        <w:t>and</w:t>
      </w:r>
      <w:r>
        <w:rPr>
          <w:spacing w:val="27"/>
          <w:w w:val="105"/>
        </w:rPr>
        <w:t> </w:t>
      </w:r>
      <w:r>
        <w:rPr>
          <w:w w:val="105"/>
        </w:rPr>
        <w:t>compliance</w:t>
      </w:r>
      <w:r>
        <w:rPr>
          <w:spacing w:val="27"/>
          <w:w w:val="105"/>
        </w:rPr>
        <w:t> </w:t>
      </w:r>
      <w:r>
        <w:rPr>
          <w:w w:val="105"/>
        </w:rPr>
        <w:t>programs</w:t>
      </w:r>
      <w:r>
        <w:rPr>
          <w:spacing w:val="27"/>
          <w:w w:val="105"/>
        </w:rPr>
        <w:t> </w:t>
      </w:r>
      <w:r>
        <w:rPr>
          <w:w w:val="105"/>
        </w:rPr>
        <w:t>and</w:t>
      </w:r>
      <w:r>
        <w:rPr>
          <w:spacing w:val="27"/>
          <w:w w:val="105"/>
        </w:rPr>
        <w:t> </w:t>
      </w:r>
      <w:r>
        <w:rPr>
          <w:w w:val="105"/>
        </w:rPr>
        <w:t>activities.</w:t>
      </w:r>
      <w:r>
        <w:rPr>
          <w:spacing w:val="21"/>
          <w:w w:val="105"/>
        </w:rPr>
        <w:t> </w:t>
      </w:r>
      <w:r>
        <w:rPr>
          <w:w w:val="105"/>
        </w:rPr>
        <w:t>The</w:t>
      </w:r>
      <w:r>
        <w:rPr>
          <w:spacing w:val="27"/>
          <w:w w:val="105"/>
        </w:rPr>
        <w:t> </w:t>
      </w:r>
      <w:r>
        <w:rPr>
          <w:w w:val="105"/>
        </w:rPr>
        <w:t>Executive</w:t>
      </w:r>
      <w:r>
        <w:rPr>
          <w:spacing w:val="27"/>
          <w:w w:val="105"/>
        </w:rPr>
        <w:t> </w:t>
      </w:r>
      <w:r>
        <w:rPr>
          <w:w w:val="105"/>
        </w:rPr>
        <w:t>Compliance</w:t>
      </w:r>
      <w:r>
        <w:rPr>
          <w:spacing w:val="27"/>
          <w:w w:val="105"/>
        </w:rPr>
        <w:t> </w:t>
      </w:r>
      <w:r>
        <w:rPr>
          <w:w w:val="105"/>
        </w:rPr>
        <w:t>Committee</w:t>
      </w:r>
      <w:r>
        <w:rPr>
          <w:spacing w:val="27"/>
          <w:w w:val="105"/>
        </w:rPr>
        <w:t> </w:t>
      </w:r>
      <w:r>
        <w:rPr>
          <w:w w:val="105"/>
        </w:rPr>
        <w:t>was</w:t>
      </w:r>
      <w:r>
        <w:rPr>
          <w:spacing w:val="27"/>
          <w:w w:val="105"/>
        </w:rPr>
        <w:t> </w:t>
      </w:r>
      <w:r>
        <w:rPr>
          <w:w w:val="105"/>
        </w:rPr>
        <w:t>formed</w:t>
      </w:r>
      <w:r>
        <w:rPr>
          <w:spacing w:val="27"/>
          <w:w w:val="105"/>
        </w:rPr>
        <w:t> </w:t>
      </w:r>
      <w:r>
        <w:rPr>
          <w:w w:val="105"/>
        </w:rPr>
        <w:t>to assist</w:t>
      </w:r>
      <w:r>
        <w:rPr>
          <w:spacing w:val="17"/>
          <w:w w:val="105"/>
        </w:rPr>
        <w:t> </w:t>
      </w:r>
      <w:r>
        <w:rPr>
          <w:w w:val="105"/>
        </w:rPr>
        <w:t>the</w:t>
      </w:r>
      <w:r>
        <w:rPr>
          <w:spacing w:val="17"/>
          <w:w w:val="105"/>
        </w:rPr>
        <w:t> </w:t>
      </w:r>
      <w:r>
        <w:rPr>
          <w:w w:val="105"/>
        </w:rPr>
        <w:t>Nominating</w:t>
      </w:r>
      <w:r>
        <w:rPr>
          <w:spacing w:val="17"/>
          <w:w w:val="105"/>
        </w:rPr>
        <w:t> </w:t>
      </w:r>
      <w:r>
        <w:rPr>
          <w:w w:val="105"/>
        </w:rPr>
        <w:t>Committee</w:t>
      </w:r>
      <w:r>
        <w:rPr>
          <w:spacing w:val="17"/>
          <w:w w:val="105"/>
        </w:rPr>
        <w:t> </w:t>
      </w:r>
      <w:r>
        <w:rPr>
          <w:w w:val="105"/>
        </w:rPr>
        <w:t>in</w:t>
      </w:r>
      <w:r>
        <w:rPr>
          <w:spacing w:val="17"/>
          <w:w w:val="105"/>
        </w:rPr>
        <w:t> </w:t>
      </w:r>
      <w:r>
        <w:rPr>
          <w:w w:val="105"/>
        </w:rPr>
        <w:t>fulfilling</w:t>
      </w:r>
      <w:r>
        <w:rPr>
          <w:spacing w:val="17"/>
          <w:w w:val="105"/>
        </w:rPr>
        <w:t> </w:t>
      </w:r>
      <w:r>
        <w:rPr>
          <w:w w:val="105"/>
        </w:rPr>
        <w:t>its</w:t>
      </w:r>
      <w:r>
        <w:rPr>
          <w:spacing w:val="17"/>
          <w:w w:val="105"/>
        </w:rPr>
        <w:t> </w:t>
      </w:r>
      <w:r>
        <w:rPr>
          <w:w w:val="105"/>
        </w:rPr>
        <w:t>oversight</w:t>
      </w:r>
      <w:r>
        <w:rPr>
          <w:spacing w:val="17"/>
          <w:w w:val="105"/>
        </w:rPr>
        <w:t> </w:t>
      </w:r>
      <w:r>
        <w:rPr>
          <w:w w:val="105"/>
        </w:rPr>
        <w:t>responsibilities</w:t>
      </w:r>
      <w:r>
        <w:rPr>
          <w:spacing w:val="17"/>
          <w:w w:val="105"/>
        </w:rPr>
        <w:t> </w:t>
      </w:r>
      <w:r>
        <w:rPr>
          <w:w w:val="105"/>
        </w:rPr>
        <w:t>with</w:t>
      </w:r>
      <w:r>
        <w:rPr>
          <w:spacing w:val="17"/>
          <w:w w:val="105"/>
        </w:rPr>
        <w:t> </w:t>
      </w:r>
      <w:r>
        <w:rPr>
          <w:w w:val="105"/>
        </w:rPr>
        <w:t>respect</w:t>
      </w:r>
      <w:r>
        <w:rPr>
          <w:spacing w:val="17"/>
          <w:w w:val="105"/>
        </w:rPr>
        <w:t> </w:t>
      </w:r>
      <w:r>
        <w:rPr>
          <w:w w:val="105"/>
        </w:rPr>
        <w:t>to</w:t>
      </w:r>
      <w:r>
        <w:rPr>
          <w:spacing w:val="17"/>
          <w:w w:val="105"/>
        </w:rPr>
        <w:t> </w:t>
      </w:r>
      <w:r>
        <w:rPr>
          <w:w w:val="105"/>
        </w:rPr>
        <w:t>ESG</w:t>
      </w:r>
      <w:r>
        <w:rPr>
          <w:spacing w:val="17"/>
          <w:w w:val="105"/>
        </w:rPr>
        <w:t> </w:t>
      </w:r>
      <w:r>
        <w:rPr>
          <w:w w:val="105"/>
        </w:rPr>
        <w:t>matters,</w:t>
      </w:r>
      <w:r>
        <w:rPr>
          <w:spacing w:val="17"/>
          <w:w w:val="105"/>
        </w:rPr>
        <w:t> </w:t>
      </w:r>
      <w:r>
        <w:rPr>
          <w:w w:val="105"/>
        </w:rPr>
        <w:t>and to assist with promoting an organizational culture that encourages law abiding and ethical conduct. The</w:t>
      </w:r>
      <w:r>
        <w:rPr>
          <w:spacing w:val="40"/>
          <w:w w:val="105"/>
        </w:rPr>
        <w:t> </w:t>
      </w:r>
      <w:r>
        <w:rPr>
          <w:w w:val="105"/>
        </w:rPr>
        <w:t>members of the Executive Compliance Committee are our Chief Executive Officer, Chief Financial Officer, Chief Legal Officer, Chief HR Officer, Senior Vice President of Sales &amp; Marketing, Vice President of</w:t>
      </w:r>
      <w:r>
        <w:rPr>
          <w:spacing w:val="40"/>
          <w:w w:val="105"/>
        </w:rPr>
        <w:t> </w:t>
      </w:r>
      <w:r>
        <w:rPr>
          <w:w w:val="105"/>
        </w:rPr>
        <w:t>Software Solutions and Vice President of Regulatory and Quality. In addition, in fiscal year 2021, we</w:t>
      </w:r>
      <w:r>
        <w:rPr>
          <w:spacing w:val="80"/>
          <w:w w:val="105"/>
        </w:rPr>
        <w:t> </w:t>
      </w:r>
      <w:r>
        <w:rPr>
          <w:w w:val="105"/>
        </w:rPr>
        <w:t>reviewed and revised our Code of Conduct and adopted a Human Rights Policy.</w:t>
      </w:r>
    </w:p>
    <w:p>
      <w:pPr>
        <w:pStyle w:val="BodyText"/>
        <w:spacing w:line="259" w:lineRule="auto" w:before="155"/>
        <w:ind w:left="1400" w:right="1464" w:firstLine="372"/>
      </w:pPr>
      <w:r>
        <w:rPr>
          <w:i/>
          <w:w w:val="105"/>
        </w:rPr>
        <w:t>Ethical</w:t>
      </w:r>
      <w:r>
        <w:rPr>
          <w:i/>
          <w:spacing w:val="24"/>
          <w:w w:val="105"/>
        </w:rPr>
        <w:t> </w:t>
      </w:r>
      <w:r>
        <w:rPr>
          <w:i/>
          <w:w w:val="105"/>
        </w:rPr>
        <w:t>Business.</w:t>
      </w:r>
      <w:r>
        <w:rPr>
          <w:i/>
          <w:spacing w:val="40"/>
          <w:w w:val="105"/>
        </w:rPr>
        <w:t>  </w:t>
      </w:r>
      <w:r>
        <w:rPr>
          <w:w w:val="105"/>
        </w:rPr>
        <w:t>Operating</w:t>
      </w:r>
      <w:r>
        <w:rPr>
          <w:spacing w:val="24"/>
          <w:w w:val="105"/>
        </w:rPr>
        <w:t> </w:t>
      </w:r>
      <w:r>
        <w:rPr>
          <w:w w:val="105"/>
        </w:rPr>
        <w:t>a</w:t>
      </w:r>
      <w:r>
        <w:rPr>
          <w:spacing w:val="24"/>
          <w:w w:val="105"/>
        </w:rPr>
        <w:t> </w:t>
      </w:r>
      <w:r>
        <w:rPr>
          <w:w w:val="105"/>
        </w:rPr>
        <w:t>business</w:t>
      </w:r>
      <w:r>
        <w:rPr>
          <w:spacing w:val="24"/>
          <w:w w:val="105"/>
        </w:rPr>
        <w:t> </w:t>
      </w:r>
      <w:r>
        <w:rPr>
          <w:w w:val="105"/>
        </w:rPr>
        <w:t>responsibly</w:t>
      </w:r>
      <w:r>
        <w:rPr>
          <w:spacing w:val="24"/>
          <w:w w:val="105"/>
        </w:rPr>
        <w:t> </w:t>
      </w:r>
      <w:r>
        <w:rPr>
          <w:w w:val="105"/>
        </w:rPr>
        <w:t>requires</w:t>
      </w:r>
      <w:r>
        <w:rPr>
          <w:spacing w:val="24"/>
          <w:w w:val="105"/>
        </w:rPr>
        <w:t> </w:t>
      </w:r>
      <w:r>
        <w:rPr>
          <w:w w:val="105"/>
        </w:rPr>
        <w:t>a</w:t>
      </w:r>
      <w:r>
        <w:rPr>
          <w:spacing w:val="24"/>
          <w:w w:val="105"/>
        </w:rPr>
        <w:t> </w:t>
      </w:r>
      <w:r>
        <w:rPr>
          <w:w w:val="105"/>
        </w:rPr>
        <w:t>collective</w:t>
      </w:r>
      <w:r>
        <w:rPr>
          <w:spacing w:val="24"/>
          <w:w w:val="105"/>
        </w:rPr>
        <w:t> </w:t>
      </w:r>
      <w:r>
        <w:rPr>
          <w:w w:val="105"/>
        </w:rPr>
        <w:t>effort,</w:t>
      </w:r>
      <w:r>
        <w:rPr>
          <w:spacing w:val="24"/>
          <w:w w:val="105"/>
        </w:rPr>
        <w:t> </w:t>
      </w:r>
      <w:r>
        <w:rPr>
          <w:w w:val="105"/>
        </w:rPr>
        <w:t>and</w:t>
      </w:r>
      <w:r>
        <w:rPr>
          <w:spacing w:val="24"/>
          <w:w w:val="105"/>
        </w:rPr>
        <w:t> </w:t>
      </w:r>
      <w:r>
        <w:rPr>
          <w:w w:val="105"/>
        </w:rPr>
        <w:t>a</w:t>
      </w:r>
      <w:r>
        <w:rPr>
          <w:spacing w:val="24"/>
          <w:w w:val="105"/>
        </w:rPr>
        <w:t> </w:t>
      </w:r>
      <w:r>
        <w:rPr>
          <w:w w:val="105"/>
        </w:rPr>
        <w:t>key</w:t>
      </w:r>
      <w:r>
        <w:rPr>
          <w:spacing w:val="24"/>
          <w:w w:val="105"/>
        </w:rPr>
        <w:t> </w:t>
      </w:r>
      <w:r>
        <w:rPr>
          <w:w w:val="105"/>
        </w:rPr>
        <w:t>component of this is having employees who are engaged. Building a culture of compliance starts with establishing a</w:t>
      </w:r>
      <w:r>
        <w:rPr>
          <w:spacing w:val="40"/>
          <w:w w:val="105"/>
        </w:rPr>
        <w:t> </w:t>
      </w:r>
      <w:r>
        <w:rPr>
          <w:w w:val="105"/>
        </w:rPr>
        <w:t>process</w:t>
      </w:r>
      <w:r>
        <w:rPr>
          <w:spacing w:val="24"/>
          <w:w w:val="105"/>
        </w:rPr>
        <w:t> </w:t>
      </w:r>
      <w:r>
        <w:rPr>
          <w:w w:val="105"/>
        </w:rPr>
        <w:t>designed</w:t>
      </w:r>
      <w:r>
        <w:rPr>
          <w:spacing w:val="24"/>
          <w:w w:val="105"/>
        </w:rPr>
        <w:t> </w:t>
      </w:r>
      <w:r>
        <w:rPr>
          <w:w w:val="105"/>
        </w:rPr>
        <w:t>to</w:t>
      </w:r>
      <w:r>
        <w:rPr>
          <w:spacing w:val="24"/>
          <w:w w:val="105"/>
        </w:rPr>
        <w:t> </w:t>
      </w:r>
      <w:r>
        <w:rPr>
          <w:w w:val="105"/>
        </w:rPr>
        <w:t>educate</w:t>
      </w:r>
      <w:r>
        <w:rPr>
          <w:spacing w:val="24"/>
          <w:w w:val="105"/>
        </w:rPr>
        <w:t> </w:t>
      </w:r>
      <w:r>
        <w:rPr>
          <w:w w:val="105"/>
        </w:rPr>
        <w:t>our</w:t>
      </w:r>
      <w:r>
        <w:rPr>
          <w:spacing w:val="24"/>
          <w:w w:val="105"/>
        </w:rPr>
        <w:t> </w:t>
      </w:r>
      <w:r>
        <w:rPr>
          <w:w w:val="105"/>
        </w:rPr>
        <w:t>employees</w:t>
      </w:r>
      <w:r>
        <w:rPr>
          <w:spacing w:val="24"/>
          <w:w w:val="105"/>
        </w:rPr>
        <w:t> </w:t>
      </w:r>
      <w:r>
        <w:rPr>
          <w:w w:val="105"/>
        </w:rPr>
        <w:t>regarding</w:t>
      </w:r>
      <w:r>
        <w:rPr>
          <w:spacing w:val="24"/>
          <w:w w:val="105"/>
        </w:rPr>
        <w:t> </w:t>
      </w:r>
      <w:r>
        <w:rPr>
          <w:w w:val="105"/>
        </w:rPr>
        <w:t>our</w:t>
      </w:r>
      <w:r>
        <w:rPr>
          <w:spacing w:val="24"/>
          <w:w w:val="105"/>
        </w:rPr>
        <w:t> </w:t>
      </w:r>
      <w:r>
        <w:rPr>
          <w:w w:val="105"/>
        </w:rPr>
        <w:t>Code</w:t>
      </w:r>
      <w:r>
        <w:rPr>
          <w:spacing w:val="24"/>
          <w:w w:val="105"/>
        </w:rPr>
        <w:t> </w:t>
      </w:r>
      <w:r>
        <w:rPr>
          <w:w w:val="105"/>
        </w:rPr>
        <w:t>of</w:t>
      </w:r>
      <w:r>
        <w:rPr>
          <w:spacing w:val="24"/>
          <w:w w:val="105"/>
        </w:rPr>
        <w:t> </w:t>
      </w:r>
      <w:r>
        <w:rPr>
          <w:w w:val="105"/>
        </w:rPr>
        <w:t>Conduct.</w:t>
      </w:r>
      <w:r>
        <w:rPr>
          <w:spacing w:val="19"/>
          <w:w w:val="105"/>
        </w:rPr>
        <w:t> </w:t>
      </w:r>
      <w:r>
        <w:rPr>
          <w:w w:val="105"/>
        </w:rPr>
        <w:t>We</w:t>
      </w:r>
      <w:r>
        <w:rPr>
          <w:spacing w:val="24"/>
          <w:w w:val="105"/>
        </w:rPr>
        <w:t> </w:t>
      </w:r>
      <w:r>
        <w:rPr>
          <w:w w:val="105"/>
        </w:rPr>
        <w:t>perform</w:t>
      </w:r>
      <w:r>
        <w:rPr>
          <w:spacing w:val="24"/>
          <w:w w:val="105"/>
        </w:rPr>
        <w:t> </w:t>
      </w:r>
      <w:r>
        <w:rPr>
          <w:w w:val="105"/>
        </w:rPr>
        <w:t>annual</w:t>
      </w:r>
      <w:r>
        <w:rPr>
          <w:spacing w:val="24"/>
          <w:w w:val="105"/>
        </w:rPr>
        <w:t> </w:t>
      </w:r>
      <w:r>
        <w:rPr>
          <w:w w:val="105"/>
        </w:rPr>
        <w:t>ethics training that all employees are required to complete. In addition, practical training for managers and Human</w:t>
      </w:r>
      <w:r>
        <w:rPr>
          <w:spacing w:val="40"/>
          <w:w w:val="105"/>
        </w:rPr>
        <w:t> </w:t>
      </w:r>
      <w:r>
        <w:rPr>
          <w:w w:val="105"/>
        </w:rPr>
        <w:t>Resources business partners equips them with the knowledge to answer questions from employees, service</w:t>
      </w:r>
      <w:r>
        <w:rPr>
          <w:spacing w:val="40"/>
          <w:w w:val="105"/>
        </w:rPr>
        <w:t> </w:t>
      </w:r>
      <w:r>
        <w:rPr>
          <w:w w:val="105"/>
        </w:rPr>
        <w:t>providers, customers, and agents.</w:t>
      </w:r>
    </w:p>
    <w:p>
      <w:pPr>
        <w:spacing w:after="0" w:line="259" w:lineRule="auto"/>
        <w:sectPr>
          <w:headerReference w:type="default" r:id="rId89"/>
          <w:footerReference w:type="default" r:id="rId90"/>
          <w:pgSz w:w="12240" w:h="15840"/>
          <w:pgMar w:header="529" w:footer="2015" w:top="720" w:bottom="2200" w:left="480" w:right="460"/>
        </w:sectPr>
      </w:pPr>
    </w:p>
    <w:p>
      <w:pPr>
        <w:pStyle w:val="BodyText"/>
        <w:rPr>
          <w:sz w:val="20"/>
        </w:rPr>
      </w:pPr>
    </w:p>
    <w:p>
      <w:pPr>
        <w:pStyle w:val="BodyText"/>
        <w:rPr>
          <w:sz w:val="20"/>
        </w:rPr>
      </w:pPr>
    </w:p>
    <w:p>
      <w:pPr>
        <w:pStyle w:val="BodyText"/>
        <w:spacing w:before="2"/>
        <w:rPr>
          <w:sz w:val="27"/>
        </w:rPr>
      </w:pPr>
    </w:p>
    <w:p>
      <w:pPr>
        <w:pStyle w:val="Heading1"/>
      </w:pPr>
      <w:r>
        <w:rPr/>
        <w:t>PROPOSAL</w:t>
      </w:r>
      <w:r>
        <w:rPr>
          <w:spacing w:val="-19"/>
        </w:rPr>
        <w:t> </w:t>
      </w:r>
      <w:r>
        <w:rPr>
          <w:spacing w:val="-5"/>
        </w:rPr>
        <w:t>TWO</w:t>
      </w:r>
    </w:p>
    <w:p>
      <w:pPr>
        <w:spacing w:before="17"/>
        <w:ind w:left="4" w:right="1" w:firstLine="0"/>
        <w:jc w:val="center"/>
        <w:rPr>
          <w:b/>
          <w:sz w:val="18"/>
        </w:rPr>
      </w:pPr>
      <w:r>
        <w:rPr>
          <w:b/>
          <w:sz w:val="18"/>
        </w:rPr>
        <w:t>ADVISORY</w:t>
      </w:r>
      <w:r>
        <w:rPr>
          <w:b/>
          <w:spacing w:val="-17"/>
          <w:sz w:val="18"/>
        </w:rPr>
        <w:t> </w:t>
      </w:r>
      <w:r>
        <w:rPr>
          <w:b/>
          <w:sz w:val="18"/>
        </w:rPr>
        <w:t>VOTE</w:t>
      </w:r>
      <w:r>
        <w:rPr>
          <w:b/>
          <w:spacing w:val="-11"/>
          <w:sz w:val="18"/>
        </w:rPr>
        <w:t> </w:t>
      </w:r>
      <w:r>
        <w:rPr>
          <w:b/>
          <w:sz w:val="18"/>
        </w:rPr>
        <w:t>TO</w:t>
      </w:r>
      <w:r>
        <w:rPr>
          <w:b/>
          <w:spacing w:val="-17"/>
          <w:sz w:val="18"/>
        </w:rPr>
        <w:t> </w:t>
      </w:r>
      <w:r>
        <w:rPr>
          <w:b/>
          <w:sz w:val="18"/>
        </w:rPr>
        <w:t>APPROVE</w:t>
      </w:r>
      <w:r>
        <w:rPr>
          <w:b/>
          <w:spacing w:val="-6"/>
          <w:sz w:val="18"/>
        </w:rPr>
        <w:t> </w:t>
      </w:r>
      <w:r>
        <w:rPr>
          <w:b/>
          <w:sz w:val="18"/>
        </w:rPr>
        <w:t>OUR</w:t>
      </w:r>
      <w:r>
        <w:rPr>
          <w:b/>
          <w:spacing w:val="-6"/>
          <w:sz w:val="18"/>
        </w:rPr>
        <w:t> </w:t>
      </w:r>
      <w:r>
        <w:rPr>
          <w:b/>
          <w:sz w:val="18"/>
        </w:rPr>
        <w:t>EXECUTIVE</w:t>
      </w:r>
      <w:r>
        <w:rPr>
          <w:b/>
          <w:spacing w:val="-6"/>
          <w:sz w:val="18"/>
        </w:rPr>
        <w:t> </w:t>
      </w:r>
      <w:r>
        <w:rPr>
          <w:b/>
          <w:spacing w:val="-2"/>
          <w:sz w:val="18"/>
        </w:rPr>
        <w:t>COMPENSATION</w:t>
      </w:r>
    </w:p>
    <w:p>
      <w:pPr>
        <w:pStyle w:val="BodyText"/>
        <w:spacing w:before="5"/>
        <w:rPr>
          <w:b/>
          <w:sz w:val="16"/>
        </w:rPr>
      </w:pPr>
      <w:r>
        <w:rPr/>
        <w:pict>
          <v:shape style="position:absolute;margin-left:94.355782pt;margin-top:11.00422pt;width:424.3pt;height:51.05pt;mso-position-horizontal-relative:page;mso-position-vertical-relative:paragraph;z-index:-15702016;mso-wrap-distance-left:0;mso-wrap-distance-right:0" type="#_x0000_t202" id="docshape200" filled="false" stroked="true" strokeweight=".698992pt" strokecolor="#000000">
            <v:textbox inset="0,0,0,0">
              <w:txbxContent>
                <w:p>
                  <w:pPr>
                    <w:spacing w:before="111"/>
                    <w:ind w:left="985" w:right="982" w:firstLine="0"/>
                    <w:jc w:val="center"/>
                    <w:rPr>
                      <w:b/>
                      <w:sz w:val="18"/>
                    </w:rPr>
                  </w:pPr>
                  <w:r>
                    <w:rPr>
                      <w:b/>
                      <w:sz w:val="18"/>
                    </w:rPr>
                    <w:t>BOARD</w:t>
                  </w:r>
                  <w:r>
                    <w:rPr>
                      <w:b/>
                      <w:spacing w:val="-3"/>
                      <w:sz w:val="18"/>
                    </w:rPr>
                    <w:t> </w:t>
                  </w:r>
                  <w:r>
                    <w:rPr>
                      <w:b/>
                      <w:spacing w:val="-2"/>
                      <w:sz w:val="18"/>
                    </w:rPr>
                    <w:t>RECOMMENDATION</w:t>
                  </w:r>
                </w:p>
                <w:p>
                  <w:pPr>
                    <w:pStyle w:val="BodyText"/>
                    <w:spacing w:line="259" w:lineRule="auto" w:before="129"/>
                    <w:ind w:left="1831" w:right="1833"/>
                    <w:jc w:val="center"/>
                  </w:pPr>
                  <w:r>
                    <w:rPr>
                      <w:w w:val="105"/>
                    </w:rPr>
                    <w:t>VOTE</w:t>
                  </w:r>
                  <w:r>
                    <w:rPr>
                      <w:spacing w:val="-4"/>
                      <w:w w:val="105"/>
                    </w:rPr>
                    <w:t> </w:t>
                  </w:r>
                  <w:r>
                    <w:rPr>
                      <w:w w:val="105"/>
                    </w:rPr>
                    <w:t>“</w:t>
                  </w:r>
                  <w:r>
                    <w:rPr>
                      <w:b/>
                      <w:w w:val="105"/>
                    </w:rPr>
                    <w:t>FOR</w:t>
                  </w:r>
                  <w:r>
                    <w:rPr>
                      <w:w w:val="105"/>
                    </w:rPr>
                    <w:t>”</w:t>
                  </w:r>
                  <w:r>
                    <w:rPr>
                      <w:spacing w:val="-7"/>
                      <w:w w:val="105"/>
                    </w:rPr>
                    <w:t> </w:t>
                  </w:r>
                  <w:r>
                    <w:rPr>
                      <w:w w:val="105"/>
                    </w:rPr>
                    <w:t>THE</w:t>
                  </w:r>
                  <w:r>
                    <w:rPr>
                      <w:spacing w:val="-12"/>
                      <w:w w:val="105"/>
                    </w:rPr>
                    <w:t> </w:t>
                  </w:r>
                  <w:r>
                    <w:rPr>
                      <w:w w:val="105"/>
                    </w:rPr>
                    <w:t>APPROVAL</w:t>
                  </w:r>
                  <w:r>
                    <w:rPr>
                      <w:spacing w:val="-9"/>
                      <w:w w:val="105"/>
                    </w:rPr>
                    <w:t> </w:t>
                  </w:r>
                  <w:r>
                    <w:rPr>
                      <w:w w:val="105"/>
                    </w:rPr>
                    <w:t>OF</w:t>
                  </w:r>
                  <w:r>
                    <w:rPr>
                      <w:spacing w:val="-7"/>
                      <w:w w:val="105"/>
                    </w:rPr>
                    <w:t> </w:t>
                  </w:r>
                  <w:r>
                    <w:rPr>
                      <w:w w:val="105"/>
                    </w:rPr>
                    <w:t>THE</w:t>
                  </w:r>
                  <w:r>
                    <w:rPr>
                      <w:spacing w:val="-3"/>
                      <w:w w:val="105"/>
                    </w:rPr>
                    <w:t> </w:t>
                  </w:r>
                  <w:r>
                    <w:rPr>
                      <w:w w:val="105"/>
                    </w:rPr>
                    <w:t>COMPENSATION OF OUR NAMED EXECUTIVE OFFICERS</w:t>
                  </w:r>
                </w:p>
              </w:txbxContent>
            </v:textbox>
            <v:stroke dashstyle="solid"/>
            <w10:wrap type="topAndBottom"/>
          </v:shape>
        </w:pict>
      </w:r>
    </w:p>
    <w:p>
      <w:pPr>
        <w:pStyle w:val="BodyText"/>
        <w:spacing w:before="3"/>
        <w:rPr>
          <w:b/>
          <w:sz w:val="10"/>
        </w:rPr>
      </w:pPr>
    </w:p>
    <w:p>
      <w:pPr>
        <w:pStyle w:val="Heading2"/>
        <w:spacing w:before="98"/>
      </w:pPr>
      <w:bookmarkStart w:name="_TOC_250033" w:id="10"/>
      <w:r>
        <w:rPr>
          <w:spacing w:val="-2"/>
        </w:rPr>
        <w:t>Background</w:t>
      </w:r>
      <w:r>
        <w:rPr>
          <w:spacing w:val="1"/>
        </w:rPr>
        <w:t> </w:t>
      </w:r>
      <w:r>
        <w:rPr>
          <w:spacing w:val="-2"/>
        </w:rPr>
        <w:t>to</w:t>
      </w:r>
      <w:r>
        <w:rPr>
          <w:spacing w:val="2"/>
        </w:rPr>
        <w:t> </w:t>
      </w:r>
      <w:r>
        <w:rPr>
          <w:spacing w:val="-2"/>
        </w:rPr>
        <w:t>the</w:t>
      </w:r>
      <w:r>
        <w:rPr>
          <w:spacing w:val="-12"/>
        </w:rPr>
        <w:t> </w:t>
      </w:r>
      <w:r>
        <w:rPr>
          <w:spacing w:val="-2"/>
        </w:rPr>
        <w:t>Advisory</w:t>
      </w:r>
      <w:r>
        <w:rPr>
          <w:spacing w:val="-3"/>
        </w:rPr>
        <w:t> </w:t>
      </w:r>
      <w:bookmarkEnd w:id="10"/>
      <w:r>
        <w:rPr>
          <w:spacing w:val="-4"/>
        </w:rPr>
        <w:t>Vote</w:t>
      </w:r>
    </w:p>
    <w:p>
      <w:pPr>
        <w:pStyle w:val="BodyText"/>
        <w:spacing w:line="259" w:lineRule="auto" w:before="171"/>
        <w:ind w:left="1400" w:right="1551" w:firstLine="372"/>
      </w:pPr>
      <w:r>
        <w:rPr>
          <w:w w:val="105"/>
        </w:rPr>
        <w:t>Under Section 14A of the Exchange Act, stockholders are able to vote to approve, on an advisory (non- binding) basis (an “</w:t>
      </w:r>
      <w:r>
        <w:rPr>
          <w:b/>
          <w:w w:val="105"/>
        </w:rPr>
        <w:t>Advisory</w:t>
      </w:r>
      <w:r>
        <w:rPr>
          <w:b/>
          <w:spacing w:val="-9"/>
          <w:w w:val="105"/>
        </w:rPr>
        <w:t> </w:t>
      </w:r>
      <w:r>
        <w:rPr>
          <w:b/>
          <w:w w:val="105"/>
        </w:rPr>
        <w:t>Vote</w:t>
      </w:r>
      <w:r>
        <w:rPr>
          <w:b/>
          <w:spacing w:val="-4"/>
          <w:w w:val="105"/>
        </w:rPr>
        <w:t> </w:t>
      </w:r>
      <w:r>
        <w:rPr>
          <w:b/>
          <w:w w:val="105"/>
        </w:rPr>
        <w:t>on</w:t>
      </w:r>
      <w:r>
        <w:rPr>
          <w:b/>
          <w:spacing w:val="-4"/>
          <w:w w:val="105"/>
        </w:rPr>
        <w:t> </w:t>
      </w:r>
      <w:r>
        <w:rPr>
          <w:b/>
          <w:w w:val="105"/>
        </w:rPr>
        <w:t>Compensation</w:t>
      </w:r>
      <w:r>
        <w:rPr>
          <w:w w:val="105"/>
        </w:rPr>
        <w:t>”), the compensation of the NEOs as disclosed in this Proxy</w:t>
      </w:r>
      <w:r>
        <w:rPr>
          <w:spacing w:val="29"/>
          <w:w w:val="105"/>
        </w:rPr>
        <w:t> </w:t>
      </w:r>
      <w:r>
        <w:rPr>
          <w:w w:val="105"/>
        </w:rPr>
        <w:t>Statement</w:t>
      </w:r>
      <w:r>
        <w:rPr>
          <w:spacing w:val="29"/>
          <w:w w:val="105"/>
        </w:rPr>
        <w:t> </w:t>
      </w:r>
      <w:r>
        <w:rPr>
          <w:w w:val="105"/>
        </w:rPr>
        <w:t>in</w:t>
      </w:r>
      <w:r>
        <w:rPr>
          <w:spacing w:val="29"/>
          <w:w w:val="105"/>
        </w:rPr>
        <w:t> </w:t>
      </w:r>
      <w:r>
        <w:rPr>
          <w:w w:val="105"/>
        </w:rPr>
        <w:t>the</w:t>
      </w:r>
      <w:r>
        <w:rPr>
          <w:spacing w:val="29"/>
          <w:w w:val="105"/>
        </w:rPr>
        <w:t> </w:t>
      </w:r>
      <w:r>
        <w:rPr>
          <w:w w:val="105"/>
        </w:rPr>
        <w:t>Compensation</w:t>
      </w:r>
      <w:r>
        <w:rPr>
          <w:spacing w:val="29"/>
          <w:w w:val="105"/>
        </w:rPr>
        <w:t> </w:t>
      </w:r>
      <w:r>
        <w:rPr>
          <w:w w:val="105"/>
        </w:rPr>
        <w:t>Discussion</w:t>
      </w:r>
      <w:r>
        <w:rPr>
          <w:spacing w:val="29"/>
          <w:w w:val="105"/>
        </w:rPr>
        <w:t> </w:t>
      </w:r>
      <w:r>
        <w:rPr>
          <w:w w:val="105"/>
        </w:rPr>
        <w:t>and Analysis</w:t>
      </w:r>
      <w:r>
        <w:rPr>
          <w:spacing w:val="29"/>
          <w:w w:val="105"/>
        </w:rPr>
        <w:t> </w:t>
      </w:r>
      <w:r>
        <w:rPr>
          <w:w w:val="105"/>
        </w:rPr>
        <w:t>section</w:t>
      </w:r>
      <w:r>
        <w:rPr>
          <w:spacing w:val="29"/>
          <w:w w:val="105"/>
        </w:rPr>
        <w:t> </w:t>
      </w:r>
      <w:r>
        <w:rPr>
          <w:w w:val="105"/>
        </w:rPr>
        <w:t>and</w:t>
      </w:r>
      <w:r>
        <w:rPr>
          <w:spacing w:val="29"/>
          <w:w w:val="105"/>
        </w:rPr>
        <w:t> </w:t>
      </w:r>
      <w:r>
        <w:rPr>
          <w:w w:val="105"/>
        </w:rPr>
        <w:t>the</w:t>
      </w:r>
      <w:r>
        <w:rPr>
          <w:spacing w:val="29"/>
          <w:w w:val="105"/>
        </w:rPr>
        <w:t> </w:t>
      </w:r>
      <w:r>
        <w:rPr>
          <w:w w:val="105"/>
        </w:rPr>
        <w:t>related</w:t>
      </w:r>
      <w:r>
        <w:rPr>
          <w:spacing w:val="29"/>
          <w:w w:val="105"/>
        </w:rPr>
        <w:t> </w:t>
      </w:r>
      <w:r>
        <w:rPr>
          <w:w w:val="105"/>
        </w:rPr>
        <w:t>executive compensation</w:t>
      </w:r>
      <w:r>
        <w:rPr>
          <w:spacing w:val="29"/>
          <w:w w:val="105"/>
        </w:rPr>
        <w:t> </w:t>
      </w:r>
      <w:r>
        <w:rPr>
          <w:w w:val="105"/>
        </w:rPr>
        <w:t>tables. Accordingly,</w:t>
      </w:r>
      <w:r>
        <w:rPr>
          <w:spacing w:val="29"/>
          <w:w w:val="105"/>
        </w:rPr>
        <w:t> </w:t>
      </w:r>
      <w:r>
        <w:rPr>
          <w:w w:val="105"/>
        </w:rPr>
        <w:t>we</w:t>
      </w:r>
      <w:r>
        <w:rPr>
          <w:spacing w:val="29"/>
          <w:w w:val="105"/>
        </w:rPr>
        <w:t> </w:t>
      </w:r>
      <w:r>
        <w:rPr>
          <w:w w:val="105"/>
        </w:rPr>
        <w:t>are</w:t>
      </w:r>
      <w:r>
        <w:rPr>
          <w:spacing w:val="29"/>
          <w:w w:val="105"/>
        </w:rPr>
        <w:t> </w:t>
      </w:r>
      <w:r>
        <w:rPr>
          <w:w w:val="105"/>
        </w:rPr>
        <w:t>asking</w:t>
      </w:r>
      <w:r>
        <w:rPr>
          <w:spacing w:val="29"/>
          <w:w w:val="105"/>
        </w:rPr>
        <w:t> </w:t>
      </w:r>
      <w:r>
        <w:rPr>
          <w:w w:val="105"/>
        </w:rPr>
        <w:t>stockholders</w:t>
      </w:r>
      <w:r>
        <w:rPr>
          <w:spacing w:val="29"/>
          <w:w w:val="105"/>
        </w:rPr>
        <w:t> </w:t>
      </w:r>
      <w:r>
        <w:rPr>
          <w:w w:val="105"/>
        </w:rPr>
        <w:t>to</w:t>
      </w:r>
      <w:r>
        <w:rPr>
          <w:spacing w:val="29"/>
          <w:w w:val="105"/>
        </w:rPr>
        <w:t> </w:t>
      </w:r>
      <w:r>
        <w:rPr>
          <w:w w:val="105"/>
        </w:rPr>
        <w:t>approve,</w:t>
      </w:r>
      <w:r>
        <w:rPr>
          <w:spacing w:val="29"/>
          <w:w w:val="105"/>
        </w:rPr>
        <w:t> </w:t>
      </w:r>
      <w:r>
        <w:rPr>
          <w:w w:val="105"/>
        </w:rPr>
        <w:t>on</w:t>
      </w:r>
      <w:r>
        <w:rPr>
          <w:spacing w:val="29"/>
          <w:w w:val="105"/>
        </w:rPr>
        <w:t> </w:t>
      </w:r>
      <w:r>
        <w:rPr>
          <w:w w:val="105"/>
        </w:rPr>
        <w:t>an</w:t>
      </w:r>
      <w:r>
        <w:rPr>
          <w:spacing w:val="29"/>
          <w:w w:val="105"/>
        </w:rPr>
        <w:t> </w:t>
      </w:r>
      <w:r>
        <w:rPr>
          <w:w w:val="105"/>
        </w:rPr>
        <w:t>advisory</w:t>
      </w:r>
      <w:r>
        <w:rPr>
          <w:spacing w:val="29"/>
          <w:w w:val="105"/>
        </w:rPr>
        <w:t> </w:t>
      </w:r>
      <w:r>
        <w:rPr>
          <w:w w:val="105"/>
        </w:rPr>
        <w:t>(non-binding) basis, the following advisory resolution at our Annual Meeting:</w:t>
      </w:r>
    </w:p>
    <w:p>
      <w:pPr>
        <w:pStyle w:val="BodyText"/>
        <w:spacing w:line="259" w:lineRule="auto" w:before="154"/>
        <w:ind w:left="1772" w:right="1680"/>
      </w:pPr>
      <w:r>
        <w:rPr>
          <w:w w:val="105"/>
        </w:rPr>
        <w:t>“</w:t>
      </w:r>
      <w:r>
        <w:rPr>
          <w:b/>
          <w:w w:val="105"/>
        </w:rPr>
        <w:t>RESOLVED</w:t>
      </w:r>
      <w:r>
        <w:rPr>
          <w:w w:val="105"/>
        </w:rPr>
        <w:t>, that the compensation of the Company’s named executive officers, as disclosed in the Annual Proxy Statement for the 2023 Annual Meeting of Stockholders pursuant to the compensation disclosure rules of the Securities and Exchange Commission, including the Compensation Discussion and Analysis, the Compensation Tables, and the other related tables and disclosure, is hereby </w:t>
      </w:r>
      <w:r>
        <w:rPr>
          <w:spacing w:val="-2"/>
          <w:w w:val="105"/>
        </w:rPr>
        <w:t>APPROVED.”</w:t>
      </w:r>
    </w:p>
    <w:p>
      <w:pPr>
        <w:pStyle w:val="BodyText"/>
        <w:spacing w:line="259" w:lineRule="auto" w:before="141"/>
        <w:ind w:left="1400" w:right="1680" w:firstLine="372"/>
      </w:pPr>
      <w:r>
        <w:rPr>
          <w:w w:val="105"/>
        </w:rPr>
        <w:t>The Board recommends a vote </w:t>
      </w:r>
      <w:r>
        <w:rPr>
          <w:b/>
          <w:w w:val="105"/>
        </w:rPr>
        <w:t>FOR </w:t>
      </w:r>
      <w:r>
        <w:rPr>
          <w:w w:val="105"/>
        </w:rPr>
        <w:t>this resolution because it believes that the policies and practices described in the Compensation Discussion and Analysis section of this Proxy Statement are effective in achieving our goals of attracting, retaining and motivating our executives, rewarding individual and</w:t>
      </w:r>
      <w:r>
        <w:rPr>
          <w:spacing w:val="40"/>
          <w:w w:val="105"/>
        </w:rPr>
        <w:t> </w:t>
      </w:r>
      <w:r>
        <w:rPr>
          <w:w w:val="105"/>
        </w:rPr>
        <w:t>Company</w:t>
      </w:r>
      <w:r>
        <w:rPr>
          <w:spacing w:val="30"/>
          <w:w w:val="105"/>
        </w:rPr>
        <w:t> </w:t>
      </w:r>
      <w:r>
        <w:rPr>
          <w:w w:val="105"/>
        </w:rPr>
        <w:t>performance</w:t>
      </w:r>
      <w:r>
        <w:rPr>
          <w:spacing w:val="30"/>
          <w:w w:val="105"/>
        </w:rPr>
        <w:t> </w:t>
      </w:r>
      <w:r>
        <w:rPr>
          <w:w w:val="105"/>
        </w:rPr>
        <w:t>and</w:t>
      </w:r>
      <w:r>
        <w:rPr>
          <w:spacing w:val="30"/>
          <w:w w:val="105"/>
        </w:rPr>
        <w:t> </w:t>
      </w:r>
      <w:r>
        <w:rPr>
          <w:w w:val="105"/>
        </w:rPr>
        <w:t>aligning</w:t>
      </w:r>
      <w:r>
        <w:rPr>
          <w:spacing w:val="30"/>
          <w:w w:val="105"/>
        </w:rPr>
        <w:t> </w:t>
      </w:r>
      <w:r>
        <w:rPr>
          <w:w w:val="105"/>
        </w:rPr>
        <w:t>the</w:t>
      </w:r>
      <w:r>
        <w:rPr>
          <w:spacing w:val="30"/>
          <w:w w:val="105"/>
        </w:rPr>
        <w:t> </w:t>
      </w:r>
      <w:r>
        <w:rPr>
          <w:w w:val="105"/>
        </w:rPr>
        <w:t>executives’ long-term</w:t>
      </w:r>
      <w:r>
        <w:rPr>
          <w:spacing w:val="30"/>
          <w:w w:val="105"/>
        </w:rPr>
        <w:t> </w:t>
      </w:r>
      <w:r>
        <w:rPr>
          <w:w w:val="105"/>
        </w:rPr>
        <w:t>interests</w:t>
      </w:r>
      <w:r>
        <w:rPr>
          <w:spacing w:val="30"/>
          <w:w w:val="105"/>
        </w:rPr>
        <w:t> </w:t>
      </w:r>
      <w:r>
        <w:rPr>
          <w:w w:val="105"/>
        </w:rPr>
        <w:t>with</w:t>
      </w:r>
      <w:r>
        <w:rPr>
          <w:spacing w:val="30"/>
          <w:w w:val="105"/>
        </w:rPr>
        <w:t> </w:t>
      </w:r>
      <w:r>
        <w:rPr>
          <w:w w:val="105"/>
        </w:rPr>
        <w:t>those</w:t>
      </w:r>
      <w:r>
        <w:rPr>
          <w:spacing w:val="30"/>
          <w:w w:val="105"/>
        </w:rPr>
        <w:t> </w:t>
      </w:r>
      <w:r>
        <w:rPr>
          <w:w w:val="105"/>
        </w:rPr>
        <w:t>of</w:t>
      </w:r>
      <w:r>
        <w:rPr>
          <w:spacing w:val="30"/>
          <w:w w:val="105"/>
        </w:rPr>
        <w:t> </w:t>
      </w:r>
      <w:r>
        <w:rPr>
          <w:w w:val="105"/>
        </w:rPr>
        <w:t>our</w:t>
      </w:r>
      <w:r>
        <w:rPr>
          <w:spacing w:val="30"/>
          <w:w w:val="105"/>
        </w:rPr>
        <w:t> </w:t>
      </w:r>
      <w:r>
        <w:rPr>
          <w:w w:val="105"/>
        </w:rPr>
        <w:t>stockholders.</w:t>
      </w:r>
    </w:p>
    <w:p>
      <w:pPr>
        <w:pStyle w:val="BodyText"/>
        <w:spacing w:line="259" w:lineRule="auto" w:before="154"/>
        <w:ind w:left="1400" w:right="1551" w:firstLine="372"/>
      </w:pPr>
      <w:r>
        <w:rPr>
          <w:w w:val="105"/>
        </w:rPr>
        <w:t>We encourage stockholders to read the Compensation Discussion and Analysis beginning on page 35 of this Proxy Statement, as well as the related compensation tables and narrative, which provide detailed</w:t>
      </w:r>
      <w:r>
        <w:rPr>
          <w:spacing w:val="40"/>
          <w:w w:val="105"/>
        </w:rPr>
        <w:t> </w:t>
      </w:r>
      <w:r>
        <w:rPr>
          <w:w w:val="105"/>
        </w:rPr>
        <w:t>information on our compensation policies and practices and the compensation of our NEOs.</w:t>
      </w:r>
    </w:p>
    <w:p>
      <w:pPr>
        <w:pStyle w:val="BodyText"/>
        <w:spacing w:line="259" w:lineRule="auto" w:before="140"/>
        <w:ind w:left="1400" w:right="1423" w:firstLine="372"/>
      </w:pPr>
      <w:r>
        <w:rPr>
          <w:w w:val="105"/>
        </w:rPr>
        <w:t>This “say-on-pay” vote is a non-binding advisory vote. The approval or disapproval of this proposal by</w:t>
      </w:r>
      <w:r>
        <w:rPr>
          <w:spacing w:val="40"/>
          <w:w w:val="105"/>
        </w:rPr>
        <w:t> </w:t>
      </w:r>
      <w:r>
        <w:rPr>
          <w:w w:val="105"/>
        </w:rPr>
        <w:t>stockholders will not require the Board or the Compensation Committee to take any action regarding our</w:t>
      </w:r>
      <w:r>
        <w:rPr>
          <w:spacing w:val="40"/>
          <w:w w:val="105"/>
        </w:rPr>
        <w:t> </w:t>
      </w:r>
      <w:r>
        <w:rPr>
          <w:w w:val="105"/>
        </w:rPr>
        <w:t>executive</w:t>
      </w:r>
      <w:r>
        <w:rPr>
          <w:spacing w:val="32"/>
          <w:w w:val="105"/>
        </w:rPr>
        <w:t> </w:t>
      </w:r>
      <w:r>
        <w:rPr>
          <w:w w:val="105"/>
        </w:rPr>
        <w:t>compensation</w:t>
      </w:r>
      <w:r>
        <w:rPr>
          <w:spacing w:val="32"/>
          <w:w w:val="105"/>
        </w:rPr>
        <w:t> </w:t>
      </w:r>
      <w:r>
        <w:rPr>
          <w:w w:val="105"/>
        </w:rPr>
        <w:t>practices.</w:t>
      </w:r>
      <w:r>
        <w:rPr>
          <w:spacing w:val="32"/>
          <w:w w:val="105"/>
        </w:rPr>
        <w:t> </w:t>
      </w:r>
      <w:r>
        <w:rPr>
          <w:w w:val="105"/>
        </w:rPr>
        <w:t>Nonetheless,</w:t>
      </w:r>
      <w:r>
        <w:rPr>
          <w:spacing w:val="32"/>
          <w:w w:val="105"/>
        </w:rPr>
        <w:t> </w:t>
      </w:r>
      <w:r>
        <w:rPr>
          <w:w w:val="105"/>
        </w:rPr>
        <w:t>the</w:t>
      </w:r>
      <w:r>
        <w:rPr>
          <w:spacing w:val="32"/>
          <w:w w:val="105"/>
        </w:rPr>
        <w:t> </w:t>
      </w:r>
      <w:r>
        <w:rPr>
          <w:w w:val="105"/>
        </w:rPr>
        <w:t>Board</w:t>
      </w:r>
      <w:r>
        <w:rPr>
          <w:spacing w:val="32"/>
          <w:w w:val="105"/>
        </w:rPr>
        <w:t> </w:t>
      </w:r>
      <w:r>
        <w:rPr>
          <w:w w:val="105"/>
        </w:rPr>
        <w:t>and</w:t>
      </w:r>
      <w:r>
        <w:rPr>
          <w:spacing w:val="32"/>
          <w:w w:val="105"/>
        </w:rPr>
        <w:t> </w:t>
      </w:r>
      <w:r>
        <w:rPr>
          <w:w w:val="105"/>
        </w:rPr>
        <w:t>the</w:t>
      </w:r>
      <w:r>
        <w:rPr>
          <w:spacing w:val="32"/>
          <w:w w:val="105"/>
        </w:rPr>
        <w:t> </w:t>
      </w:r>
      <w:r>
        <w:rPr>
          <w:w w:val="105"/>
        </w:rPr>
        <w:t>Compensation</w:t>
      </w:r>
      <w:r>
        <w:rPr>
          <w:spacing w:val="32"/>
          <w:w w:val="105"/>
        </w:rPr>
        <w:t> </w:t>
      </w:r>
      <w:r>
        <w:rPr>
          <w:w w:val="105"/>
        </w:rPr>
        <w:t>Committee</w:t>
      </w:r>
      <w:r>
        <w:rPr>
          <w:spacing w:val="32"/>
          <w:w w:val="105"/>
        </w:rPr>
        <w:t> </w:t>
      </w:r>
      <w:r>
        <w:rPr>
          <w:w w:val="105"/>
        </w:rPr>
        <w:t>will</w:t>
      </w:r>
      <w:r>
        <w:rPr>
          <w:spacing w:val="32"/>
          <w:w w:val="105"/>
        </w:rPr>
        <w:t> </w:t>
      </w:r>
      <w:r>
        <w:rPr>
          <w:w w:val="105"/>
        </w:rPr>
        <w:t>consider the outcome of the vote when making future compensation decisions for our NEOs.</w:t>
      </w:r>
    </w:p>
    <w:p>
      <w:pPr>
        <w:pStyle w:val="BodyText"/>
        <w:spacing w:before="6"/>
        <w:rPr>
          <w:sz w:val="19"/>
        </w:rPr>
      </w:pPr>
    </w:p>
    <w:p>
      <w:pPr>
        <w:pStyle w:val="Heading2"/>
      </w:pPr>
      <w:bookmarkStart w:name="_TOC_250032" w:id="11"/>
      <w:r>
        <w:rPr>
          <w:spacing w:val="-2"/>
        </w:rPr>
        <w:t>Required</w:t>
      </w:r>
      <w:r>
        <w:rPr>
          <w:spacing w:val="-5"/>
        </w:rPr>
        <w:t> </w:t>
      </w:r>
      <w:bookmarkEnd w:id="11"/>
      <w:r>
        <w:rPr>
          <w:spacing w:val="-4"/>
        </w:rPr>
        <w:t>Vote</w:t>
      </w:r>
    </w:p>
    <w:p>
      <w:pPr>
        <w:pStyle w:val="BodyText"/>
        <w:spacing w:line="259" w:lineRule="auto" w:before="170"/>
        <w:ind w:left="1400" w:right="1543" w:firstLine="372"/>
        <w:jc w:val="both"/>
      </w:pPr>
      <w:r>
        <w:rPr>
          <w:w w:val="105"/>
        </w:rPr>
        <w:t>Approval of the resolution above (on a non-binding, advisory basis) requires that the number of votes</w:t>
      </w:r>
      <w:r>
        <w:rPr>
          <w:spacing w:val="40"/>
          <w:w w:val="105"/>
        </w:rPr>
        <w:t> </w:t>
      </w:r>
      <w:r>
        <w:rPr>
          <w:w w:val="105"/>
        </w:rPr>
        <w:t>cast at the Annual Meeting, online at the virtual meeting or by proxy, in favor of the resolution exceeds the number of votes cast in opposition to the resolution.</w:t>
      </w:r>
    </w:p>
    <w:p>
      <w:pPr>
        <w:pStyle w:val="BodyText"/>
        <w:spacing w:before="6"/>
        <w:rPr>
          <w:sz w:val="19"/>
        </w:rPr>
      </w:pPr>
    </w:p>
    <w:p>
      <w:pPr>
        <w:pStyle w:val="Heading2"/>
      </w:pPr>
      <w:bookmarkStart w:name="_TOC_250031" w:id="12"/>
      <w:r>
        <w:rPr>
          <w:spacing w:val="-2"/>
        </w:rPr>
        <w:t>Next</w:t>
      </w:r>
      <w:r>
        <w:rPr>
          <w:spacing w:val="4"/>
        </w:rPr>
        <w:t> </w:t>
      </w:r>
      <w:r>
        <w:rPr>
          <w:spacing w:val="-2"/>
        </w:rPr>
        <w:t>“Say-On-Pay”</w:t>
      </w:r>
      <w:r>
        <w:rPr>
          <w:spacing w:val="4"/>
        </w:rPr>
        <w:t> </w:t>
      </w:r>
      <w:r>
        <w:rPr>
          <w:spacing w:val="-2"/>
        </w:rPr>
        <w:t>and</w:t>
      </w:r>
      <w:r>
        <w:rPr>
          <w:spacing w:val="4"/>
        </w:rPr>
        <w:t> </w:t>
      </w:r>
      <w:r>
        <w:rPr>
          <w:spacing w:val="-2"/>
        </w:rPr>
        <w:t>“Say-on-Frequency”</w:t>
      </w:r>
      <w:r>
        <w:rPr>
          <w:spacing w:val="-9"/>
        </w:rPr>
        <w:t> </w:t>
      </w:r>
      <w:r>
        <w:rPr>
          <w:spacing w:val="-2"/>
        </w:rPr>
        <w:t>Advisory</w:t>
      </w:r>
      <w:r>
        <w:rPr>
          <w:spacing w:val="-1"/>
        </w:rPr>
        <w:t> </w:t>
      </w:r>
      <w:bookmarkEnd w:id="12"/>
      <w:r>
        <w:rPr>
          <w:spacing w:val="-2"/>
        </w:rPr>
        <w:t>Votes</w:t>
      </w:r>
    </w:p>
    <w:p>
      <w:pPr>
        <w:pStyle w:val="BodyText"/>
        <w:spacing w:line="259" w:lineRule="auto" w:before="170"/>
        <w:ind w:left="1400" w:right="1464" w:firstLine="372"/>
      </w:pPr>
      <w:r>
        <w:rPr>
          <w:w w:val="105"/>
        </w:rPr>
        <w:t>At the 2019 Annual Meeting of Stockholders, the Company’s stockholders determined, on an advisory basis, that the say-on-pay vote should be held on an annual basis. In accordance with that determination, we</w:t>
      </w:r>
      <w:r>
        <w:rPr>
          <w:spacing w:val="40"/>
          <w:w w:val="105"/>
        </w:rPr>
        <w:t> </w:t>
      </w:r>
      <w:r>
        <w:rPr>
          <w:w w:val="105"/>
        </w:rPr>
        <w:t>conduct</w:t>
      </w:r>
      <w:r>
        <w:rPr>
          <w:spacing w:val="20"/>
          <w:w w:val="105"/>
        </w:rPr>
        <w:t> </w:t>
      </w:r>
      <w:r>
        <w:rPr>
          <w:w w:val="105"/>
        </w:rPr>
        <w:t>an</w:t>
      </w:r>
      <w:r>
        <w:rPr>
          <w:spacing w:val="20"/>
          <w:w w:val="105"/>
        </w:rPr>
        <w:t> </w:t>
      </w:r>
      <w:r>
        <w:rPr>
          <w:w w:val="105"/>
        </w:rPr>
        <w:t>annual Advisory</w:t>
      </w:r>
      <w:r>
        <w:rPr>
          <w:spacing w:val="15"/>
          <w:w w:val="105"/>
        </w:rPr>
        <w:t> </w:t>
      </w:r>
      <w:r>
        <w:rPr>
          <w:w w:val="105"/>
        </w:rPr>
        <w:t>Vote</w:t>
      </w:r>
      <w:r>
        <w:rPr>
          <w:spacing w:val="20"/>
          <w:w w:val="105"/>
        </w:rPr>
        <w:t> </w:t>
      </w:r>
      <w:r>
        <w:rPr>
          <w:w w:val="105"/>
        </w:rPr>
        <w:t>on</w:t>
      </w:r>
      <w:r>
        <w:rPr>
          <w:spacing w:val="20"/>
          <w:w w:val="105"/>
        </w:rPr>
        <w:t> </w:t>
      </w:r>
      <w:r>
        <w:rPr>
          <w:w w:val="105"/>
        </w:rPr>
        <w:t>Compensation,</w:t>
      </w:r>
      <w:r>
        <w:rPr>
          <w:spacing w:val="20"/>
          <w:w w:val="105"/>
        </w:rPr>
        <w:t> </w:t>
      </w:r>
      <w:r>
        <w:rPr>
          <w:w w:val="105"/>
        </w:rPr>
        <w:t>and</w:t>
      </w:r>
      <w:r>
        <w:rPr>
          <w:spacing w:val="20"/>
          <w:w w:val="105"/>
        </w:rPr>
        <w:t> </w:t>
      </w:r>
      <w:r>
        <w:rPr>
          <w:w w:val="105"/>
        </w:rPr>
        <w:t>the</w:t>
      </w:r>
      <w:r>
        <w:rPr>
          <w:spacing w:val="20"/>
          <w:w w:val="105"/>
        </w:rPr>
        <w:t> </w:t>
      </w:r>
      <w:r>
        <w:rPr>
          <w:w w:val="105"/>
        </w:rPr>
        <w:t>Board</w:t>
      </w:r>
      <w:r>
        <w:rPr>
          <w:spacing w:val="20"/>
          <w:w w:val="105"/>
        </w:rPr>
        <w:t> </w:t>
      </w:r>
      <w:r>
        <w:rPr>
          <w:w w:val="105"/>
        </w:rPr>
        <w:t>expects</w:t>
      </w:r>
      <w:r>
        <w:rPr>
          <w:spacing w:val="20"/>
          <w:w w:val="105"/>
        </w:rPr>
        <w:t> </w:t>
      </w:r>
      <w:r>
        <w:rPr>
          <w:w w:val="105"/>
        </w:rPr>
        <w:t>to</w:t>
      </w:r>
      <w:r>
        <w:rPr>
          <w:spacing w:val="20"/>
          <w:w w:val="105"/>
        </w:rPr>
        <w:t> </w:t>
      </w:r>
      <w:r>
        <w:rPr>
          <w:w w:val="105"/>
        </w:rPr>
        <w:t>hold</w:t>
      </w:r>
      <w:r>
        <w:rPr>
          <w:spacing w:val="20"/>
          <w:w w:val="105"/>
        </w:rPr>
        <w:t> </w:t>
      </w:r>
      <w:r>
        <w:rPr>
          <w:w w:val="105"/>
        </w:rPr>
        <w:t>the</w:t>
      </w:r>
      <w:r>
        <w:rPr>
          <w:spacing w:val="20"/>
          <w:w w:val="105"/>
        </w:rPr>
        <w:t> </w:t>
      </w:r>
      <w:r>
        <w:rPr>
          <w:w w:val="105"/>
        </w:rPr>
        <w:t>next Advisory</w:t>
      </w:r>
      <w:r>
        <w:rPr>
          <w:spacing w:val="15"/>
          <w:w w:val="105"/>
        </w:rPr>
        <w:t> </w:t>
      </w:r>
      <w:r>
        <w:rPr>
          <w:w w:val="105"/>
        </w:rPr>
        <w:t>Vote</w:t>
      </w:r>
      <w:r>
        <w:rPr>
          <w:w w:val="105"/>
        </w:rPr>
        <w:t> on Compensation at the 2024 Annual Meeting. In addition, the Board expects to hold the next Advisory Vote</w:t>
      </w:r>
      <w:r>
        <w:rPr>
          <w:spacing w:val="40"/>
          <w:w w:val="105"/>
        </w:rPr>
        <w:t> </w:t>
      </w:r>
      <w:r>
        <w:rPr>
          <w:w w:val="105"/>
        </w:rPr>
        <w:t>on Frequency of Advisory Vote to Approve Executive Compensation at the 2025 Annual Meeting of </w:t>
      </w:r>
      <w:r>
        <w:rPr>
          <w:spacing w:val="-2"/>
          <w:w w:val="105"/>
        </w:rPr>
        <w:t>Stockholders.</w:t>
      </w:r>
    </w:p>
    <w:p>
      <w:pPr>
        <w:spacing w:after="0" w:line="259" w:lineRule="auto"/>
        <w:sectPr>
          <w:headerReference w:type="default" r:id="rId91"/>
          <w:footerReference w:type="default" r:id="rId92"/>
          <w:pgSz w:w="12240" w:h="15840"/>
          <w:pgMar w:header="529" w:footer="1959" w:top="720" w:bottom="2140" w:left="480" w:right="460"/>
          <w:pgNumType w:start="7"/>
        </w:sectPr>
      </w:pPr>
    </w:p>
    <w:p>
      <w:pPr>
        <w:pStyle w:val="BodyText"/>
        <w:rPr>
          <w:sz w:val="20"/>
        </w:rPr>
      </w:pPr>
    </w:p>
    <w:p>
      <w:pPr>
        <w:pStyle w:val="BodyText"/>
        <w:rPr>
          <w:sz w:val="20"/>
        </w:rPr>
      </w:pPr>
    </w:p>
    <w:p>
      <w:pPr>
        <w:pStyle w:val="BodyText"/>
        <w:spacing w:before="2"/>
        <w:rPr>
          <w:sz w:val="27"/>
        </w:rPr>
      </w:pPr>
    </w:p>
    <w:p>
      <w:pPr>
        <w:pStyle w:val="Heading1"/>
      </w:pPr>
      <w:r>
        <w:rPr/>
        <w:t>PROPOSAL</w:t>
      </w:r>
      <w:r>
        <w:rPr>
          <w:spacing w:val="-19"/>
        </w:rPr>
        <w:t> </w:t>
      </w:r>
      <w:r>
        <w:rPr>
          <w:spacing w:val="-2"/>
        </w:rPr>
        <w:t>THREE</w:t>
      </w:r>
    </w:p>
    <w:p>
      <w:pPr>
        <w:spacing w:line="259" w:lineRule="auto" w:before="17"/>
        <w:ind w:left="2157" w:right="2152" w:firstLine="0"/>
        <w:jc w:val="center"/>
        <w:rPr>
          <w:b/>
          <w:sz w:val="18"/>
        </w:rPr>
      </w:pPr>
      <w:r>
        <w:rPr>
          <w:b/>
          <w:sz w:val="18"/>
        </w:rPr>
        <w:t>RATIFICATION</w:t>
      </w:r>
      <w:r>
        <w:rPr>
          <w:b/>
          <w:spacing w:val="-9"/>
          <w:sz w:val="18"/>
        </w:rPr>
        <w:t> </w:t>
      </w:r>
      <w:r>
        <w:rPr>
          <w:b/>
          <w:sz w:val="18"/>
        </w:rPr>
        <w:t>OF</w:t>
      </w:r>
      <w:r>
        <w:rPr>
          <w:b/>
          <w:spacing w:val="-17"/>
          <w:sz w:val="18"/>
        </w:rPr>
        <w:t> </w:t>
      </w:r>
      <w:r>
        <w:rPr>
          <w:b/>
          <w:sz w:val="18"/>
        </w:rPr>
        <w:t>THE</w:t>
      </w:r>
      <w:r>
        <w:rPr>
          <w:b/>
          <w:spacing w:val="-17"/>
          <w:sz w:val="18"/>
        </w:rPr>
        <w:t> </w:t>
      </w:r>
      <w:r>
        <w:rPr>
          <w:b/>
          <w:sz w:val="18"/>
        </w:rPr>
        <w:t>APPOINTMENT</w:t>
      </w:r>
      <w:r>
        <w:rPr>
          <w:b/>
          <w:spacing w:val="-10"/>
          <w:sz w:val="18"/>
        </w:rPr>
        <w:t> </w:t>
      </w:r>
      <w:r>
        <w:rPr>
          <w:b/>
          <w:sz w:val="18"/>
        </w:rPr>
        <w:t>OF</w:t>
      </w:r>
      <w:r>
        <w:rPr>
          <w:b/>
          <w:spacing w:val="-13"/>
          <w:sz w:val="18"/>
        </w:rPr>
        <w:t> </w:t>
      </w:r>
      <w:r>
        <w:rPr>
          <w:b/>
          <w:sz w:val="18"/>
        </w:rPr>
        <w:t>OUR</w:t>
      </w:r>
      <w:r>
        <w:rPr>
          <w:b/>
          <w:spacing w:val="-7"/>
          <w:sz w:val="18"/>
        </w:rPr>
        <w:t> </w:t>
      </w:r>
      <w:r>
        <w:rPr>
          <w:b/>
          <w:sz w:val="18"/>
        </w:rPr>
        <w:t>INDEPENDENT</w:t>
      </w:r>
      <w:r>
        <w:rPr>
          <w:b/>
          <w:spacing w:val="-11"/>
          <w:sz w:val="18"/>
        </w:rPr>
        <w:t> </w:t>
      </w:r>
      <w:r>
        <w:rPr>
          <w:b/>
          <w:sz w:val="18"/>
        </w:rPr>
        <w:t>REGISTERED </w:t>
      </w:r>
      <w:r>
        <w:rPr>
          <w:b/>
          <w:w w:val="105"/>
          <w:sz w:val="18"/>
        </w:rPr>
        <w:t>PUBLIC</w:t>
      </w:r>
      <w:r>
        <w:rPr>
          <w:b/>
          <w:spacing w:val="-9"/>
          <w:w w:val="105"/>
          <w:sz w:val="18"/>
        </w:rPr>
        <w:t> </w:t>
      </w:r>
      <w:r>
        <w:rPr>
          <w:b/>
          <w:w w:val="105"/>
          <w:sz w:val="18"/>
        </w:rPr>
        <w:t>ACCOUNTING FIRM</w:t>
      </w:r>
    </w:p>
    <w:p>
      <w:pPr>
        <w:pStyle w:val="BodyText"/>
        <w:rPr>
          <w:b/>
          <w:sz w:val="15"/>
        </w:rPr>
      </w:pPr>
      <w:r>
        <w:rPr/>
        <w:pict>
          <v:shape style="position:absolute;margin-left:94.355782pt;margin-top:10.183102pt;width:424.3pt;height:62.25pt;mso-position-horizontal-relative:page;mso-position-vertical-relative:paragraph;z-index:-15701504;mso-wrap-distance-left:0;mso-wrap-distance-right:0" type="#_x0000_t202" id="docshape201" filled="false" stroked="true" strokeweight=".698992pt" strokecolor="#000000">
            <v:textbox inset="0,0,0,0">
              <w:txbxContent>
                <w:p>
                  <w:pPr>
                    <w:spacing w:before="111"/>
                    <w:ind w:left="985" w:right="982" w:firstLine="0"/>
                    <w:jc w:val="center"/>
                    <w:rPr>
                      <w:b/>
                      <w:sz w:val="18"/>
                    </w:rPr>
                  </w:pPr>
                  <w:r>
                    <w:rPr>
                      <w:b/>
                      <w:sz w:val="18"/>
                    </w:rPr>
                    <w:t>BOARD</w:t>
                  </w:r>
                  <w:r>
                    <w:rPr>
                      <w:b/>
                      <w:spacing w:val="-3"/>
                      <w:sz w:val="18"/>
                    </w:rPr>
                    <w:t> </w:t>
                  </w:r>
                  <w:r>
                    <w:rPr>
                      <w:b/>
                      <w:spacing w:val="-2"/>
                      <w:sz w:val="18"/>
                    </w:rPr>
                    <w:t>RECOMMENDATION</w:t>
                  </w:r>
                </w:p>
                <w:p>
                  <w:pPr>
                    <w:pStyle w:val="BodyText"/>
                    <w:spacing w:line="259" w:lineRule="auto" w:before="129"/>
                    <w:ind w:left="1586" w:right="1588"/>
                    <w:jc w:val="center"/>
                  </w:pPr>
                  <w:r>
                    <w:rPr>
                      <w:w w:val="105"/>
                    </w:rPr>
                    <w:t>VOTE “</w:t>
                  </w:r>
                  <w:r>
                    <w:rPr>
                      <w:b/>
                      <w:w w:val="105"/>
                    </w:rPr>
                    <w:t>FOR</w:t>
                  </w:r>
                  <w:r>
                    <w:rPr>
                      <w:w w:val="105"/>
                    </w:rPr>
                    <w:t>”</w:t>
                  </w:r>
                  <w:r>
                    <w:rPr>
                      <w:spacing w:val="-3"/>
                      <w:w w:val="105"/>
                    </w:rPr>
                    <w:t> </w:t>
                  </w:r>
                  <w:r>
                    <w:rPr>
                      <w:w w:val="105"/>
                    </w:rPr>
                    <w:t>THE RATIFICATION OF</w:t>
                  </w:r>
                  <w:r>
                    <w:rPr>
                      <w:spacing w:val="-3"/>
                      <w:w w:val="105"/>
                    </w:rPr>
                    <w:t> </w:t>
                  </w:r>
                  <w:r>
                    <w:rPr>
                      <w:w w:val="105"/>
                    </w:rPr>
                    <w:t>THE</w:t>
                  </w:r>
                  <w:r>
                    <w:rPr>
                      <w:spacing w:val="-10"/>
                      <w:w w:val="105"/>
                    </w:rPr>
                    <w:t> </w:t>
                  </w:r>
                  <w:r>
                    <w:rPr>
                      <w:w w:val="105"/>
                    </w:rPr>
                    <w:t>APPOINTMENT</w:t>
                  </w:r>
                  <w:r>
                    <w:rPr>
                      <w:spacing w:val="-3"/>
                      <w:w w:val="105"/>
                    </w:rPr>
                    <w:t> </w:t>
                  </w:r>
                  <w:r>
                    <w:rPr>
                      <w:w w:val="105"/>
                    </w:rPr>
                    <w:t>OF DELOITTE &amp; TOUCHE LLP AS OUR INDEPENDENT</w:t>
                  </w:r>
                </w:p>
                <w:p>
                  <w:pPr>
                    <w:pStyle w:val="BodyText"/>
                    <w:ind w:left="985" w:right="987"/>
                    <w:jc w:val="center"/>
                  </w:pPr>
                  <w:r>
                    <w:rPr>
                      <w:w w:val="105"/>
                    </w:rPr>
                    <w:t>REGISTERED</w:t>
                  </w:r>
                  <w:r>
                    <w:rPr>
                      <w:spacing w:val="8"/>
                      <w:w w:val="105"/>
                    </w:rPr>
                    <w:t> </w:t>
                  </w:r>
                  <w:r>
                    <w:rPr>
                      <w:w w:val="105"/>
                    </w:rPr>
                    <w:t>PUBLIC</w:t>
                  </w:r>
                  <w:r>
                    <w:rPr>
                      <w:spacing w:val="-3"/>
                      <w:w w:val="105"/>
                    </w:rPr>
                    <w:t> </w:t>
                  </w:r>
                  <w:r>
                    <w:rPr>
                      <w:w w:val="105"/>
                    </w:rPr>
                    <w:t>ACCOUNTING</w:t>
                  </w:r>
                  <w:r>
                    <w:rPr>
                      <w:spacing w:val="9"/>
                      <w:w w:val="105"/>
                    </w:rPr>
                    <w:t> </w:t>
                  </w:r>
                  <w:r>
                    <w:rPr>
                      <w:w w:val="105"/>
                    </w:rPr>
                    <w:t>FIRM</w:t>
                  </w:r>
                  <w:r>
                    <w:rPr>
                      <w:spacing w:val="8"/>
                      <w:w w:val="105"/>
                    </w:rPr>
                    <w:t> </w:t>
                  </w:r>
                  <w:r>
                    <w:rPr>
                      <w:w w:val="105"/>
                    </w:rPr>
                    <w:t>FOR</w:t>
                  </w:r>
                  <w:r>
                    <w:rPr>
                      <w:spacing w:val="9"/>
                      <w:w w:val="105"/>
                    </w:rPr>
                    <w:t> </w:t>
                  </w:r>
                  <w:r>
                    <w:rPr>
                      <w:w w:val="105"/>
                    </w:rPr>
                    <w:t>FISCAL</w:t>
                  </w:r>
                  <w:r>
                    <w:rPr>
                      <w:spacing w:val="-6"/>
                      <w:w w:val="105"/>
                    </w:rPr>
                    <w:t> </w:t>
                  </w:r>
                  <w:r>
                    <w:rPr>
                      <w:w w:val="105"/>
                    </w:rPr>
                    <w:t>YEAR</w:t>
                  </w:r>
                  <w:r>
                    <w:rPr>
                      <w:spacing w:val="8"/>
                      <w:w w:val="105"/>
                    </w:rPr>
                    <w:t> </w:t>
                  </w:r>
                  <w:r>
                    <w:rPr>
                      <w:spacing w:val="-4"/>
                      <w:w w:val="105"/>
                    </w:rPr>
                    <w:t>2023</w:t>
                  </w:r>
                </w:p>
              </w:txbxContent>
            </v:textbox>
            <v:stroke dashstyle="solid"/>
            <w10:wrap type="topAndBottom"/>
          </v:shape>
        </w:pict>
      </w:r>
    </w:p>
    <w:p>
      <w:pPr>
        <w:pStyle w:val="BodyText"/>
        <w:spacing w:before="3"/>
        <w:rPr>
          <w:b/>
          <w:sz w:val="10"/>
        </w:rPr>
      </w:pPr>
    </w:p>
    <w:p>
      <w:pPr>
        <w:pStyle w:val="Heading2"/>
        <w:spacing w:before="98"/>
      </w:pPr>
      <w:r>
        <w:rPr>
          <w:spacing w:val="-2"/>
        </w:rPr>
        <w:t>Ratification</w:t>
      </w:r>
      <w:r>
        <w:rPr>
          <w:spacing w:val="2"/>
        </w:rPr>
        <w:t> </w:t>
      </w:r>
      <w:r>
        <w:rPr>
          <w:spacing w:val="-2"/>
        </w:rPr>
        <w:t>of</w:t>
      </w:r>
      <w:r>
        <w:rPr>
          <w:spacing w:val="2"/>
        </w:rPr>
        <w:t> </w:t>
      </w:r>
      <w:r>
        <w:rPr>
          <w:spacing w:val="-2"/>
        </w:rPr>
        <w:t>Independent</w:t>
      </w:r>
      <w:r>
        <w:rPr>
          <w:spacing w:val="-11"/>
        </w:rPr>
        <w:t> </w:t>
      </w:r>
      <w:r>
        <w:rPr>
          <w:spacing w:val="-2"/>
        </w:rPr>
        <w:t>Auditors</w:t>
      </w:r>
    </w:p>
    <w:p>
      <w:pPr>
        <w:pStyle w:val="BodyText"/>
        <w:spacing w:line="259" w:lineRule="auto" w:before="171"/>
        <w:ind w:left="1400" w:right="1551" w:firstLine="372"/>
      </w:pPr>
      <w:r>
        <w:rPr>
          <w:w w:val="105"/>
        </w:rPr>
        <w:t>The Audit Committee has appointed Deloitte as our independent registered public accounting firm to perform the audit of our financial statements for fiscal year 2023, and we are asking you and other</w:t>
      </w:r>
      <w:r>
        <w:rPr>
          <w:spacing w:val="40"/>
          <w:w w:val="105"/>
        </w:rPr>
        <w:t> </w:t>
      </w:r>
      <w:r>
        <w:rPr>
          <w:w w:val="105"/>
        </w:rPr>
        <w:t>stockholders to ratify this appointment.</w:t>
      </w:r>
    </w:p>
    <w:p>
      <w:pPr>
        <w:pStyle w:val="BodyText"/>
        <w:spacing w:line="259" w:lineRule="auto" w:before="154"/>
        <w:ind w:left="1400" w:right="1464" w:firstLine="372"/>
      </w:pPr>
      <w:r>
        <w:rPr>
          <w:w w:val="105"/>
        </w:rPr>
        <w:t>The Audit Committee, which is directly responsible for the appointment, compensation, retention and oversight of our independent registered public accounting firm, annually reviews the independent registered</w:t>
      </w:r>
      <w:r>
        <w:rPr>
          <w:spacing w:val="40"/>
          <w:w w:val="105"/>
        </w:rPr>
        <w:t> </w:t>
      </w:r>
      <w:r>
        <w:rPr>
          <w:w w:val="105"/>
        </w:rPr>
        <w:t>public accounting firm’s independence, including reviewing all relationships between the independent registered public accounting firm and us and any disclosed relationships or services that may impact the</w:t>
      </w:r>
      <w:r>
        <w:rPr>
          <w:spacing w:val="40"/>
          <w:w w:val="105"/>
        </w:rPr>
        <w:t> </w:t>
      </w:r>
      <w:r>
        <w:rPr>
          <w:w w:val="105"/>
        </w:rPr>
        <w:t>objectivity and independence of the independent registered public accounting firm, and the independent</w:t>
      </w:r>
      <w:r>
        <w:rPr>
          <w:spacing w:val="40"/>
          <w:w w:val="105"/>
        </w:rPr>
        <w:t> </w:t>
      </w:r>
      <w:r>
        <w:rPr>
          <w:w w:val="105"/>
        </w:rPr>
        <w:t>registered public accounting firm’s performance. Additionally, the Audit Committee also noted that our Deloitte</w:t>
      </w:r>
      <w:r>
        <w:rPr>
          <w:spacing w:val="23"/>
          <w:w w:val="105"/>
        </w:rPr>
        <w:t> </w:t>
      </w:r>
      <w:r>
        <w:rPr>
          <w:w w:val="105"/>
        </w:rPr>
        <w:t>engagement</w:t>
      </w:r>
      <w:r>
        <w:rPr>
          <w:spacing w:val="23"/>
          <w:w w:val="105"/>
        </w:rPr>
        <w:t> </w:t>
      </w:r>
      <w:r>
        <w:rPr>
          <w:w w:val="105"/>
        </w:rPr>
        <w:t>audit</w:t>
      </w:r>
      <w:r>
        <w:rPr>
          <w:spacing w:val="23"/>
          <w:w w:val="105"/>
        </w:rPr>
        <w:t> </w:t>
      </w:r>
      <w:r>
        <w:rPr>
          <w:w w:val="105"/>
        </w:rPr>
        <w:t>partner</w:t>
      </w:r>
      <w:r>
        <w:rPr>
          <w:spacing w:val="23"/>
          <w:w w:val="105"/>
        </w:rPr>
        <w:t> </w:t>
      </w:r>
      <w:r>
        <w:rPr>
          <w:w w:val="105"/>
        </w:rPr>
        <w:t>is</w:t>
      </w:r>
      <w:r>
        <w:rPr>
          <w:spacing w:val="23"/>
          <w:w w:val="105"/>
        </w:rPr>
        <w:t> </w:t>
      </w:r>
      <w:r>
        <w:rPr>
          <w:w w:val="105"/>
        </w:rPr>
        <w:t>subject</w:t>
      </w:r>
      <w:r>
        <w:rPr>
          <w:spacing w:val="23"/>
          <w:w w:val="105"/>
        </w:rPr>
        <w:t> </w:t>
      </w:r>
      <w:r>
        <w:rPr>
          <w:w w:val="105"/>
        </w:rPr>
        <w:t>to</w:t>
      </w:r>
      <w:r>
        <w:rPr>
          <w:spacing w:val="23"/>
          <w:w w:val="105"/>
        </w:rPr>
        <w:t> </w:t>
      </w:r>
      <w:r>
        <w:rPr>
          <w:w w:val="105"/>
        </w:rPr>
        <w:t>regular</w:t>
      </w:r>
      <w:r>
        <w:rPr>
          <w:spacing w:val="23"/>
          <w:w w:val="105"/>
        </w:rPr>
        <w:t> </w:t>
      </w:r>
      <w:r>
        <w:rPr>
          <w:w w:val="105"/>
        </w:rPr>
        <w:t>rotation. As</w:t>
      </w:r>
      <w:r>
        <w:rPr>
          <w:spacing w:val="23"/>
          <w:w w:val="105"/>
        </w:rPr>
        <w:t> </w:t>
      </w:r>
      <w:r>
        <w:rPr>
          <w:w w:val="105"/>
        </w:rPr>
        <w:t>a</w:t>
      </w:r>
      <w:r>
        <w:rPr>
          <w:spacing w:val="23"/>
          <w:w w:val="105"/>
        </w:rPr>
        <w:t> </w:t>
      </w:r>
      <w:r>
        <w:rPr>
          <w:w w:val="105"/>
        </w:rPr>
        <w:t>matter</w:t>
      </w:r>
      <w:r>
        <w:rPr>
          <w:spacing w:val="23"/>
          <w:w w:val="105"/>
        </w:rPr>
        <w:t> </w:t>
      </w:r>
      <w:r>
        <w:rPr>
          <w:w w:val="105"/>
        </w:rPr>
        <w:t>of</w:t>
      </w:r>
      <w:r>
        <w:rPr>
          <w:spacing w:val="23"/>
          <w:w w:val="105"/>
        </w:rPr>
        <w:t> </w:t>
      </w:r>
      <w:r>
        <w:rPr>
          <w:w w:val="105"/>
        </w:rPr>
        <w:t>good</w:t>
      </w:r>
      <w:r>
        <w:rPr>
          <w:spacing w:val="23"/>
          <w:w w:val="105"/>
        </w:rPr>
        <w:t> </w:t>
      </w:r>
      <w:r>
        <w:rPr>
          <w:w w:val="105"/>
        </w:rPr>
        <w:t>corporate</w:t>
      </w:r>
      <w:r>
        <w:rPr>
          <w:spacing w:val="23"/>
          <w:w w:val="105"/>
        </w:rPr>
        <w:t> </w:t>
      </w:r>
      <w:r>
        <w:rPr>
          <w:w w:val="105"/>
        </w:rPr>
        <w:t>governance, the Board, upon recommendation of the Audit Committee, has determined to submit to stockholders for ratification, the appointment of Deloitte. In the event that a majority of the shares of common stock present</w:t>
      </w:r>
      <w:r>
        <w:rPr>
          <w:spacing w:val="40"/>
          <w:w w:val="105"/>
        </w:rPr>
        <w:t> </w:t>
      </w:r>
      <w:r>
        <w:rPr>
          <w:w w:val="105"/>
        </w:rPr>
        <w:t>online at the virtual meeting or represented by proxy at the Annual Meeting and entitled to vote on Proposal</w:t>
      </w:r>
      <w:r>
        <w:rPr>
          <w:spacing w:val="40"/>
          <w:w w:val="105"/>
        </w:rPr>
        <w:t> </w:t>
      </w:r>
      <w:r>
        <w:rPr>
          <w:w w:val="105"/>
        </w:rPr>
        <w:t>Three</w:t>
      </w:r>
      <w:r>
        <w:rPr>
          <w:spacing w:val="23"/>
          <w:w w:val="105"/>
        </w:rPr>
        <w:t> </w:t>
      </w:r>
      <w:r>
        <w:rPr>
          <w:w w:val="105"/>
        </w:rPr>
        <w:t>does</w:t>
      </w:r>
      <w:r>
        <w:rPr>
          <w:spacing w:val="23"/>
          <w:w w:val="105"/>
        </w:rPr>
        <w:t> </w:t>
      </w:r>
      <w:r>
        <w:rPr>
          <w:w w:val="105"/>
        </w:rPr>
        <w:t>not</w:t>
      </w:r>
      <w:r>
        <w:rPr>
          <w:spacing w:val="23"/>
          <w:w w:val="105"/>
        </w:rPr>
        <w:t> </w:t>
      </w:r>
      <w:r>
        <w:rPr>
          <w:w w:val="105"/>
        </w:rPr>
        <w:t>ratify</w:t>
      </w:r>
      <w:r>
        <w:rPr>
          <w:spacing w:val="23"/>
          <w:w w:val="105"/>
        </w:rPr>
        <w:t> </w:t>
      </w:r>
      <w:r>
        <w:rPr>
          <w:w w:val="105"/>
        </w:rPr>
        <w:t>this</w:t>
      </w:r>
      <w:r>
        <w:rPr>
          <w:spacing w:val="23"/>
          <w:w w:val="105"/>
        </w:rPr>
        <w:t> </w:t>
      </w:r>
      <w:r>
        <w:rPr>
          <w:w w:val="105"/>
        </w:rPr>
        <w:t>appointment</w:t>
      </w:r>
      <w:r>
        <w:rPr>
          <w:spacing w:val="23"/>
          <w:w w:val="105"/>
        </w:rPr>
        <w:t> </w:t>
      </w:r>
      <w:r>
        <w:rPr>
          <w:w w:val="105"/>
        </w:rPr>
        <w:t>of</w:t>
      </w:r>
      <w:r>
        <w:rPr>
          <w:spacing w:val="23"/>
          <w:w w:val="105"/>
        </w:rPr>
        <w:t> </w:t>
      </w:r>
      <w:r>
        <w:rPr>
          <w:w w:val="105"/>
        </w:rPr>
        <w:t>Deloitte,</w:t>
      </w:r>
      <w:r>
        <w:rPr>
          <w:spacing w:val="23"/>
          <w:w w:val="105"/>
        </w:rPr>
        <w:t> </w:t>
      </w:r>
      <w:r>
        <w:rPr>
          <w:w w:val="105"/>
        </w:rPr>
        <w:t>the Audit</w:t>
      </w:r>
      <w:r>
        <w:rPr>
          <w:spacing w:val="23"/>
          <w:w w:val="105"/>
        </w:rPr>
        <w:t> </w:t>
      </w:r>
      <w:r>
        <w:rPr>
          <w:w w:val="105"/>
        </w:rPr>
        <w:t>Committee</w:t>
      </w:r>
      <w:r>
        <w:rPr>
          <w:spacing w:val="23"/>
          <w:w w:val="105"/>
        </w:rPr>
        <w:t> </w:t>
      </w:r>
      <w:r>
        <w:rPr>
          <w:w w:val="105"/>
        </w:rPr>
        <w:t>will</w:t>
      </w:r>
      <w:r>
        <w:rPr>
          <w:spacing w:val="23"/>
          <w:w w:val="105"/>
        </w:rPr>
        <w:t> </w:t>
      </w:r>
      <w:r>
        <w:rPr>
          <w:w w:val="105"/>
        </w:rPr>
        <w:t>review</w:t>
      </w:r>
      <w:r>
        <w:rPr>
          <w:spacing w:val="23"/>
          <w:w w:val="105"/>
        </w:rPr>
        <w:t> </w:t>
      </w:r>
      <w:r>
        <w:rPr>
          <w:w w:val="105"/>
        </w:rPr>
        <w:t>its</w:t>
      </w:r>
      <w:r>
        <w:rPr>
          <w:spacing w:val="23"/>
          <w:w w:val="105"/>
        </w:rPr>
        <w:t> </w:t>
      </w:r>
      <w:r>
        <w:rPr>
          <w:w w:val="105"/>
        </w:rPr>
        <w:t>future</w:t>
      </w:r>
      <w:r>
        <w:rPr>
          <w:spacing w:val="23"/>
          <w:w w:val="105"/>
        </w:rPr>
        <w:t> </w:t>
      </w:r>
      <w:r>
        <w:rPr>
          <w:w w:val="105"/>
        </w:rPr>
        <w:t>appointment of Deloitte.</w:t>
      </w:r>
    </w:p>
    <w:p>
      <w:pPr>
        <w:pStyle w:val="BodyText"/>
        <w:spacing w:line="259" w:lineRule="auto" w:before="141"/>
        <w:ind w:left="1400" w:right="1551" w:firstLine="372"/>
      </w:pPr>
      <w:r>
        <w:rPr>
          <w:w w:val="105"/>
        </w:rPr>
        <w:t>We expect that a representative of Deloitte will be present at the Annual Meeting and that such representative will have an opportunity to make a statement if he or she desires and will be available to</w:t>
      </w:r>
      <w:r>
        <w:rPr>
          <w:spacing w:val="40"/>
          <w:w w:val="105"/>
        </w:rPr>
        <w:t> </w:t>
      </w:r>
      <w:r>
        <w:rPr>
          <w:w w:val="105"/>
        </w:rPr>
        <w:t>respond to appropriate questions.</w:t>
      </w:r>
    </w:p>
    <w:p>
      <w:pPr>
        <w:pStyle w:val="BodyText"/>
        <w:spacing w:before="6"/>
        <w:rPr>
          <w:sz w:val="19"/>
        </w:rPr>
      </w:pPr>
    </w:p>
    <w:p>
      <w:pPr>
        <w:pStyle w:val="Heading2"/>
      </w:pPr>
      <w:bookmarkStart w:name="_TOC_250030" w:id="13"/>
      <w:r>
        <w:rPr>
          <w:spacing w:val="-2"/>
        </w:rPr>
        <w:t>Required</w:t>
      </w:r>
      <w:r>
        <w:rPr>
          <w:spacing w:val="-5"/>
        </w:rPr>
        <w:t> </w:t>
      </w:r>
      <w:bookmarkEnd w:id="13"/>
      <w:r>
        <w:rPr>
          <w:spacing w:val="-4"/>
        </w:rPr>
        <w:t>Vote</w:t>
      </w:r>
    </w:p>
    <w:p>
      <w:pPr>
        <w:pStyle w:val="BodyText"/>
        <w:spacing w:line="259" w:lineRule="auto" w:before="170"/>
        <w:ind w:left="1400" w:right="1423" w:firstLine="372"/>
      </w:pPr>
      <w:r>
        <w:rPr>
          <w:w w:val="105"/>
        </w:rPr>
        <w:t>Ratification of the appointment of Deloitte as our independent registered public accounting firm for the</w:t>
      </w:r>
      <w:r>
        <w:rPr>
          <w:spacing w:val="40"/>
          <w:w w:val="105"/>
        </w:rPr>
        <w:t> </w:t>
      </w:r>
      <w:r>
        <w:rPr>
          <w:w w:val="105"/>
        </w:rPr>
        <w:t>fiscal</w:t>
      </w:r>
      <w:r>
        <w:rPr>
          <w:spacing w:val="22"/>
          <w:w w:val="105"/>
        </w:rPr>
        <w:t> </w:t>
      </w:r>
      <w:r>
        <w:rPr>
          <w:w w:val="105"/>
        </w:rPr>
        <w:t>year</w:t>
      </w:r>
      <w:r>
        <w:rPr>
          <w:spacing w:val="22"/>
          <w:w w:val="105"/>
        </w:rPr>
        <w:t> </w:t>
      </w:r>
      <w:r>
        <w:rPr>
          <w:w w:val="105"/>
        </w:rPr>
        <w:t>ending</w:t>
      </w:r>
      <w:r>
        <w:rPr>
          <w:spacing w:val="22"/>
          <w:w w:val="105"/>
        </w:rPr>
        <w:t> </w:t>
      </w:r>
      <w:r>
        <w:rPr>
          <w:w w:val="105"/>
        </w:rPr>
        <w:t>September</w:t>
      </w:r>
      <w:r>
        <w:rPr>
          <w:spacing w:val="22"/>
          <w:w w:val="105"/>
        </w:rPr>
        <w:t> </w:t>
      </w:r>
      <w:r>
        <w:rPr>
          <w:w w:val="105"/>
        </w:rPr>
        <w:t>29,</w:t>
      </w:r>
      <w:r>
        <w:rPr>
          <w:spacing w:val="22"/>
          <w:w w:val="105"/>
        </w:rPr>
        <w:t> </w:t>
      </w:r>
      <w:r>
        <w:rPr>
          <w:w w:val="105"/>
        </w:rPr>
        <w:t>2023</w:t>
      </w:r>
      <w:r>
        <w:rPr>
          <w:spacing w:val="22"/>
          <w:w w:val="105"/>
        </w:rPr>
        <w:t> </w:t>
      </w:r>
      <w:r>
        <w:rPr>
          <w:w w:val="105"/>
        </w:rPr>
        <w:t>requires</w:t>
      </w:r>
      <w:r>
        <w:rPr>
          <w:spacing w:val="22"/>
          <w:w w:val="105"/>
        </w:rPr>
        <w:t> </w:t>
      </w:r>
      <w:r>
        <w:rPr>
          <w:w w:val="105"/>
        </w:rPr>
        <w:t>an</w:t>
      </w:r>
      <w:r>
        <w:rPr>
          <w:spacing w:val="22"/>
          <w:w w:val="105"/>
        </w:rPr>
        <w:t> </w:t>
      </w:r>
      <w:r>
        <w:rPr>
          <w:w w:val="105"/>
        </w:rPr>
        <w:t>affirmative</w:t>
      </w:r>
      <w:r>
        <w:rPr>
          <w:spacing w:val="22"/>
          <w:w w:val="105"/>
        </w:rPr>
        <w:t> </w:t>
      </w:r>
      <w:r>
        <w:rPr>
          <w:w w:val="105"/>
        </w:rPr>
        <w:t>vote</w:t>
      </w:r>
      <w:r>
        <w:rPr>
          <w:spacing w:val="22"/>
          <w:w w:val="105"/>
        </w:rPr>
        <w:t> </w:t>
      </w:r>
      <w:r>
        <w:rPr>
          <w:w w:val="105"/>
        </w:rPr>
        <w:t>of</w:t>
      </w:r>
      <w:r>
        <w:rPr>
          <w:spacing w:val="22"/>
          <w:w w:val="105"/>
        </w:rPr>
        <w:t> </w:t>
      </w:r>
      <w:r>
        <w:rPr>
          <w:w w:val="105"/>
        </w:rPr>
        <w:t>the</w:t>
      </w:r>
      <w:r>
        <w:rPr>
          <w:spacing w:val="22"/>
          <w:w w:val="105"/>
        </w:rPr>
        <w:t> </w:t>
      </w:r>
      <w:r>
        <w:rPr>
          <w:w w:val="105"/>
        </w:rPr>
        <w:t>majority</w:t>
      </w:r>
      <w:r>
        <w:rPr>
          <w:spacing w:val="22"/>
          <w:w w:val="105"/>
        </w:rPr>
        <w:t> </w:t>
      </w:r>
      <w:r>
        <w:rPr>
          <w:w w:val="105"/>
        </w:rPr>
        <w:t>of</w:t>
      </w:r>
      <w:r>
        <w:rPr>
          <w:spacing w:val="22"/>
          <w:w w:val="105"/>
        </w:rPr>
        <w:t> </w:t>
      </w:r>
      <w:r>
        <w:rPr>
          <w:w w:val="105"/>
        </w:rPr>
        <w:t>shares</w:t>
      </w:r>
      <w:r>
        <w:rPr>
          <w:spacing w:val="22"/>
          <w:w w:val="105"/>
        </w:rPr>
        <w:t> </w:t>
      </w:r>
      <w:r>
        <w:rPr>
          <w:w w:val="105"/>
        </w:rPr>
        <w:t>present</w:t>
      </w:r>
      <w:r>
        <w:rPr>
          <w:spacing w:val="22"/>
          <w:w w:val="105"/>
        </w:rPr>
        <w:t> </w:t>
      </w:r>
      <w:r>
        <w:rPr>
          <w:w w:val="105"/>
        </w:rPr>
        <w:t>online</w:t>
      </w:r>
      <w:r>
        <w:rPr>
          <w:w w:val="105"/>
        </w:rPr>
        <w:t> at</w:t>
      </w:r>
      <w:r>
        <w:rPr>
          <w:spacing w:val="17"/>
          <w:w w:val="105"/>
        </w:rPr>
        <w:t> </w:t>
      </w:r>
      <w:r>
        <w:rPr>
          <w:w w:val="105"/>
        </w:rPr>
        <w:t>the</w:t>
      </w:r>
      <w:r>
        <w:rPr>
          <w:spacing w:val="17"/>
          <w:w w:val="105"/>
        </w:rPr>
        <w:t> </w:t>
      </w:r>
      <w:r>
        <w:rPr>
          <w:w w:val="105"/>
        </w:rPr>
        <w:t>virtual</w:t>
      </w:r>
      <w:r>
        <w:rPr>
          <w:spacing w:val="17"/>
          <w:w w:val="105"/>
        </w:rPr>
        <w:t> </w:t>
      </w:r>
      <w:r>
        <w:rPr>
          <w:w w:val="105"/>
        </w:rPr>
        <w:t>meeting</w:t>
      </w:r>
      <w:r>
        <w:rPr>
          <w:spacing w:val="17"/>
          <w:w w:val="105"/>
        </w:rPr>
        <w:t> </w:t>
      </w:r>
      <w:r>
        <w:rPr>
          <w:w w:val="105"/>
        </w:rPr>
        <w:t>or</w:t>
      </w:r>
      <w:r>
        <w:rPr>
          <w:spacing w:val="17"/>
          <w:w w:val="105"/>
        </w:rPr>
        <w:t> </w:t>
      </w:r>
      <w:r>
        <w:rPr>
          <w:w w:val="105"/>
        </w:rPr>
        <w:t>represented</w:t>
      </w:r>
      <w:r>
        <w:rPr>
          <w:spacing w:val="17"/>
          <w:w w:val="105"/>
        </w:rPr>
        <w:t> </w:t>
      </w:r>
      <w:r>
        <w:rPr>
          <w:w w:val="105"/>
        </w:rPr>
        <w:t>by</w:t>
      </w:r>
      <w:r>
        <w:rPr>
          <w:spacing w:val="17"/>
          <w:w w:val="105"/>
        </w:rPr>
        <w:t> </w:t>
      </w:r>
      <w:r>
        <w:rPr>
          <w:w w:val="105"/>
        </w:rPr>
        <w:t>proxy</w:t>
      </w:r>
      <w:r>
        <w:rPr>
          <w:spacing w:val="17"/>
          <w:w w:val="105"/>
        </w:rPr>
        <w:t> </w:t>
      </w:r>
      <w:r>
        <w:rPr>
          <w:w w:val="105"/>
        </w:rPr>
        <w:t>at</w:t>
      </w:r>
      <w:r>
        <w:rPr>
          <w:spacing w:val="17"/>
          <w:w w:val="105"/>
        </w:rPr>
        <w:t> </w:t>
      </w:r>
      <w:r>
        <w:rPr>
          <w:w w:val="105"/>
        </w:rPr>
        <w:t>the Annual</w:t>
      </w:r>
      <w:r>
        <w:rPr>
          <w:spacing w:val="17"/>
          <w:w w:val="105"/>
        </w:rPr>
        <w:t> </w:t>
      </w:r>
      <w:r>
        <w:rPr>
          <w:w w:val="105"/>
        </w:rPr>
        <w:t>Meeting</w:t>
      </w:r>
      <w:r>
        <w:rPr>
          <w:spacing w:val="17"/>
          <w:w w:val="105"/>
        </w:rPr>
        <w:t> </w:t>
      </w:r>
      <w:r>
        <w:rPr>
          <w:w w:val="105"/>
        </w:rPr>
        <w:t>and</w:t>
      </w:r>
      <w:r>
        <w:rPr>
          <w:spacing w:val="17"/>
          <w:w w:val="105"/>
        </w:rPr>
        <w:t> </w:t>
      </w:r>
      <w:r>
        <w:rPr>
          <w:w w:val="105"/>
        </w:rPr>
        <w:t>entitled</w:t>
      </w:r>
      <w:r>
        <w:rPr>
          <w:spacing w:val="17"/>
          <w:w w:val="105"/>
        </w:rPr>
        <w:t> </w:t>
      </w:r>
      <w:r>
        <w:rPr>
          <w:w w:val="105"/>
        </w:rPr>
        <w:t>to</w:t>
      </w:r>
      <w:r>
        <w:rPr>
          <w:spacing w:val="17"/>
          <w:w w:val="105"/>
        </w:rPr>
        <w:t> </w:t>
      </w:r>
      <w:r>
        <w:rPr>
          <w:w w:val="105"/>
        </w:rPr>
        <w:t>vote.</w:t>
      </w:r>
      <w:r>
        <w:rPr>
          <w:spacing w:val="17"/>
          <w:w w:val="105"/>
        </w:rPr>
        <w:t> </w:t>
      </w:r>
      <w:r>
        <w:rPr>
          <w:w w:val="105"/>
        </w:rPr>
        <w:t>Unless</w:t>
      </w:r>
      <w:r>
        <w:rPr>
          <w:spacing w:val="17"/>
          <w:w w:val="105"/>
        </w:rPr>
        <w:t> </w:t>
      </w:r>
      <w:r>
        <w:rPr>
          <w:w w:val="105"/>
        </w:rPr>
        <w:t>marked</w:t>
      </w:r>
      <w:r>
        <w:rPr>
          <w:spacing w:val="17"/>
          <w:w w:val="105"/>
        </w:rPr>
        <w:t> </w:t>
      </w:r>
      <w:r>
        <w:rPr>
          <w:w w:val="105"/>
        </w:rPr>
        <w:t>to the contrary, proxies received will be voted “</w:t>
      </w:r>
      <w:r>
        <w:rPr>
          <w:b/>
          <w:w w:val="105"/>
        </w:rPr>
        <w:t>FOR</w:t>
      </w:r>
      <w:r>
        <w:rPr>
          <w:w w:val="105"/>
        </w:rPr>
        <w:t>” ratification of the appointment of Deloitte.</w:t>
      </w:r>
    </w:p>
    <w:p>
      <w:pPr>
        <w:spacing w:after="0" w:line="259" w:lineRule="auto"/>
        <w:sectPr>
          <w:pgSz w:w="12240" w:h="15840"/>
          <w:pgMar w:header="529" w:footer="1959" w:top="720" w:bottom="2140" w:left="480" w:right="460"/>
        </w:sectPr>
      </w:pPr>
    </w:p>
    <w:p>
      <w:pPr>
        <w:pStyle w:val="BodyText"/>
        <w:rPr>
          <w:sz w:val="20"/>
        </w:rPr>
      </w:pPr>
    </w:p>
    <w:p>
      <w:pPr>
        <w:pStyle w:val="BodyText"/>
        <w:rPr>
          <w:sz w:val="20"/>
        </w:rPr>
      </w:pPr>
    </w:p>
    <w:p>
      <w:pPr>
        <w:pStyle w:val="BodyText"/>
        <w:spacing w:before="2"/>
        <w:rPr>
          <w:sz w:val="27"/>
        </w:rPr>
      </w:pPr>
    </w:p>
    <w:p>
      <w:pPr>
        <w:pStyle w:val="Heading1"/>
      </w:pPr>
      <w:bookmarkStart w:name="_TOC_250029" w:id="14"/>
      <w:r>
        <w:rPr/>
        <w:t>AUDIT</w:t>
      </w:r>
      <w:r>
        <w:rPr>
          <w:spacing w:val="-9"/>
        </w:rPr>
        <w:t> </w:t>
      </w:r>
      <w:r>
        <w:rPr/>
        <w:t>COMMITTEE</w:t>
      </w:r>
      <w:r>
        <w:rPr>
          <w:spacing w:val="-3"/>
        </w:rPr>
        <w:t> </w:t>
      </w:r>
      <w:bookmarkEnd w:id="14"/>
      <w:r>
        <w:rPr>
          <w:spacing w:val="-2"/>
        </w:rPr>
        <w:t>MATTERS</w:t>
      </w:r>
    </w:p>
    <w:p>
      <w:pPr>
        <w:pStyle w:val="BodyText"/>
        <w:spacing w:before="11"/>
        <w:rPr>
          <w:b/>
          <w:sz w:val="20"/>
        </w:rPr>
      </w:pPr>
    </w:p>
    <w:p>
      <w:pPr>
        <w:pStyle w:val="Heading2"/>
      </w:pPr>
      <w:bookmarkStart w:name="_TOC_250028" w:id="15"/>
      <w:r>
        <w:rPr/>
        <w:t>Change</w:t>
      </w:r>
      <w:r>
        <w:rPr>
          <w:spacing w:val="-8"/>
        </w:rPr>
        <w:t> </w:t>
      </w:r>
      <w:r>
        <w:rPr/>
        <w:t>in</w:t>
      </w:r>
      <w:r>
        <w:rPr>
          <w:spacing w:val="-17"/>
        </w:rPr>
        <w:t> </w:t>
      </w:r>
      <w:bookmarkEnd w:id="15"/>
      <w:r>
        <w:rPr>
          <w:spacing w:val="-2"/>
        </w:rPr>
        <w:t>Auditor</w:t>
      </w:r>
    </w:p>
    <w:p>
      <w:pPr>
        <w:pStyle w:val="BodyText"/>
        <w:spacing w:line="249" w:lineRule="auto" w:before="170"/>
        <w:ind w:left="1400" w:right="1564" w:firstLine="372"/>
        <w:jc w:val="both"/>
      </w:pPr>
      <w:r>
        <w:rPr>
          <w:w w:val="105"/>
        </w:rPr>
        <w:t>As reported on our Current Report on Form 8-K filed on</w:t>
      </w:r>
      <w:r>
        <w:rPr>
          <w:spacing w:val="-4"/>
          <w:w w:val="105"/>
        </w:rPr>
        <w:t> </w:t>
      </w:r>
      <w:r>
        <w:rPr>
          <w:w w:val="105"/>
        </w:rPr>
        <w:t>April 1, 2021 (the “</w:t>
      </w:r>
      <w:r>
        <w:rPr>
          <w:b/>
          <w:w w:val="105"/>
        </w:rPr>
        <w:t>Change</w:t>
      </w:r>
      <w:r>
        <w:rPr>
          <w:b/>
          <w:spacing w:val="-8"/>
          <w:w w:val="105"/>
        </w:rPr>
        <w:t> </w:t>
      </w:r>
      <w:r>
        <w:rPr>
          <w:b/>
          <w:w w:val="105"/>
        </w:rPr>
        <w:t>in</w:t>
      </w:r>
      <w:r>
        <w:rPr>
          <w:b/>
          <w:spacing w:val="-12"/>
          <w:w w:val="105"/>
        </w:rPr>
        <w:t> </w:t>
      </w:r>
      <w:r>
        <w:rPr>
          <w:b/>
          <w:w w:val="105"/>
        </w:rPr>
        <w:t>Auditor</w:t>
      </w:r>
      <w:r>
        <w:rPr>
          <w:b/>
          <w:spacing w:val="-12"/>
          <w:w w:val="105"/>
        </w:rPr>
        <w:t> </w:t>
      </w:r>
      <w:r>
        <w:rPr>
          <w:b/>
          <w:w w:val="105"/>
        </w:rPr>
        <w:t>8-K</w:t>
      </w:r>
      <w:r>
        <w:rPr>
          <w:w w:val="105"/>
        </w:rPr>
        <w:t>”), our Audit Committee on March 31, 2021 approved the dismissal of PricewaterhouseCoopers LLP (“</w:t>
      </w:r>
      <w:r>
        <w:rPr>
          <w:b/>
          <w:w w:val="105"/>
        </w:rPr>
        <w:t>PwC</w:t>
      </w:r>
      <w:r>
        <w:rPr>
          <w:w w:val="105"/>
        </w:rPr>
        <w:t>”)</w:t>
      </w:r>
      <w:r>
        <w:rPr>
          <w:spacing w:val="80"/>
          <w:w w:val="105"/>
        </w:rPr>
        <w:t> </w:t>
      </w:r>
      <w:r>
        <w:rPr>
          <w:w w:val="105"/>
        </w:rPr>
        <w:t>as the Company’s independent registered public accounting firm and engaged Deloitte to serve in this role</w:t>
      </w:r>
      <w:r>
        <w:rPr>
          <w:spacing w:val="80"/>
          <w:w w:val="105"/>
        </w:rPr>
        <w:t> </w:t>
      </w:r>
      <w:r>
        <w:rPr>
          <w:w w:val="105"/>
        </w:rPr>
        <w:t>for the fiscal year ending October 1, 2021.</w:t>
      </w:r>
    </w:p>
    <w:p>
      <w:pPr>
        <w:pStyle w:val="BodyText"/>
        <w:spacing w:line="249" w:lineRule="auto" w:before="146"/>
        <w:ind w:left="1400" w:right="1423" w:firstLine="372"/>
      </w:pPr>
      <w:r>
        <w:rPr>
          <w:w w:val="105"/>
        </w:rPr>
        <w:t>PwC’s reports on the Company’s consolidated financial statements as of and for the fiscal years ended September</w:t>
      </w:r>
      <w:r>
        <w:rPr>
          <w:spacing w:val="-1"/>
          <w:w w:val="105"/>
        </w:rPr>
        <w:t> </w:t>
      </w:r>
      <w:r>
        <w:rPr>
          <w:w w:val="105"/>
        </w:rPr>
        <w:t>27, 2019 (“</w:t>
      </w:r>
      <w:r>
        <w:rPr>
          <w:b/>
          <w:w w:val="105"/>
        </w:rPr>
        <w:t>fiscal</w:t>
      </w:r>
      <w:r>
        <w:rPr>
          <w:b/>
          <w:spacing w:val="-11"/>
          <w:w w:val="105"/>
        </w:rPr>
        <w:t> </w:t>
      </w:r>
      <w:r>
        <w:rPr>
          <w:b/>
          <w:w w:val="105"/>
        </w:rPr>
        <w:t>year</w:t>
      </w:r>
      <w:r>
        <w:rPr>
          <w:b/>
          <w:spacing w:val="-13"/>
          <w:w w:val="105"/>
        </w:rPr>
        <w:t> </w:t>
      </w:r>
      <w:r>
        <w:rPr>
          <w:b/>
          <w:w w:val="105"/>
        </w:rPr>
        <w:t>2019</w:t>
      </w:r>
      <w:r>
        <w:rPr>
          <w:w w:val="105"/>
        </w:rPr>
        <w:t>”) and October 2, 2020 (“</w:t>
      </w:r>
      <w:r>
        <w:rPr>
          <w:b/>
          <w:w w:val="105"/>
        </w:rPr>
        <w:t>fiscal</w:t>
      </w:r>
      <w:r>
        <w:rPr>
          <w:b/>
          <w:spacing w:val="-11"/>
          <w:w w:val="105"/>
        </w:rPr>
        <w:t> </w:t>
      </w:r>
      <w:r>
        <w:rPr>
          <w:b/>
          <w:w w:val="105"/>
        </w:rPr>
        <w:t>year</w:t>
      </w:r>
      <w:r>
        <w:rPr>
          <w:b/>
          <w:spacing w:val="-13"/>
          <w:w w:val="105"/>
        </w:rPr>
        <w:t> </w:t>
      </w:r>
      <w:r>
        <w:rPr>
          <w:b/>
          <w:w w:val="105"/>
        </w:rPr>
        <w:t>2020</w:t>
      </w:r>
      <w:r>
        <w:rPr>
          <w:w w:val="105"/>
        </w:rPr>
        <w:t>”) did not contain any adverse opinion or a disclaimer of opinion, and were not qualified or modified as to uncertainty, audit scope, or</w:t>
      </w:r>
      <w:r>
        <w:rPr>
          <w:spacing w:val="40"/>
          <w:w w:val="105"/>
        </w:rPr>
        <w:t> </w:t>
      </w:r>
      <w:r>
        <w:rPr>
          <w:w w:val="105"/>
        </w:rPr>
        <w:t>accounting principles.</w:t>
      </w:r>
    </w:p>
    <w:p>
      <w:pPr>
        <w:pStyle w:val="BodyText"/>
        <w:spacing w:line="247" w:lineRule="auto" w:before="145"/>
        <w:ind w:left="1400" w:right="1680" w:firstLine="372"/>
      </w:pPr>
      <w:r>
        <w:rPr>
          <w:w w:val="105"/>
        </w:rPr>
        <w:t>During fiscal year 2019 and fiscal year 2020, and in the subsequent interim period through March 31,</w:t>
      </w:r>
      <w:r>
        <w:rPr>
          <w:spacing w:val="40"/>
          <w:w w:val="105"/>
        </w:rPr>
        <w:t> </w:t>
      </w:r>
      <w:r>
        <w:rPr>
          <w:w w:val="105"/>
        </w:rPr>
        <w:t>2021, there were no disagreements with PwC (within the meaning of Item 304(a)(1)(iv) of Regulation S-K)</w:t>
      </w:r>
      <w:r>
        <w:rPr>
          <w:spacing w:val="80"/>
          <w:w w:val="105"/>
        </w:rPr>
        <w:t> </w:t>
      </w:r>
      <w:r>
        <w:rPr>
          <w:w w:val="105"/>
        </w:rPr>
        <w:t>on any matter of accounting principles or practices, financial statement disclosure, or auditing scope or</w:t>
      </w:r>
      <w:r>
        <w:rPr>
          <w:spacing w:val="40"/>
          <w:w w:val="105"/>
        </w:rPr>
        <w:t> </w:t>
      </w:r>
      <w:r>
        <w:rPr>
          <w:w w:val="105"/>
        </w:rPr>
        <w:t>procedure that if not resolved to PwC’s satisfaction, would have caused PwC to make reference thereto in</w:t>
      </w:r>
      <w:r>
        <w:rPr>
          <w:spacing w:val="80"/>
          <w:w w:val="105"/>
        </w:rPr>
        <w:t> </w:t>
      </w:r>
      <w:r>
        <w:rPr>
          <w:w w:val="105"/>
        </w:rPr>
        <w:t>their reports on the financial statements for such years.</w:t>
      </w:r>
    </w:p>
    <w:p>
      <w:pPr>
        <w:pStyle w:val="BodyText"/>
        <w:spacing w:line="252" w:lineRule="auto" w:before="151"/>
        <w:ind w:left="1400" w:right="1551" w:firstLine="372"/>
      </w:pPr>
      <w:r>
        <w:rPr>
          <w:w w:val="105"/>
        </w:rPr>
        <w:t>During fiscal year 2019 and fiscal year 2020, and in the subsequent interim period through March 31,</w:t>
      </w:r>
      <w:r>
        <w:rPr>
          <w:spacing w:val="40"/>
          <w:w w:val="105"/>
        </w:rPr>
        <w:t> </w:t>
      </w:r>
      <w:r>
        <w:rPr>
          <w:w w:val="105"/>
        </w:rPr>
        <w:t>2021, there have been no reportable events (as defined in Item 304(a)(1)(v) of Regulation S-K), except as</w:t>
      </w:r>
      <w:r>
        <w:rPr>
          <w:spacing w:val="40"/>
          <w:w w:val="105"/>
        </w:rPr>
        <w:t> </w:t>
      </w:r>
      <w:r>
        <w:rPr>
          <w:w w:val="105"/>
        </w:rPr>
        <w:t>noted below.</w:t>
      </w:r>
    </w:p>
    <w:p>
      <w:pPr>
        <w:pStyle w:val="BodyText"/>
        <w:spacing w:before="7"/>
      </w:pPr>
    </w:p>
    <w:p>
      <w:pPr>
        <w:spacing w:before="0"/>
        <w:ind w:left="1772" w:right="0" w:firstLine="0"/>
        <w:jc w:val="left"/>
        <w:rPr>
          <w:i/>
          <w:sz w:val="18"/>
        </w:rPr>
      </w:pPr>
      <w:r>
        <w:rPr>
          <w:i/>
          <w:w w:val="105"/>
          <w:sz w:val="18"/>
        </w:rPr>
        <w:t>Fiscal</w:t>
      </w:r>
      <w:r>
        <w:rPr>
          <w:i/>
          <w:spacing w:val="2"/>
          <w:w w:val="105"/>
          <w:sz w:val="18"/>
        </w:rPr>
        <w:t> </w:t>
      </w:r>
      <w:r>
        <w:rPr>
          <w:i/>
          <w:w w:val="105"/>
          <w:sz w:val="18"/>
        </w:rPr>
        <w:t>Year</w:t>
      </w:r>
      <w:r>
        <w:rPr>
          <w:i/>
          <w:spacing w:val="2"/>
          <w:w w:val="105"/>
          <w:sz w:val="18"/>
        </w:rPr>
        <w:t> </w:t>
      </w:r>
      <w:r>
        <w:rPr>
          <w:i/>
          <w:spacing w:val="-4"/>
          <w:w w:val="105"/>
          <w:sz w:val="18"/>
        </w:rPr>
        <w:t>2019</w:t>
      </w:r>
    </w:p>
    <w:p>
      <w:pPr>
        <w:pStyle w:val="BodyText"/>
        <w:spacing w:line="247" w:lineRule="auto" w:before="171"/>
        <w:ind w:left="1400" w:right="1403" w:firstLine="372"/>
      </w:pPr>
      <w:r>
        <w:rPr>
          <w:w w:val="105"/>
        </w:rPr>
        <w:t>As</w:t>
      </w:r>
      <w:r>
        <w:rPr>
          <w:spacing w:val="16"/>
          <w:w w:val="105"/>
        </w:rPr>
        <w:t> </w:t>
      </w:r>
      <w:r>
        <w:rPr>
          <w:w w:val="105"/>
        </w:rPr>
        <w:t>disclosed</w:t>
      </w:r>
      <w:r>
        <w:rPr>
          <w:spacing w:val="16"/>
          <w:w w:val="105"/>
        </w:rPr>
        <w:t> </w:t>
      </w:r>
      <w:r>
        <w:rPr>
          <w:w w:val="105"/>
        </w:rPr>
        <w:t>in</w:t>
      </w:r>
      <w:r>
        <w:rPr>
          <w:spacing w:val="16"/>
          <w:w w:val="105"/>
        </w:rPr>
        <w:t> </w:t>
      </w:r>
      <w:r>
        <w:rPr>
          <w:w w:val="105"/>
        </w:rPr>
        <w:t>Item</w:t>
      </w:r>
      <w:r>
        <w:rPr>
          <w:spacing w:val="16"/>
          <w:w w:val="105"/>
        </w:rPr>
        <w:t> </w:t>
      </w:r>
      <w:r>
        <w:rPr>
          <w:w w:val="105"/>
        </w:rPr>
        <w:t>9A of</w:t>
      </w:r>
      <w:r>
        <w:rPr>
          <w:spacing w:val="16"/>
          <w:w w:val="105"/>
        </w:rPr>
        <w:t> </w:t>
      </w:r>
      <w:r>
        <w:rPr>
          <w:w w:val="105"/>
        </w:rPr>
        <w:t>the</w:t>
      </w:r>
      <w:r>
        <w:rPr>
          <w:spacing w:val="16"/>
          <w:w w:val="105"/>
        </w:rPr>
        <w:t> </w:t>
      </w:r>
      <w:r>
        <w:rPr>
          <w:w w:val="105"/>
        </w:rPr>
        <w:t>Company’s Annual</w:t>
      </w:r>
      <w:r>
        <w:rPr>
          <w:spacing w:val="16"/>
          <w:w w:val="105"/>
        </w:rPr>
        <w:t> </w:t>
      </w:r>
      <w:r>
        <w:rPr>
          <w:w w:val="105"/>
        </w:rPr>
        <w:t>Report</w:t>
      </w:r>
      <w:r>
        <w:rPr>
          <w:spacing w:val="16"/>
          <w:w w:val="105"/>
        </w:rPr>
        <w:t> </w:t>
      </w:r>
      <w:r>
        <w:rPr>
          <w:w w:val="105"/>
        </w:rPr>
        <w:t>on</w:t>
      </w:r>
      <w:r>
        <w:rPr>
          <w:spacing w:val="16"/>
          <w:w w:val="105"/>
        </w:rPr>
        <w:t> </w:t>
      </w:r>
      <w:r>
        <w:rPr>
          <w:w w:val="105"/>
        </w:rPr>
        <w:t>Form</w:t>
      </w:r>
      <w:r>
        <w:rPr>
          <w:spacing w:val="16"/>
          <w:w w:val="105"/>
        </w:rPr>
        <w:t> </w:t>
      </w:r>
      <w:r>
        <w:rPr>
          <w:w w:val="105"/>
        </w:rPr>
        <w:t>10-K</w:t>
      </w:r>
      <w:r>
        <w:rPr>
          <w:spacing w:val="16"/>
          <w:w w:val="105"/>
        </w:rPr>
        <w:t> </w:t>
      </w:r>
      <w:r>
        <w:rPr>
          <w:w w:val="105"/>
        </w:rPr>
        <w:t>for</w:t>
      </w:r>
      <w:r>
        <w:rPr>
          <w:spacing w:val="16"/>
          <w:w w:val="105"/>
        </w:rPr>
        <w:t> </w:t>
      </w:r>
      <w:r>
        <w:rPr>
          <w:w w:val="105"/>
        </w:rPr>
        <w:t>fiscal</w:t>
      </w:r>
      <w:r>
        <w:rPr>
          <w:spacing w:val="16"/>
          <w:w w:val="105"/>
        </w:rPr>
        <w:t> </w:t>
      </w:r>
      <w:r>
        <w:rPr>
          <w:w w:val="105"/>
        </w:rPr>
        <w:t>year</w:t>
      </w:r>
      <w:r>
        <w:rPr>
          <w:spacing w:val="16"/>
          <w:w w:val="105"/>
        </w:rPr>
        <w:t> </w:t>
      </w:r>
      <w:r>
        <w:rPr>
          <w:w w:val="105"/>
        </w:rPr>
        <w:t>2019</w:t>
      </w:r>
      <w:r>
        <w:rPr>
          <w:spacing w:val="16"/>
          <w:w w:val="105"/>
        </w:rPr>
        <w:t> </w:t>
      </w:r>
      <w:r>
        <w:rPr>
          <w:w w:val="105"/>
        </w:rPr>
        <w:t>filed</w:t>
      </w:r>
      <w:r>
        <w:rPr>
          <w:spacing w:val="16"/>
          <w:w w:val="105"/>
        </w:rPr>
        <w:t> </w:t>
      </w:r>
      <w:r>
        <w:rPr>
          <w:w w:val="105"/>
        </w:rPr>
        <w:t>with the</w:t>
      </w:r>
      <w:r>
        <w:rPr>
          <w:spacing w:val="27"/>
          <w:w w:val="105"/>
        </w:rPr>
        <w:t> </w:t>
      </w:r>
      <w:r>
        <w:rPr>
          <w:w w:val="105"/>
        </w:rPr>
        <w:t>Securities</w:t>
      </w:r>
      <w:r>
        <w:rPr>
          <w:spacing w:val="27"/>
          <w:w w:val="105"/>
        </w:rPr>
        <w:t> </w:t>
      </w:r>
      <w:r>
        <w:rPr>
          <w:w w:val="105"/>
        </w:rPr>
        <w:t>and</w:t>
      </w:r>
      <w:r>
        <w:rPr>
          <w:spacing w:val="27"/>
          <w:w w:val="105"/>
        </w:rPr>
        <w:t> </w:t>
      </w:r>
      <w:r>
        <w:rPr>
          <w:w w:val="105"/>
        </w:rPr>
        <w:t>Exchange</w:t>
      </w:r>
      <w:r>
        <w:rPr>
          <w:spacing w:val="27"/>
          <w:w w:val="105"/>
        </w:rPr>
        <w:t> </w:t>
      </w:r>
      <w:r>
        <w:rPr>
          <w:w w:val="105"/>
        </w:rPr>
        <w:t>Commission</w:t>
      </w:r>
      <w:r>
        <w:rPr>
          <w:spacing w:val="27"/>
          <w:w w:val="105"/>
        </w:rPr>
        <w:t> </w:t>
      </w:r>
      <w:r>
        <w:rPr>
          <w:w w:val="105"/>
        </w:rPr>
        <w:t>on</w:t>
      </w:r>
      <w:r>
        <w:rPr>
          <w:spacing w:val="27"/>
          <w:w w:val="105"/>
        </w:rPr>
        <w:t> </w:t>
      </w:r>
      <w:r>
        <w:rPr>
          <w:w w:val="105"/>
        </w:rPr>
        <w:t>December</w:t>
      </w:r>
      <w:r>
        <w:rPr>
          <w:spacing w:val="27"/>
          <w:w w:val="105"/>
        </w:rPr>
        <w:t> </w:t>
      </w:r>
      <w:r>
        <w:rPr>
          <w:w w:val="105"/>
        </w:rPr>
        <w:t>20,</w:t>
      </w:r>
      <w:r>
        <w:rPr>
          <w:spacing w:val="27"/>
          <w:w w:val="105"/>
        </w:rPr>
        <w:t> </w:t>
      </w:r>
      <w:r>
        <w:rPr>
          <w:w w:val="105"/>
        </w:rPr>
        <w:t>2019,</w:t>
      </w:r>
      <w:r>
        <w:rPr>
          <w:spacing w:val="27"/>
          <w:w w:val="105"/>
        </w:rPr>
        <w:t> </w:t>
      </w:r>
      <w:r>
        <w:rPr>
          <w:w w:val="105"/>
        </w:rPr>
        <w:t>the</w:t>
      </w:r>
      <w:r>
        <w:rPr>
          <w:spacing w:val="27"/>
          <w:w w:val="105"/>
        </w:rPr>
        <w:t> </w:t>
      </w:r>
      <w:r>
        <w:rPr>
          <w:w w:val="105"/>
        </w:rPr>
        <w:t>Company</w:t>
      </w:r>
      <w:r>
        <w:rPr>
          <w:spacing w:val="27"/>
          <w:w w:val="105"/>
        </w:rPr>
        <w:t> </w:t>
      </w:r>
      <w:r>
        <w:rPr>
          <w:w w:val="105"/>
        </w:rPr>
        <w:t>identified</w:t>
      </w:r>
      <w:r>
        <w:rPr>
          <w:spacing w:val="27"/>
          <w:w w:val="105"/>
        </w:rPr>
        <w:t> </w:t>
      </w:r>
      <w:r>
        <w:rPr>
          <w:w w:val="105"/>
        </w:rPr>
        <w:t>the</w:t>
      </w:r>
      <w:r>
        <w:rPr>
          <w:spacing w:val="27"/>
          <w:w w:val="105"/>
        </w:rPr>
        <w:t> </w:t>
      </w:r>
      <w:r>
        <w:rPr>
          <w:w w:val="105"/>
        </w:rPr>
        <w:t>following control deficiencies that constituted material weaknesses in the Company’s internal control over financial</w:t>
      </w:r>
      <w:r>
        <w:rPr>
          <w:spacing w:val="40"/>
          <w:w w:val="105"/>
        </w:rPr>
        <w:t> </w:t>
      </w:r>
      <w:r>
        <w:rPr>
          <w:w w:val="105"/>
        </w:rPr>
        <w:t>reporting: (i) ineffective risk assessment process to identify and assess the risks in the Company’s business</w:t>
      </w:r>
      <w:r>
        <w:rPr>
          <w:spacing w:val="40"/>
          <w:w w:val="105"/>
        </w:rPr>
        <w:t> </w:t>
      </w:r>
      <w:r>
        <w:rPr>
          <w:w w:val="105"/>
        </w:rPr>
        <w:t>processes, (ii) ineffective control environment as the Company had an insufficient complement of resources</w:t>
      </w:r>
      <w:r>
        <w:rPr>
          <w:spacing w:val="40"/>
          <w:w w:val="105"/>
        </w:rPr>
        <w:t> </w:t>
      </w:r>
      <w:r>
        <w:rPr>
          <w:w w:val="105"/>
        </w:rPr>
        <w:t>with</w:t>
      </w:r>
      <w:r>
        <w:rPr>
          <w:spacing w:val="27"/>
          <w:w w:val="105"/>
        </w:rPr>
        <w:t> </w:t>
      </w:r>
      <w:r>
        <w:rPr>
          <w:w w:val="105"/>
        </w:rPr>
        <w:t>the</w:t>
      </w:r>
      <w:r>
        <w:rPr>
          <w:spacing w:val="27"/>
          <w:w w:val="105"/>
        </w:rPr>
        <w:t> </w:t>
      </w:r>
      <w:r>
        <w:rPr>
          <w:w w:val="105"/>
        </w:rPr>
        <w:t>requisite</w:t>
      </w:r>
      <w:r>
        <w:rPr>
          <w:spacing w:val="27"/>
          <w:w w:val="105"/>
        </w:rPr>
        <w:t> </w:t>
      </w:r>
      <w:r>
        <w:rPr>
          <w:w w:val="105"/>
        </w:rPr>
        <w:t>knowledge</w:t>
      </w:r>
      <w:r>
        <w:rPr>
          <w:spacing w:val="27"/>
          <w:w w:val="105"/>
        </w:rPr>
        <w:t> </w:t>
      </w:r>
      <w:r>
        <w:rPr>
          <w:w w:val="105"/>
        </w:rPr>
        <w:t>and</w:t>
      </w:r>
      <w:r>
        <w:rPr>
          <w:spacing w:val="27"/>
          <w:w w:val="105"/>
        </w:rPr>
        <w:t> </w:t>
      </w:r>
      <w:r>
        <w:rPr>
          <w:w w:val="105"/>
        </w:rPr>
        <w:t>experience</w:t>
      </w:r>
      <w:r>
        <w:rPr>
          <w:spacing w:val="27"/>
          <w:w w:val="105"/>
        </w:rPr>
        <w:t> </w:t>
      </w:r>
      <w:r>
        <w:rPr>
          <w:w w:val="105"/>
        </w:rPr>
        <w:t>to</w:t>
      </w:r>
      <w:r>
        <w:rPr>
          <w:spacing w:val="27"/>
          <w:w w:val="105"/>
        </w:rPr>
        <w:t> </w:t>
      </w:r>
      <w:r>
        <w:rPr>
          <w:w w:val="105"/>
        </w:rPr>
        <w:t>create</w:t>
      </w:r>
      <w:r>
        <w:rPr>
          <w:spacing w:val="27"/>
          <w:w w:val="105"/>
        </w:rPr>
        <w:t> </w:t>
      </w:r>
      <w:r>
        <w:rPr>
          <w:w w:val="105"/>
        </w:rPr>
        <w:t>the</w:t>
      </w:r>
      <w:r>
        <w:rPr>
          <w:spacing w:val="27"/>
          <w:w w:val="105"/>
        </w:rPr>
        <w:t> </w:t>
      </w:r>
      <w:r>
        <w:rPr>
          <w:w w:val="105"/>
        </w:rPr>
        <w:t>proper</w:t>
      </w:r>
      <w:r>
        <w:rPr>
          <w:spacing w:val="27"/>
          <w:w w:val="105"/>
        </w:rPr>
        <w:t> </w:t>
      </w:r>
      <w:r>
        <w:rPr>
          <w:w w:val="105"/>
        </w:rPr>
        <w:t>environment</w:t>
      </w:r>
      <w:r>
        <w:rPr>
          <w:spacing w:val="27"/>
          <w:w w:val="105"/>
        </w:rPr>
        <w:t> </w:t>
      </w:r>
      <w:r>
        <w:rPr>
          <w:w w:val="105"/>
        </w:rPr>
        <w:t>for</w:t>
      </w:r>
      <w:r>
        <w:rPr>
          <w:spacing w:val="27"/>
          <w:w w:val="105"/>
        </w:rPr>
        <w:t> </w:t>
      </w:r>
      <w:r>
        <w:rPr>
          <w:w w:val="105"/>
        </w:rPr>
        <w:t>effective</w:t>
      </w:r>
      <w:r>
        <w:rPr>
          <w:spacing w:val="27"/>
          <w:w w:val="105"/>
        </w:rPr>
        <w:t> </w:t>
      </w:r>
      <w:r>
        <w:rPr>
          <w:w w:val="105"/>
        </w:rPr>
        <w:t>internal</w:t>
      </w:r>
      <w:r>
        <w:rPr>
          <w:spacing w:val="27"/>
          <w:w w:val="105"/>
        </w:rPr>
        <w:t> </w:t>
      </w:r>
      <w:r>
        <w:rPr>
          <w:w w:val="105"/>
        </w:rPr>
        <w:t>control over financial reporting such that corrective activities to the Company’s internal control over financial</w:t>
      </w:r>
      <w:r>
        <w:rPr>
          <w:spacing w:val="80"/>
          <w:w w:val="105"/>
        </w:rPr>
        <w:t> </w:t>
      </w:r>
      <w:r>
        <w:rPr>
          <w:w w:val="105"/>
        </w:rPr>
        <w:t>reporting</w:t>
      </w:r>
      <w:r>
        <w:rPr>
          <w:spacing w:val="30"/>
          <w:w w:val="105"/>
        </w:rPr>
        <w:t> </w:t>
      </w:r>
      <w:r>
        <w:rPr>
          <w:w w:val="105"/>
        </w:rPr>
        <w:t>are</w:t>
      </w:r>
      <w:r>
        <w:rPr>
          <w:spacing w:val="30"/>
          <w:w w:val="105"/>
        </w:rPr>
        <w:t> </w:t>
      </w:r>
      <w:r>
        <w:rPr>
          <w:w w:val="105"/>
        </w:rPr>
        <w:t>appropriately</w:t>
      </w:r>
      <w:r>
        <w:rPr>
          <w:spacing w:val="30"/>
          <w:w w:val="105"/>
        </w:rPr>
        <w:t> </w:t>
      </w:r>
      <w:r>
        <w:rPr>
          <w:w w:val="105"/>
        </w:rPr>
        <w:t>applied,</w:t>
      </w:r>
      <w:r>
        <w:rPr>
          <w:spacing w:val="30"/>
          <w:w w:val="105"/>
        </w:rPr>
        <w:t> </w:t>
      </w:r>
      <w:r>
        <w:rPr>
          <w:w w:val="105"/>
        </w:rPr>
        <w:t>prioritized,</w:t>
      </w:r>
      <w:r>
        <w:rPr>
          <w:spacing w:val="30"/>
          <w:w w:val="105"/>
        </w:rPr>
        <w:t> </w:t>
      </w:r>
      <w:r>
        <w:rPr>
          <w:w w:val="105"/>
        </w:rPr>
        <w:t>and</w:t>
      </w:r>
      <w:r>
        <w:rPr>
          <w:spacing w:val="30"/>
          <w:w w:val="105"/>
        </w:rPr>
        <w:t> </w:t>
      </w:r>
      <w:r>
        <w:rPr>
          <w:w w:val="105"/>
        </w:rPr>
        <w:t>implemented</w:t>
      </w:r>
      <w:r>
        <w:rPr>
          <w:spacing w:val="30"/>
          <w:w w:val="105"/>
        </w:rPr>
        <w:t> </w:t>
      </w:r>
      <w:r>
        <w:rPr>
          <w:w w:val="105"/>
        </w:rPr>
        <w:t>in</w:t>
      </w:r>
      <w:r>
        <w:rPr>
          <w:spacing w:val="30"/>
          <w:w w:val="105"/>
        </w:rPr>
        <w:t> </w:t>
      </w:r>
      <w:r>
        <w:rPr>
          <w:w w:val="105"/>
        </w:rPr>
        <w:t>a</w:t>
      </w:r>
      <w:r>
        <w:rPr>
          <w:spacing w:val="30"/>
          <w:w w:val="105"/>
        </w:rPr>
        <w:t> </w:t>
      </w:r>
      <w:r>
        <w:rPr>
          <w:w w:val="105"/>
        </w:rPr>
        <w:t>timely</w:t>
      </w:r>
      <w:r>
        <w:rPr>
          <w:spacing w:val="30"/>
          <w:w w:val="105"/>
        </w:rPr>
        <w:t> </w:t>
      </w:r>
      <w:r>
        <w:rPr>
          <w:w w:val="105"/>
        </w:rPr>
        <w:t>manner,</w:t>
      </w:r>
      <w:r>
        <w:rPr>
          <w:spacing w:val="30"/>
          <w:w w:val="105"/>
        </w:rPr>
        <w:t> </w:t>
      </w:r>
      <w:r>
        <w:rPr>
          <w:w w:val="105"/>
        </w:rPr>
        <w:t>(iii)</w:t>
      </w:r>
      <w:r>
        <w:rPr>
          <w:spacing w:val="30"/>
          <w:w w:val="105"/>
        </w:rPr>
        <w:t> </w:t>
      </w:r>
      <w:r>
        <w:rPr>
          <w:w w:val="105"/>
        </w:rPr>
        <w:t>ineffective</w:t>
      </w:r>
      <w:r>
        <w:rPr>
          <w:w w:val="105"/>
        </w:rPr>
        <w:t> controls related to accounting for revenue, deferred revenue and related accounts receivable, including</w:t>
      </w:r>
      <w:r>
        <w:rPr>
          <w:spacing w:val="40"/>
          <w:w w:val="105"/>
        </w:rPr>
        <w:t> </w:t>
      </w:r>
      <w:r>
        <w:rPr>
          <w:w w:val="105"/>
        </w:rPr>
        <w:t>maintaining effective business process controls to prevent or detect misstatements in the processing of</w:t>
      </w:r>
      <w:r>
        <w:rPr>
          <w:spacing w:val="80"/>
          <w:w w:val="105"/>
        </w:rPr>
        <w:t> </w:t>
      </w:r>
      <w:r>
        <w:rPr>
          <w:w w:val="105"/>
        </w:rPr>
        <w:t>customer</w:t>
      </w:r>
      <w:r>
        <w:rPr>
          <w:spacing w:val="25"/>
          <w:w w:val="105"/>
        </w:rPr>
        <w:t> </w:t>
      </w:r>
      <w:r>
        <w:rPr>
          <w:w w:val="105"/>
        </w:rPr>
        <w:t>transactions,</w:t>
      </w:r>
      <w:r>
        <w:rPr>
          <w:spacing w:val="25"/>
          <w:w w:val="105"/>
        </w:rPr>
        <w:t> </w:t>
      </w:r>
      <w:r>
        <w:rPr>
          <w:w w:val="105"/>
        </w:rPr>
        <w:t>and</w:t>
      </w:r>
      <w:r>
        <w:rPr>
          <w:spacing w:val="25"/>
          <w:w w:val="105"/>
        </w:rPr>
        <w:t> </w:t>
      </w:r>
      <w:r>
        <w:rPr>
          <w:w w:val="105"/>
        </w:rPr>
        <w:t>the</w:t>
      </w:r>
      <w:r>
        <w:rPr>
          <w:spacing w:val="25"/>
          <w:w w:val="105"/>
        </w:rPr>
        <w:t> </w:t>
      </w:r>
      <w:r>
        <w:rPr>
          <w:w w:val="105"/>
        </w:rPr>
        <w:t>effect</w:t>
      </w:r>
      <w:r>
        <w:rPr>
          <w:spacing w:val="25"/>
          <w:w w:val="105"/>
        </w:rPr>
        <w:t> </w:t>
      </w:r>
      <w:r>
        <w:rPr>
          <w:w w:val="105"/>
        </w:rPr>
        <w:t>of</w:t>
      </w:r>
      <w:r>
        <w:rPr>
          <w:spacing w:val="25"/>
          <w:w w:val="105"/>
        </w:rPr>
        <w:t> </w:t>
      </w:r>
      <w:r>
        <w:rPr>
          <w:w w:val="105"/>
        </w:rPr>
        <w:t>the</w:t>
      </w:r>
      <w:r>
        <w:rPr>
          <w:spacing w:val="25"/>
          <w:w w:val="105"/>
        </w:rPr>
        <w:t> </w:t>
      </w:r>
      <w:r>
        <w:rPr>
          <w:w w:val="105"/>
        </w:rPr>
        <w:t>adoption</w:t>
      </w:r>
      <w:r>
        <w:rPr>
          <w:spacing w:val="25"/>
          <w:w w:val="105"/>
        </w:rPr>
        <w:t> </w:t>
      </w:r>
      <w:r>
        <w:rPr>
          <w:w w:val="105"/>
        </w:rPr>
        <w:t>of</w:t>
      </w:r>
      <w:r>
        <w:rPr>
          <w:spacing w:val="25"/>
          <w:w w:val="105"/>
        </w:rPr>
        <w:t> </w:t>
      </w:r>
      <w:r>
        <w:rPr>
          <w:w w:val="105"/>
        </w:rPr>
        <w:t>and</w:t>
      </w:r>
      <w:r>
        <w:rPr>
          <w:spacing w:val="25"/>
          <w:w w:val="105"/>
        </w:rPr>
        <w:t> </w:t>
      </w:r>
      <w:r>
        <w:rPr>
          <w:w w:val="105"/>
        </w:rPr>
        <w:t>continuous</w:t>
      </w:r>
      <w:r>
        <w:rPr>
          <w:spacing w:val="25"/>
          <w:w w:val="105"/>
        </w:rPr>
        <w:t> </w:t>
      </w:r>
      <w:r>
        <w:rPr>
          <w:w w:val="105"/>
        </w:rPr>
        <w:t>accounting</w:t>
      </w:r>
      <w:r>
        <w:rPr>
          <w:spacing w:val="25"/>
          <w:w w:val="105"/>
        </w:rPr>
        <w:t> </w:t>
      </w:r>
      <w:r>
        <w:rPr>
          <w:w w:val="105"/>
        </w:rPr>
        <w:t>for</w:t>
      </w:r>
      <w:r>
        <w:rPr>
          <w:spacing w:val="25"/>
          <w:w w:val="105"/>
        </w:rPr>
        <w:t> </w:t>
      </w:r>
      <w:r>
        <w:rPr>
          <w:w w:val="105"/>
        </w:rPr>
        <w:t>Revenue</w:t>
      </w:r>
      <w:r>
        <w:rPr>
          <w:spacing w:val="25"/>
          <w:w w:val="105"/>
        </w:rPr>
        <w:t> </w:t>
      </w:r>
      <w:r>
        <w:rPr>
          <w:w w:val="105"/>
        </w:rPr>
        <w:t>from Contracts with Customers, (iv) ineffective controls related to accounting for inventory and cost of revenues,</w:t>
      </w:r>
      <w:r>
        <w:rPr>
          <w:spacing w:val="40"/>
          <w:w w:val="105"/>
        </w:rPr>
        <w:t> </w:t>
      </w:r>
      <w:r>
        <w:rPr>
          <w:w w:val="105"/>
        </w:rPr>
        <w:t>including maintaining effective business process controls to prevent or detect misstatements in the accuracy</w:t>
      </w:r>
      <w:r>
        <w:rPr>
          <w:spacing w:val="80"/>
          <w:w w:val="105"/>
        </w:rPr>
        <w:t> </w:t>
      </w:r>
      <w:r>
        <w:rPr>
          <w:w w:val="105"/>
        </w:rPr>
        <w:t>and valuation of inventory, specifically, ineffective controls related to inventory count procedures, the</w:t>
      </w:r>
      <w:r>
        <w:rPr>
          <w:spacing w:val="80"/>
          <w:w w:val="105"/>
        </w:rPr>
        <w:t> </w:t>
      </w:r>
      <w:r>
        <w:rPr>
          <w:w w:val="105"/>
        </w:rPr>
        <w:t>valuation of inventory at lower of cost and net realizable value and presentation and disclosure of inventory</w:t>
      </w:r>
      <w:r>
        <w:rPr>
          <w:spacing w:val="40"/>
          <w:w w:val="105"/>
        </w:rPr>
        <w:t> </w:t>
      </w:r>
      <w:r>
        <w:rPr>
          <w:w w:val="105"/>
        </w:rPr>
        <w:t>classifications,</w:t>
      </w:r>
      <w:r>
        <w:rPr>
          <w:spacing w:val="27"/>
          <w:w w:val="105"/>
        </w:rPr>
        <w:t> </w:t>
      </w:r>
      <w:r>
        <w:rPr>
          <w:w w:val="105"/>
        </w:rPr>
        <w:t>and</w:t>
      </w:r>
      <w:r>
        <w:rPr>
          <w:spacing w:val="27"/>
          <w:w w:val="105"/>
        </w:rPr>
        <w:t> </w:t>
      </w:r>
      <w:r>
        <w:rPr>
          <w:w w:val="105"/>
        </w:rPr>
        <w:t>(v)</w:t>
      </w:r>
      <w:r>
        <w:rPr>
          <w:spacing w:val="27"/>
          <w:w w:val="105"/>
        </w:rPr>
        <w:t> </w:t>
      </w:r>
      <w:r>
        <w:rPr>
          <w:w w:val="105"/>
        </w:rPr>
        <w:t>ineffective</w:t>
      </w:r>
      <w:r>
        <w:rPr>
          <w:spacing w:val="27"/>
          <w:w w:val="105"/>
        </w:rPr>
        <w:t> </w:t>
      </w:r>
      <w:r>
        <w:rPr>
          <w:w w:val="105"/>
        </w:rPr>
        <w:t>controls</w:t>
      </w:r>
      <w:r>
        <w:rPr>
          <w:spacing w:val="27"/>
          <w:w w:val="105"/>
        </w:rPr>
        <w:t> </w:t>
      </w:r>
      <w:r>
        <w:rPr>
          <w:w w:val="105"/>
        </w:rPr>
        <w:t>over</w:t>
      </w:r>
      <w:r>
        <w:rPr>
          <w:spacing w:val="27"/>
          <w:w w:val="105"/>
        </w:rPr>
        <w:t> </w:t>
      </w:r>
      <w:r>
        <w:rPr>
          <w:w w:val="105"/>
        </w:rPr>
        <w:t>the</w:t>
      </w:r>
      <w:r>
        <w:rPr>
          <w:spacing w:val="27"/>
          <w:w w:val="105"/>
        </w:rPr>
        <w:t> </w:t>
      </w:r>
      <w:r>
        <w:rPr>
          <w:w w:val="105"/>
        </w:rPr>
        <w:t>Company’s</w:t>
      </w:r>
      <w:r>
        <w:rPr>
          <w:spacing w:val="27"/>
          <w:w w:val="105"/>
        </w:rPr>
        <w:t> </w:t>
      </w:r>
      <w:r>
        <w:rPr>
          <w:w w:val="105"/>
        </w:rPr>
        <w:t>financial</w:t>
      </w:r>
      <w:r>
        <w:rPr>
          <w:spacing w:val="27"/>
          <w:w w:val="105"/>
        </w:rPr>
        <w:t> </w:t>
      </w:r>
      <w:r>
        <w:rPr>
          <w:w w:val="105"/>
        </w:rPr>
        <w:t>reporting</w:t>
      </w:r>
      <w:r>
        <w:rPr>
          <w:spacing w:val="27"/>
          <w:w w:val="105"/>
        </w:rPr>
        <w:t> </w:t>
      </w:r>
      <w:r>
        <w:rPr>
          <w:w w:val="105"/>
        </w:rPr>
        <w:t>close</w:t>
      </w:r>
      <w:r>
        <w:rPr>
          <w:spacing w:val="27"/>
          <w:w w:val="105"/>
        </w:rPr>
        <w:t> </w:t>
      </w:r>
      <w:r>
        <w:rPr>
          <w:w w:val="105"/>
        </w:rPr>
        <w:t>process</w:t>
      </w:r>
      <w:r>
        <w:rPr>
          <w:spacing w:val="27"/>
          <w:w w:val="105"/>
        </w:rPr>
        <w:t> </w:t>
      </w:r>
      <w:r>
        <w:rPr>
          <w:w w:val="105"/>
        </w:rPr>
        <w:t>to</w:t>
      </w:r>
      <w:r>
        <w:rPr>
          <w:spacing w:val="27"/>
          <w:w w:val="105"/>
        </w:rPr>
        <w:t> </w:t>
      </w:r>
      <w:r>
        <w:rPr>
          <w:w w:val="105"/>
        </w:rPr>
        <w:t>prevent or detect misstatements in the financial statements, including ineffective business performance monitoring</w:t>
      </w:r>
      <w:r>
        <w:rPr>
          <w:spacing w:val="40"/>
          <w:w w:val="105"/>
        </w:rPr>
        <w:t> </w:t>
      </w:r>
      <w:r>
        <w:rPr>
          <w:w w:val="105"/>
        </w:rPr>
        <w:t>review control over the Company’s international entities, ineffective controls related to elimination of intercompany balances, ineffective controls to identify post-close events which occur before the financial</w:t>
      </w:r>
      <w:r>
        <w:rPr>
          <w:spacing w:val="40"/>
          <w:w w:val="105"/>
        </w:rPr>
        <w:t> </w:t>
      </w:r>
      <w:r>
        <w:rPr>
          <w:w w:val="105"/>
        </w:rPr>
        <w:t>statements</w:t>
      </w:r>
      <w:r>
        <w:rPr>
          <w:spacing w:val="14"/>
          <w:w w:val="105"/>
        </w:rPr>
        <w:t> </w:t>
      </w:r>
      <w:r>
        <w:rPr>
          <w:w w:val="105"/>
        </w:rPr>
        <w:t>are</w:t>
      </w:r>
      <w:r>
        <w:rPr>
          <w:spacing w:val="14"/>
          <w:w w:val="105"/>
        </w:rPr>
        <w:t> </w:t>
      </w:r>
      <w:r>
        <w:rPr>
          <w:w w:val="105"/>
        </w:rPr>
        <w:t>available</w:t>
      </w:r>
      <w:r>
        <w:rPr>
          <w:spacing w:val="14"/>
          <w:w w:val="105"/>
        </w:rPr>
        <w:t> </w:t>
      </w:r>
      <w:r>
        <w:rPr>
          <w:w w:val="105"/>
        </w:rPr>
        <w:t>to</w:t>
      </w:r>
      <w:r>
        <w:rPr>
          <w:spacing w:val="14"/>
          <w:w w:val="105"/>
        </w:rPr>
        <w:t> </w:t>
      </w:r>
      <w:r>
        <w:rPr>
          <w:w w:val="105"/>
        </w:rPr>
        <w:t>be</w:t>
      </w:r>
      <w:r>
        <w:rPr>
          <w:spacing w:val="14"/>
          <w:w w:val="105"/>
        </w:rPr>
        <w:t> </w:t>
      </w:r>
      <w:r>
        <w:rPr>
          <w:w w:val="105"/>
        </w:rPr>
        <w:t>issued,</w:t>
      </w:r>
      <w:r>
        <w:rPr>
          <w:spacing w:val="14"/>
          <w:w w:val="105"/>
        </w:rPr>
        <w:t> </w:t>
      </w:r>
      <w:r>
        <w:rPr>
          <w:w w:val="105"/>
        </w:rPr>
        <w:t>and</w:t>
      </w:r>
      <w:r>
        <w:rPr>
          <w:spacing w:val="14"/>
          <w:w w:val="105"/>
        </w:rPr>
        <w:t> </w:t>
      </w:r>
      <w:r>
        <w:rPr>
          <w:w w:val="105"/>
        </w:rPr>
        <w:t>ineffective</w:t>
      </w:r>
      <w:r>
        <w:rPr>
          <w:spacing w:val="14"/>
          <w:w w:val="105"/>
        </w:rPr>
        <w:t> </w:t>
      </w:r>
      <w:r>
        <w:rPr>
          <w:w w:val="105"/>
        </w:rPr>
        <w:t>controls</w:t>
      </w:r>
      <w:r>
        <w:rPr>
          <w:spacing w:val="14"/>
          <w:w w:val="105"/>
        </w:rPr>
        <w:t> </w:t>
      </w:r>
      <w:r>
        <w:rPr>
          <w:w w:val="105"/>
        </w:rPr>
        <w:t>over</w:t>
      </w:r>
      <w:r>
        <w:rPr>
          <w:spacing w:val="14"/>
          <w:w w:val="105"/>
        </w:rPr>
        <w:t> </w:t>
      </w:r>
      <w:r>
        <w:rPr>
          <w:w w:val="105"/>
        </w:rPr>
        <w:t>the</w:t>
      </w:r>
      <w:r>
        <w:rPr>
          <w:spacing w:val="14"/>
          <w:w w:val="105"/>
        </w:rPr>
        <w:t> </w:t>
      </w:r>
      <w:r>
        <w:rPr>
          <w:w w:val="105"/>
        </w:rPr>
        <w:t>review</w:t>
      </w:r>
      <w:r>
        <w:rPr>
          <w:spacing w:val="14"/>
          <w:w w:val="105"/>
        </w:rPr>
        <w:t> </w:t>
      </w:r>
      <w:r>
        <w:rPr>
          <w:w w:val="105"/>
        </w:rPr>
        <w:t>of</w:t>
      </w:r>
      <w:r>
        <w:rPr>
          <w:spacing w:val="14"/>
          <w:w w:val="105"/>
        </w:rPr>
        <w:t> </w:t>
      </w:r>
      <w:r>
        <w:rPr>
          <w:w w:val="105"/>
        </w:rPr>
        <w:t>the</w:t>
      </w:r>
      <w:r>
        <w:rPr>
          <w:spacing w:val="14"/>
          <w:w w:val="105"/>
        </w:rPr>
        <w:t> </w:t>
      </w:r>
      <w:r>
        <w:rPr>
          <w:w w:val="105"/>
        </w:rPr>
        <w:t>statement</w:t>
      </w:r>
      <w:r>
        <w:rPr>
          <w:spacing w:val="14"/>
          <w:w w:val="105"/>
        </w:rPr>
        <w:t> </w:t>
      </w:r>
      <w:r>
        <w:rPr>
          <w:w w:val="105"/>
        </w:rPr>
        <w:t>of</w:t>
      </w:r>
      <w:r>
        <w:rPr>
          <w:spacing w:val="14"/>
          <w:w w:val="105"/>
        </w:rPr>
        <w:t> </w:t>
      </w:r>
      <w:r>
        <w:rPr>
          <w:w w:val="105"/>
        </w:rPr>
        <w:t>cash</w:t>
      </w:r>
      <w:r>
        <w:rPr>
          <w:spacing w:val="14"/>
          <w:w w:val="105"/>
        </w:rPr>
        <w:t> </w:t>
      </w:r>
      <w:r>
        <w:rPr>
          <w:w w:val="105"/>
        </w:rPr>
        <w:t>flows.</w:t>
      </w:r>
    </w:p>
    <w:p>
      <w:pPr>
        <w:pStyle w:val="BodyText"/>
        <w:spacing w:before="7"/>
        <w:rPr>
          <w:sz w:val="20"/>
        </w:rPr>
      </w:pPr>
    </w:p>
    <w:p>
      <w:pPr>
        <w:spacing w:before="1"/>
        <w:ind w:left="1772" w:right="0" w:firstLine="0"/>
        <w:jc w:val="left"/>
        <w:rPr>
          <w:i/>
          <w:sz w:val="18"/>
        </w:rPr>
      </w:pPr>
      <w:r>
        <w:rPr>
          <w:i/>
          <w:w w:val="105"/>
          <w:sz w:val="18"/>
        </w:rPr>
        <w:t>Fiscal</w:t>
      </w:r>
      <w:r>
        <w:rPr>
          <w:i/>
          <w:spacing w:val="2"/>
          <w:w w:val="105"/>
          <w:sz w:val="18"/>
        </w:rPr>
        <w:t> </w:t>
      </w:r>
      <w:r>
        <w:rPr>
          <w:i/>
          <w:w w:val="105"/>
          <w:sz w:val="18"/>
        </w:rPr>
        <w:t>Year</w:t>
      </w:r>
      <w:r>
        <w:rPr>
          <w:i/>
          <w:spacing w:val="2"/>
          <w:w w:val="105"/>
          <w:sz w:val="18"/>
        </w:rPr>
        <w:t> </w:t>
      </w:r>
      <w:r>
        <w:rPr>
          <w:i/>
          <w:spacing w:val="-4"/>
          <w:w w:val="105"/>
          <w:sz w:val="18"/>
        </w:rPr>
        <w:t>2020</w:t>
      </w:r>
    </w:p>
    <w:p>
      <w:pPr>
        <w:pStyle w:val="BodyText"/>
        <w:spacing w:line="249" w:lineRule="auto" w:before="170"/>
        <w:ind w:left="1400" w:right="1491" w:firstLine="372"/>
      </w:pPr>
      <w:r>
        <w:rPr>
          <w:w w:val="105"/>
        </w:rPr>
        <w:t>As disclosed in Item 9A</w:t>
      </w:r>
      <w:r>
        <w:rPr>
          <w:spacing w:val="-1"/>
          <w:w w:val="105"/>
        </w:rPr>
        <w:t> </w:t>
      </w:r>
      <w:r>
        <w:rPr>
          <w:w w:val="105"/>
        </w:rPr>
        <w:t>of the Company’s</w:t>
      </w:r>
      <w:r>
        <w:rPr>
          <w:spacing w:val="-1"/>
          <w:w w:val="105"/>
        </w:rPr>
        <w:t> </w:t>
      </w:r>
      <w:r>
        <w:rPr>
          <w:w w:val="105"/>
        </w:rPr>
        <w:t>Annual Report on Form 10-K for fiscal year 2020 filed with the Securities and Exchange Commission on November 30, 2020, the Company identified the following</w:t>
      </w:r>
      <w:r>
        <w:rPr>
          <w:spacing w:val="40"/>
          <w:w w:val="105"/>
        </w:rPr>
        <w:t> </w:t>
      </w:r>
      <w:r>
        <w:rPr>
          <w:w w:val="105"/>
        </w:rPr>
        <w:t>control deficiencies that constituted material weaknesses in the Company’s internal control over financial</w:t>
      </w:r>
      <w:r>
        <w:rPr>
          <w:spacing w:val="40"/>
          <w:w w:val="105"/>
        </w:rPr>
        <w:t> </w:t>
      </w:r>
      <w:r>
        <w:rPr>
          <w:w w:val="105"/>
        </w:rPr>
        <w:t>reporting: (i) ineffective control environment as the Company had an insufficient complement of resources</w:t>
      </w:r>
      <w:r>
        <w:rPr>
          <w:spacing w:val="40"/>
          <w:w w:val="105"/>
        </w:rPr>
        <w:t> </w:t>
      </w:r>
      <w:r>
        <w:rPr>
          <w:w w:val="105"/>
        </w:rPr>
        <w:t>with the requisite knowledge and experience to create the proper environment for effective internal control</w:t>
      </w:r>
      <w:r>
        <w:rPr>
          <w:spacing w:val="40"/>
          <w:w w:val="105"/>
        </w:rPr>
        <w:t> </w:t>
      </w:r>
      <w:r>
        <w:rPr>
          <w:w w:val="105"/>
        </w:rPr>
        <w:t>over financial reporting such that corrective activities to the Company’s internal control over financial</w:t>
      </w:r>
      <w:r>
        <w:rPr>
          <w:spacing w:val="40"/>
          <w:w w:val="105"/>
        </w:rPr>
        <w:t> </w:t>
      </w:r>
      <w:r>
        <w:rPr>
          <w:w w:val="105"/>
        </w:rPr>
        <w:t>reporting are appropriately applied, prioritized, and implemented in a timely manner, (ii) ineffective risk</w:t>
      </w:r>
      <w:r>
        <w:rPr>
          <w:spacing w:val="40"/>
          <w:w w:val="105"/>
        </w:rPr>
        <w:t> </w:t>
      </w:r>
      <w:r>
        <w:rPr>
          <w:w w:val="105"/>
        </w:rPr>
        <w:t>assessment process to identify and assess the risks in the Company’s business processes, (iii) ineffective</w:t>
      </w:r>
      <w:r>
        <w:rPr>
          <w:spacing w:val="40"/>
          <w:w w:val="105"/>
        </w:rPr>
        <w:t> </w:t>
      </w:r>
      <w:r>
        <w:rPr>
          <w:w w:val="105"/>
        </w:rPr>
        <w:t>controls</w:t>
      </w:r>
      <w:r>
        <w:rPr>
          <w:spacing w:val="26"/>
          <w:w w:val="105"/>
        </w:rPr>
        <w:t> </w:t>
      </w:r>
      <w:r>
        <w:rPr>
          <w:w w:val="105"/>
        </w:rPr>
        <w:t>related</w:t>
      </w:r>
      <w:r>
        <w:rPr>
          <w:spacing w:val="26"/>
          <w:w w:val="105"/>
        </w:rPr>
        <w:t> </w:t>
      </w:r>
      <w:r>
        <w:rPr>
          <w:w w:val="105"/>
        </w:rPr>
        <w:t>to</w:t>
      </w:r>
      <w:r>
        <w:rPr>
          <w:spacing w:val="26"/>
          <w:w w:val="105"/>
        </w:rPr>
        <w:t> </w:t>
      </w:r>
      <w:r>
        <w:rPr>
          <w:w w:val="105"/>
        </w:rPr>
        <w:t>accounting</w:t>
      </w:r>
      <w:r>
        <w:rPr>
          <w:spacing w:val="26"/>
          <w:w w:val="105"/>
        </w:rPr>
        <w:t> </w:t>
      </w:r>
      <w:r>
        <w:rPr>
          <w:w w:val="105"/>
        </w:rPr>
        <w:t>for</w:t>
      </w:r>
      <w:r>
        <w:rPr>
          <w:spacing w:val="26"/>
          <w:w w:val="105"/>
        </w:rPr>
        <w:t> </w:t>
      </w:r>
      <w:r>
        <w:rPr>
          <w:w w:val="105"/>
        </w:rPr>
        <w:t>inventory</w:t>
      </w:r>
      <w:r>
        <w:rPr>
          <w:spacing w:val="26"/>
          <w:w w:val="105"/>
        </w:rPr>
        <w:t> </w:t>
      </w:r>
      <w:r>
        <w:rPr>
          <w:w w:val="105"/>
        </w:rPr>
        <w:t>and</w:t>
      </w:r>
      <w:r>
        <w:rPr>
          <w:spacing w:val="26"/>
          <w:w w:val="105"/>
        </w:rPr>
        <w:t> </w:t>
      </w:r>
      <w:r>
        <w:rPr>
          <w:w w:val="105"/>
        </w:rPr>
        <w:t>cost</w:t>
      </w:r>
      <w:r>
        <w:rPr>
          <w:spacing w:val="26"/>
          <w:w w:val="105"/>
        </w:rPr>
        <w:t> </w:t>
      </w:r>
      <w:r>
        <w:rPr>
          <w:w w:val="105"/>
        </w:rPr>
        <w:t>of</w:t>
      </w:r>
      <w:r>
        <w:rPr>
          <w:spacing w:val="26"/>
          <w:w w:val="105"/>
        </w:rPr>
        <w:t> </w:t>
      </w:r>
      <w:r>
        <w:rPr>
          <w:w w:val="105"/>
        </w:rPr>
        <w:t>revenues,</w:t>
      </w:r>
      <w:r>
        <w:rPr>
          <w:spacing w:val="26"/>
          <w:w w:val="105"/>
        </w:rPr>
        <w:t> </w:t>
      </w:r>
      <w:r>
        <w:rPr>
          <w:w w:val="105"/>
        </w:rPr>
        <w:t>including</w:t>
      </w:r>
      <w:r>
        <w:rPr>
          <w:spacing w:val="26"/>
          <w:w w:val="105"/>
        </w:rPr>
        <w:t> </w:t>
      </w:r>
      <w:r>
        <w:rPr>
          <w:w w:val="105"/>
        </w:rPr>
        <w:t>maintaining</w:t>
      </w:r>
      <w:r>
        <w:rPr>
          <w:spacing w:val="26"/>
          <w:w w:val="105"/>
        </w:rPr>
        <w:t> </w:t>
      </w:r>
      <w:r>
        <w:rPr>
          <w:w w:val="105"/>
        </w:rPr>
        <w:t>effective</w:t>
      </w:r>
      <w:r>
        <w:rPr>
          <w:spacing w:val="26"/>
          <w:w w:val="105"/>
        </w:rPr>
        <w:t> </w:t>
      </w:r>
      <w:r>
        <w:rPr>
          <w:w w:val="105"/>
        </w:rPr>
        <w:t>business</w:t>
      </w:r>
    </w:p>
    <w:p>
      <w:pPr>
        <w:pStyle w:val="BodyText"/>
        <w:rPr>
          <w:sz w:val="20"/>
        </w:rPr>
      </w:pPr>
    </w:p>
    <w:p>
      <w:pPr>
        <w:pStyle w:val="BodyText"/>
        <w:spacing w:before="167"/>
        <w:ind w:left="142" w:right="143"/>
        <w:jc w:val="center"/>
      </w:pPr>
      <w:r>
        <w:rPr>
          <w:spacing w:val="-5"/>
          <w:w w:val="105"/>
        </w:rPr>
        <w:t>29</w:t>
      </w:r>
    </w:p>
    <w:p>
      <w:pPr>
        <w:pStyle w:val="BodyText"/>
        <w:rPr>
          <w:sz w:val="20"/>
        </w:rPr>
      </w:pPr>
    </w:p>
    <w:p>
      <w:pPr>
        <w:pStyle w:val="BodyText"/>
        <w:spacing w:before="8"/>
        <w:rPr>
          <w:sz w:val="14"/>
        </w:rPr>
      </w:pPr>
      <w:r>
        <w:rPr/>
        <w:pict>
          <v:group style="position:absolute;margin-left:28.999998pt;margin-top:9.649233pt;width:555pt;height:1.4pt;mso-position-horizontal-relative:page;mso-position-vertical-relative:paragraph;z-index:-15700992;mso-wrap-distance-left:0;mso-wrap-distance-right:0" id="docshapegroup203" coordorigin="580,193" coordsize="11100,28">
            <v:rect style="position:absolute;left:580;top:192;width:11100;height:14" id="docshape204" filled="true" fillcolor="#999999" stroked="false">
              <v:fill type="solid"/>
            </v:rect>
            <v:shape style="position:absolute;left:579;top:193;width:11100;height:28" id="docshape205" coordorigin="580,193" coordsize="11100,28" path="m11680,193l11666,207,580,207,580,221,11666,221,11680,221,11680,207,11680,193xe" filled="true" fillcolor="#ededed" stroked="false">
              <v:path arrowok="t"/>
              <v:fill type="solid"/>
            </v:shape>
            <v:shape style="position:absolute;left:580;top:192;width:14;height:28" id="docshape206" coordorigin="580,193" coordsize="14,28" path="m580,221l580,193,594,193,594,207,580,221xe" filled="true" fillcolor="#999999" stroked="false">
              <v:path arrowok="t"/>
              <v:fill type="solid"/>
            </v:shape>
            <w10:wrap type="topAndBottom"/>
          </v:group>
        </w:pict>
      </w:r>
    </w:p>
    <w:p>
      <w:pPr>
        <w:spacing w:after="0"/>
        <w:rPr>
          <w:sz w:val="14"/>
        </w:rPr>
        <w:sectPr>
          <w:headerReference w:type="default" r:id="rId93"/>
          <w:footerReference w:type="default" r:id="rId94"/>
          <w:pgSz w:w="12240" w:h="15840"/>
          <w:pgMar w:header="529" w:footer="0" w:top="720" w:bottom="280" w:left="480" w:right="460"/>
        </w:sectPr>
      </w:pPr>
    </w:p>
    <w:p>
      <w:pPr>
        <w:pStyle w:val="BodyText"/>
        <w:rPr>
          <w:sz w:val="20"/>
        </w:rPr>
      </w:pPr>
    </w:p>
    <w:p>
      <w:pPr>
        <w:pStyle w:val="BodyText"/>
        <w:rPr>
          <w:sz w:val="20"/>
        </w:rPr>
      </w:pPr>
    </w:p>
    <w:p>
      <w:pPr>
        <w:pStyle w:val="BodyText"/>
        <w:spacing w:before="2"/>
        <w:rPr>
          <w:sz w:val="27"/>
        </w:rPr>
      </w:pPr>
    </w:p>
    <w:p>
      <w:pPr>
        <w:pStyle w:val="BodyText"/>
        <w:spacing w:line="249" w:lineRule="auto" w:before="98"/>
        <w:ind w:left="1400" w:right="1733"/>
      </w:pPr>
      <w:r>
        <w:rPr>
          <w:w w:val="105"/>
        </w:rPr>
        <w:t>process controls to prevent or detect misstatements in the existence, accuracy, and presentation and disclosure of inventory, specifically, ineffective controls related to the verification of inventory at third</w:t>
      </w:r>
      <w:r>
        <w:rPr>
          <w:spacing w:val="80"/>
          <w:w w:val="105"/>
        </w:rPr>
        <w:t> </w:t>
      </w:r>
      <w:r>
        <w:rPr>
          <w:w w:val="105"/>
        </w:rPr>
        <w:t>party vendor locations and the presentation and disclosure of inventory classification, and (iv) ineffective</w:t>
      </w:r>
      <w:r>
        <w:rPr>
          <w:spacing w:val="40"/>
          <w:w w:val="105"/>
        </w:rPr>
        <w:t> </w:t>
      </w:r>
      <w:r>
        <w:rPr>
          <w:w w:val="105"/>
        </w:rPr>
        <w:t>controls over the Company’s financial reporting close process to prevent or detect misstatements in the financial statements, including controls related to the elimination of intercompany balances and to ensure</w:t>
      </w:r>
      <w:r>
        <w:rPr>
          <w:spacing w:val="40"/>
          <w:w w:val="105"/>
        </w:rPr>
        <w:t> </w:t>
      </w:r>
      <w:r>
        <w:rPr>
          <w:w w:val="105"/>
        </w:rPr>
        <w:t>appropriate segregation of duties over the preparation and review of journal entries.</w:t>
      </w:r>
    </w:p>
    <w:p>
      <w:pPr>
        <w:pStyle w:val="BodyText"/>
        <w:spacing w:line="249" w:lineRule="auto" w:before="149"/>
        <w:ind w:left="1400" w:right="1505" w:firstLine="372"/>
      </w:pPr>
      <w:r>
        <w:rPr>
          <w:w w:val="105"/>
        </w:rPr>
        <w:t>The</w:t>
      </w:r>
      <w:r>
        <w:rPr>
          <w:spacing w:val="27"/>
          <w:w w:val="105"/>
        </w:rPr>
        <w:t> </w:t>
      </w:r>
      <w:r>
        <w:rPr>
          <w:w w:val="105"/>
        </w:rPr>
        <w:t>fiscal</w:t>
      </w:r>
      <w:r>
        <w:rPr>
          <w:spacing w:val="27"/>
          <w:w w:val="105"/>
        </w:rPr>
        <w:t> </w:t>
      </w:r>
      <w:r>
        <w:rPr>
          <w:w w:val="105"/>
        </w:rPr>
        <w:t>2019</w:t>
      </w:r>
      <w:r>
        <w:rPr>
          <w:spacing w:val="27"/>
          <w:w w:val="105"/>
        </w:rPr>
        <w:t> </w:t>
      </w:r>
      <w:r>
        <w:rPr>
          <w:w w:val="105"/>
        </w:rPr>
        <w:t>material</w:t>
      </w:r>
      <w:r>
        <w:rPr>
          <w:spacing w:val="27"/>
          <w:w w:val="105"/>
        </w:rPr>
        <w:t> </w:t>
      </w:r>
      <w:r>
        <w:rPr>
          <w:w w:val="105"/>
        </w:rPr>
        <w:t>weaknesses</w:t>
      </w:r>
      <w:r>
        <w:rPr>
          <w:spacing w:val="27"/>
          <w:w w:val="105"/>
        </w:rPr>
        <w:t> </w:t>
      </w:r>
      <w:r>
        <w:rPr>
          <w:w w:val="105"/>
        </w:rPr>
        <w:t>related</w:t>
      </w:r>
      <w:r>
        <w:rPr>
          <w:spacing w:val="27"/>
          <w:w w:val="105"/>
        </w:rPr>
        <w:t> </w:t>
      </w:r>
      <w:r>
        <w:rPr>
          <w:w w:val="105"/>
        </w:rPr>
        <w:t>to</w:t>
      </w:r>
      <w:r>
        <w:rPr>
          <w:spacing w:val="27"/>
          <w:w w:val="105"/>
        </w:rPr>
        <w:t> </w:t>
      </w:r>
      <w:r>
        <w:rPr>
          <w:w w:val="105"/>
        </w:rPr>
        <w:t>(i)</w:t>
      </w:r>
      <w:r>
        <w:rPr>
          <w:spacing w:val="27"/>
          <w:w w:val="105"/>
        </w:rPr>
        <w:t> </w:t>
      </w:r>
      <w:r>
        <w:rPr>
          <w:w w:val="105"/>
        </w:rPr>
        <w:t>ineffective</w:t>
      </w:r>
      <w:r>
        <w:rPr>
          <w:spacing w:val="27"/>
          <w:w w:val="105"/>
        </w:rPr>
        <w:t> </w:t>
      </w:r>
      <w:r>
        <w:rPr>
          <w:w w:val="105"/>
        </w:rPr>
        <w:t>controls</w:t>
      </w:r>
      <w:r>
        <w:rPr>
          <w:spacing w:val="27"/>
          <w:w w:val="105"/>
        </w:rPr>
        <w:t> </w:t>
      </w:r>
      <w:r>
        <w:rPr>
          <w:w w:val="105"/>
        </w:rPr>
        <w:t>related</w:t>
      </w:r>
      <w:r>
        <w:rPr>
          <w:spacing w:val="27"/>
          <w:w w:val="105"/>
        </w:rPr>
        <w:t> </w:t>
      </w:r>
      <w:r>
        <w:rPr>
          <w:w w:val="105"/>
        </w:rPr>
        <w:t>to</w:t>
      </w:r>
      <w:r>
        <w:rPr>
          <w:spacing w:val="27"/>
          <w:w w:val="105"/>
        </w:rPr>
        <w:t> </w:t>
      </w:r>
      <w:r>
        <w:rPr>
          <w:w w:val="105"/>
        </w:rPr>
        <w:t>accounting</w:t>
      </w:r>
      <w:r>
        <w:rPr>
          <w:spacing w:val="27"/>
          <w:w w:val="105"/>
        </w:rPr>
        <w:t> </w:t>
      </w:r>
      <w:r>
        <w:rPr>
          <w:w w:val="105"/>
        </w:rPr>
        <w:t>for</w:t>
      </w:r>
      <w:r>
        <w:rPr>
          <w:w w:val="105"/>
        </w:rPr>
        <w:t> revenue, deferred revenue and related accounts receivable, including maintaining effective business process</w:t>
      </w:r>
      <w:r>
        <w:rPr>
          <w:spacing w:val="40"/>
          <w:w w:val="105"/>
        </w:rPr>
        <w:t> </w:t>
      </w:r>
      <w:r>
        <w:rPr>
          <w:w w:val="105"/>
        </w:rPr>
        <w:t>controls to prevent or detect misstatements in the processing of customer transactions, and the effect of the</w:t>
      </w:r>
      <w:r>
        <w:rPr>
          <w:spacing w:val="40"/>
          <w:w w:val="105"/>
        </w:rPr>
        <w:t> </w:t>
      </w:r>
      <w:r>
        <w:rPr>
          <w:w w:val="105"/>
        </w:rPr>
        <w:t>adoption of and continuous accounting for Revenue from Contracts with Customers, (ii) ineffective controls</w:t>
      </w:r>
      <w:r>
        <w:rPr>
          <w:spacing w:val="40"/>
          <w:w w:val="105"/>
        </w:rPr>
        <w:t> </w:t>
      </w:r>
      <w:r>
        <w:rPr>
          <w:w w:val="105"/>
        </w:rPr>
        <w:t>related to accounting for inventory and cost of revenues, including maintaining effective business process</w:t>
      </w:r>
      <w:r>
        <w:rPr>
          <w:spacing w:val="40"/>
          <w:w w:val="105"/>
        </w:rPr>
        <w:t> </w:t>
      </w:r>
      <w:r>
        <w:rPr>
          <w:w w:val="105"/>
        </w:rPr>
        <w:t>controls</w:t>
      </w:r>
      <w:r>
        <w:rPr>
          <w:spacing w:val="26"/>
          <w:w w:val="105"/>
        </w:rPr>
        <w:t> </w:t>
      </w:r>
      <w:r>
        <w:rPr>
          <w:w w:val="105"/>
        </w:rPr>
        <w:t>to</w:t>
      </w:r>
      <w:r>
        <w:rPr>
          <w:spacing w:val="26"/>
          <w:w w:val="105"/>
        </w:rPr>
        <w:t> </w:t>
      </w:r>
      <w:r>
        <w:rPr>
          <w:w w:val="105"/>
        </w:rPr>
        <w:t>prevent</w:t>
      </w:r>
      <w:r>
        <w:rPr>
          <w:spacing w:val="26"/>
          <w:w w:val="105"/>
        </w:rPr>
        <w:t> </w:t>
      </w:r>
      <w:r>
        <w:rPr>
          <w:w w:val="105"/>
        </w:rPr>
        <w:t>or</w:t>
      </w:r>
      <w:r>
        <w:rPr>
          <w:spacing w:val="26"/>
          <w:w w:val="105"/>
        </w:rPr>
        <w:t> </w:t>
      </w:r>
      <w:r>
        <w:rPr>
          <w:w w:val="105"/>
        </w:rPr>
        <w:t>detect</w:t>
      </w:r>
      <w:r>
        <w:rPr>
          <w:spacing w:val="26"/>
          <w:w w:val="105"/>
        </w:rPr>
        <w:t> </w:t>
      </w:r>
      <w:r>
        <w:rPr>
          <w:w w:val="105"/>
        </w:rPr>
        <w:t>misstatements</w:t>
      </w:r>
      <w:r>
        <w:rPr>
          <w:spacing w:val="26"/>
          <w:w w:val="105"/>
        </w:rPr>
        <w:t> </w:t>
      </w:r>
      <w:r>
        <w:rPr>
          <w:w w:val="105"/>
        </w:rPr>
        <w:t>in</w:t>
      </w:r>
      <w:r>
        <w:rPr>
          <w:spacing w:val="26"/>
          <w:w w:val="105"/>
        </w:rPr>
        <w:t> </w:t>
      </w:r>
      <w:r>
        <w:rPr>
          <w:w w:val="105"/>
        </w:rPr>
        <w:t>the</w:t>
      </w:r>
      <w:r>
        <w:rPr>
          <w:spacing w:val="26"/>
          <w:w w:val="105"/>
        </w:rPr>
        <w:t> </w:t>
      </w:r>
      <w:r>
        <w:rPr>
          <w:w w:val="105"/>
        </w:rPr>
        <w:t>accuracy</w:t>
      </w:r>
      <w:r>
        <w:rPr>
          <w:spacing w:val="26"/>
          <w:w w:val="105"/>
        </w:rPr>
        <w:t> </w:t>
      </w:r>
      <w:r>
        <w:rPr>
          <w:w w:val="105"/>
        </w:rPr>
        <w:t>and</w:t>
      </w:r>
      <w:r>
        <w:rPr>
          <w:spacing w:val="26"/>
          <w:w w:val="105"/>
        </w:rPr>
        <w:t> </w:t>
      </w:r>
      <w:r>
        <w:rPr>
          <w:w w:val="105"/>
        </w:rPr>
        <w:t>valuation</w:t>
      </w:r>
      <w:r>
        <w:rPr>
          <w:spacing w:val="26"/>
          <w:w w:val="105"/>
        </w:rPr>
        <w:t> </w:t>
      </w:r>
      <w:r>
        <w:rPr>
          <w:w w:val="105"/>
        </w:rPr>
        <w:t>of</w:t>
      </w:r>
      <w:r>
        <w:rPr>
          <w:spacing w:val="26"/>
          <w:w w:val="105"/>
        </w:rPr>
        <w:t> </w:t>
      </w:r>
      <w:r>
        <w:rPr>
          <w:w w:val="105"/>
        </w:rPr>
        <w:t>inventory,</w:t>
      </w:r>
      <w:r>
        <w:rPr>
          <w:spacing w:val="26"/>
          <w:w w:val="105"/>
        </w:rPr>
        <w:t> </w:t>
      </w:r>
      <w:r>
        <w:rPr>
          <w:w w:val="105"/>
        </w:rPr>
        <w:t>specifically, ineffective controls related to inventory count procedures and the valuation of inventory at lower of cost and</w:t>
      </w:r>
      <w:r>
        <w:rPr>
          <w:spacing w:val="80"/>
          <w:w w:val="105"/>
        </w:rPr>
        <w:t> </w:t>
      </w:r>
      <w:r>
        <w:rPr>
          <w:w w:val="105"/>
        </w:rPr>
        <w:t>net realizable value, and (iii) ineffective controls over the Company’s financial reporting close process to</w:t>
      </w:r>
      <w:r>
        <w:rPr>
          <w:spacing w:val="40"/>
          <w:w w:val="105"/>
        </w:rPr>
        <w:t> </w:t>
      </w:r>
      <w:r>
        <w:rPr>
          <w:w w:val="105"/>
        </w:rPr>
        <w:t>prevent or detect misstatements in the financial statements, including ineffective business performance</w:t>
      </w:r>
      <w:r>
        <w:rPr>
          <w:spacing w:val="40"/>
          <w:w w:val="105"/>
        </w:rPr>
        <w:t> </w:t>
      </w:r>
      <w:r>
        <w:rPr>
          <w:w w:val="105"/>
        </w:rPr>
        <w:t>monitoring</w:t>
      </w:r>
      <w:r>
        <w:rPr>
          <w:spacing w:val="30"/>
          <w:w w:val="105"/>
        </w:rPr>
        <w:t> </w:t>
      </w:r>
      <w:r>
        <w:rPr>
          <w:w w:val="105"/>
        </w:rPr>
        <w:t>review</w:t>
      </w:r>
      <w:r>
        <w:rPr>
          <w:spacing w:val="30"/>
          <w:w w:val="105"/>
        </w:rPr>
        <w:t> </w:t>
      </w:r>
      <w:r>
        <w:rPr>
          <w:w w:val="105"/>
        </w:rPr>
        <w:t>control</w:t>
      </w:r>
      <w:r>
        <w:rPr>
          <w:spacing w:val="30"/>
          <w:w w:val="105"/>
        </w:rPr>
        <w:t> </w:t>
      </w:r>
      <w:r>
        <w:rPr>
          <w:w w:val="105"/>
        </w:rPr>
        <w:t>over</w:t>
      </w:r>
      <w:r>
        <w:rPr>
          <w:spacing w:val="30"/>
          <w:w w:val="105"/>
        </w:rPr>
        <w:t> </w:t>
      </w:r>
      <w:r>
        <w:rPr>
          <w:w w:val="105"/>
        </w:rPr>
        <w:t>the</w:t>
      </w:r>
      <w:r>
        <w:rPr>
          <w:spacing w:val="30"/>
          <w:w w:val="105"/>
        </w:rPr>
        <w:t> </w:t>
      </w:r>
      <w:r>
        <w:rPr>
          <w:w w:val="105"/>
        </w:rPr>
        <w:t>Company’s</w:t>
      </w:r>
      <w:r>
        <w:rPr>
          <w:spacing w:val="30"/>
          <w:w w:val="105"/>
        </w:rPr>
        <w:t> </w:t>
      </w:r>
      <w:r>
        <w:rPr>
          <w:w w:val="105"/>
        </w:rPr>
        <w:t>international</w:t>
      </w:r>
      <w:r>
        <w:rPr>
          <w:spacing w:val="30"/>
          <w:w w:val="105"/>
        </w:rPr>
        <w:t> </w:t>
      </w:r>
      <w:r>
        <w:rPr>
          <w:w w:val="105"/>
        </w:rPr>
        <w:t>entities,</w:t>
      </w:r>
      <w:r>
        <w:rPr>
          <w:spacing w:val="30"/>
          <w:w w:val="105"/>
        </w:rPr>
        <w:t> </w:t>
      </w:r>
      <w:r>
        <w:rPr>
          <w:w w:val="105"/>
        </w:rPr>
        <w:t>ineffective</w:t>
      </w:r>
      <w:r>
        <w:rPr>
          <w:spacing w:val="30"/>
          <w:w w:val="105"/>
        </w:rPr>
        <w:t> </w:t>
      </w:r>
      <w:r>
        <w:rPr>
          <w:w w:val="105"/>
        </w:rPr>
        <w:t>controls</w:t>
      </w:r>
      <w:r>
        <w:rPr>
          <w:spacing w:val="30"/>
          <w:w w:val="105"/>
        </w:rPr>
        <w:t> </w:t>
      </w:r>
      <w:r>
        <w:rPr>
          <w:w w:val="105"/>
        </w:rPr>
        <w:t>to</w:t>
      </w:r>
      <w:r>
        <w:rPr>
          <w:spacing w:val="30"/>
          <w:w w:val="105"/>
        </w:rPr>
        <w:t> </w:t>
      </w:r>
      <w:r>
        <w:rPr>
          <w:w w:val="105"/>
        </w:rPr>
        <w:t>identify</w:t>
      </w:r>
      <w:r>
        <w:rPr>
          <w:spacing w:val="30"/>
          <w:w w:val="105"/>
        </w:rPr>
        <w:t> </w:t>
      </w:r>
      <w:r>
        <w:rPr>
          <w:w w:val="105"/>
        </w:rPr>
        <w:t>post- close events which occur before the financial statements are available to be issued, and ineffective controls</w:t>
      </w:r>
      <w:r>
        <w:rPr>
          <w:spacing w:val="80"/>
          <w:w w:val="105"/>
        </w:rPr>
        <w:t> </w:t>
      </w:r>
      <w:r>
        <w:rPr>
          <w:w w:val="105"/>
        </w:rPr>
        <w:t>over</w:t>
      </w:r>
      <w:r>
        <w:rPr>
          <w:spacing w:val="19"/>
          <w:w w:val="105"/>
        </w:rPr>
        <w:t> </w:t>
      </w:r>
      <w:r>
        <w:rPr>
          <w:w w:val="105"/>
        </w:rPr>
        <w:t>the</w:t>
      </w:r>
      <w:r>
        <w:rPr>
          <w:spacing w:val="19"/>
          <w:w w:val="105"/>
        </w:rPr>
        <w:t> </w:t>
      </w:r>
      <w:r>
        <w:rPr>
          <w:w w:val="105"/>
        </w:rPr>
        <w:t>review</w:t>
      </w:r>
      <w:r>
        <w:rPr>
          <w:spacing w:val="19"/>
          <w:w w:val="105"/>
        </w:rPr>
        <w:t> </w:t>
      </w:r>
      <w:r>
        <w:rPr>
          <w:w w:val="105"/>
        </w:rPr>
        <w:t>of</w:t>
      </w:r>
      <w:r>
        <w:rPr>
          <w:spacing w:val="19"/>
          <w:w w:val="105"/>
        </w:rPr>
        <w:t> </w:t>
      </w:r>
      <w:r>
        <w:rPr>
          <w:w w:val="105"/>
        </w:rPr>
        <w:t>the</w:t>
      </w:r>
      <w:r>
        <w:rPr>
          <w:spacing w:val="19"/>
          <w:w w:val="105"/>
        </w:rPr>
        <w:t> </w:t>
      </w:r>
      <w:r>
        <w:rPr>
          <w:w w:val="105"/>
        </w:rPr>
        <w:t>statement</w:t>
      </w:r>
      <w:r>
        <w:rPr>
          <w:spacing w:val="19"/>
          <w:w w:val="105"/>
        </w:rPr>
        <w:t> </w:t>
      </w:r>
      <w:r>
        <w:rPr>
          <w:w w:val="105"/>
        </w:rPr>
        <w:t>of</w:t>
      </w:r>
      <w:r>
        <w:rPr>
          <w:spacing w:val="19"/>
          <w:w w:val="105"/>
        </w:rPr>
        <w:t> </w:t>
      </w:r>
      <w:r>
        <w:rPr>
          <w:w w:val="105"/>
        </w:rPr>
        <w:t>cash</w:t>
      </w:r>
      <w:r>
        <w:rPr>
          <w:spacing w:val="19"/>
          <w:w w:val="105"/>
        </w:rPr>
        <w:t> </w:t>
      </w:r>
      <w:r>
        <w:rPr>
          <w:w w:val="105"/>
        </w:rPr>
        <w:t>flows</w:t>
      </w:r>
      <w:r>
        <w:rPr>
          <w:spacing w:val="19"/>
          <w:w w:val="105"/>
        </w:rPr>
        <w:t> </w:t>
      </w:r>
      <w:r>
        <w:rPr>
          <w:w w:val="105"/>
        </w:rPr>
        <w:t>have</w:t>
      </w:r>
      <w:r>
        <w:rPr>
          <w:spacing w:val="19"/>
          <w:w w:val="105"/>
        </w:rPr>
        <w:t> </w:t>
      </w:r>
      <w:r>
        <w:rPr>
          <w:w w:val="105"/>
        </w:rPr>
        <w:t>been</w:t>
      </w:r>
      <w:r>
        <w:rPr>
          <w:spacing w:val="19"/>
          <w:w w:val="105"/>
        </w:rPr>
        <w:t> </w:t>
      </w:r>
      <w:r>
        <w:rPr>
          <w:w w:val="105"/>
        </w:rPr>
        <w:t>remediated. As</w:t>
      </w:r>
      <w:r>
        <w:rPr>
          <w:spacing w:val="19"/>
          <w:w w:val="105"/>
        </w:rPr>
        <w:t> </w:t>
      </w:r>
      <w:r>
        <w:rPr>
          <w:w w:val="105"/>
        </w:rPr>
        <w:t>of</w:t>
      </w:r>
      <w:r>
        <w:rPr>
          <w:spacing w:val="19"/>
          <w:w w:val="105"/>
        </w:rPr>
        <w:t> </w:t>
      </w:r>
      <w:r>
        <w:rPr>
          <w:w w:val="105"/>
        </w:rPr>
        <w:t>the</w:t>
      </w:r>
      <w:r>
        <w:rPr>
          <w:spacing w:val="19"/>
          <w:w w:val="105"/>
        </w:rPr>
        <w:t> </w:t>
      </w:r>
      <w:r>
        <w:rPr>
          <w:w w:val="105"/>
        </w:rPr>
        <w:t>date</w:t>
      </w:r>
      <w:r>
        <w:rPr>
          <w:spacing w:val="19"/>
          <w:w w:val="105"/>
        </w:rPr>
        <w:t> </w:t>
      </w:r>
      <w:r>
        <w:rPr>
          <w:w w:val="105"/>
        </w:rPr>
        <w:t>of</w:t>
      </w:r>
      <w:r>
        <w:rPr>
          <w:spacing w:val="19"/>
          <w:w w:val="105"/>
        </w:rPr>
        <w:t> </w:t>
      </w:r>
      <w:r>
        <w:rPr>
          <w:w w:val="105"/>
        </w:rPr>
        <w:t>the</w:t>
      </w:r>
      <w:r>
        <w:rPr>
          <w:spacing w:val="19"/>
          <w:w w:val="105"/>
        </w:rPr>
        <w:t> </w:t>
      </w:r>
      <w:r>
        <w:rPr>
          <w:w w:val="105"/>
        </w:rPr>
        <w:t>Change</w:t>
      </w:r>
      <w:r>
        <w:rPr>
          <w:spacing w:val="19"/>
          <w:w w:val="105"/>
        </w:rPr>
        <w:t> </w:t>
      </w:r>
      <w:r>
        <w:rPr>
          <w:w w:val="105"/>
        </w:rPr>
        <w:t>in Auditor 8-K, the remaining fiscal 2019 and fiscal 2020 material weaknesses were unremediated. The subject</w:t>
      </w:r>
      <w:r>
        <w:rPr>
          <w:spacing w:val="40"/>
          <w:w w:val="105"/>
        </w:rPr>
        <w:t> </w:t>
      </w:r>
      <w:r>
        <w:rPr>
          <w:w w:val="105"/>
        </w:rPr>
        <w:t>matter of these reportable events was discussed by the Audit Committee with PwC. The Company has authorized PwC to respond fully to the inquiries of the Company’s newly appointed independent registered public accounting firm concerning the subject matter of the above-described reportable events.</w:t>
      </w:r>
    </w:p>
    <w:p>
      <w:pPr>
        <w:pStyle w:val="BodyText"/>
        <w:spacing w:line="252" w:lineRule="auto" w:before="134"/>
        <w:ind w:left="1400" w:right="1411" w:firstLine="372"/>
      </w:pPr>
      <w:r>
        <w:rPr>
          <w:w w:val="105"/>
        </w:rPr>
        <w:t>During</w:t>
      </w:r>
      <w:r>
        <w:rPr>
          <w:spacing w:val="15"/>
          <w:w w:val="105"/>
        </w:rPr>
        <w:t> </w:t>
      </w:r>
      <w:r>
        <w:rPr>
          <w:w w:val="105"/>
        </w:rPr>
        <w:t>fiscal</w:t>
      </w:r>
      <w:r>
        <w:rPr>
          <w:spacing w:val="15"/>
          <w:w w:val="105"/>
        </w:rPr>
        <w:t> </w:t>
      </w:r>
      <w:r>
        <w:rPr>
          <w:w w:val="105"/>
        </w:rPr>
        <w:t>year</w:t>
      </w:r>
      <w:r>
        <w:rPr>
          <w:spacing w:val="15"/>
          <w:w w:val="105"/>
        </w:rPr>
        <w:t> </w:t>
      </w:r>
      <w:r>
        <w:rPr>
          <w:w w:val="105"/>
        </w:rPr>
        <w:t>2019</w:t>
      </w:r>
      <w:r>
        <w:rPr>
          <w:spacing w:val="15"/>
          <w:w w:val="105"/>
        </w:rPr>
        <w:t> </w:t>
      </w:r>
      <w:r>
        <w:rPr>
          <w:w w:val="105"/>
        </w:rPr>
        <w:t>and</w:t>
      </w:r>
      <w:r>
        <w:rPr>
          <w:spacing w:val="15"/>
          <w:w w:val="105"/>
        </w:rPr>
        <w:t> </w:t>
      </w:r>
      <w:r>
        <w:rPr>
          <w:w w:val="105"/>
        </w:rPr>
        <w:t>fiscal</w:t>
      </w:r>
      <w:r>
        <w:rPr>
          <w:spacing w:val="15"/>
          <w:w w:val="105"/>
        </w:rPr>
        <w:t> </w:t>
      </w:r>
      <w:r>
        <w:rPr>
          <w:w w:val="105"/>
        </w:rPr>
        <w:t>year</w:t>
      </w:r>
      <w:r>
        <w:rPr>
          <w:spacing w:val="15"/>
          <w:w w:val="105"/>
        </w:rPr>
        <w:t> </w:t>
      </w:r>
      <w:r>
        <w:rPr>
          <w:w w:val="105"/>
        </w:rPr>
        <w:t>2020,</w:t>
      </w:r>
      <w:r>
        <w:rPr>
          <w:spacing w:val="15"/>
          <w:w w:val="105"/>
        </w:rPr>
        <w:t> </w:t>
      </w:r>
      <w:r>
        <w:rPr>
          <w:w w:val="105"/>
        </w:rPr>
        <w:t>and</w:t>
      </w:r>
      <w:r>
        <w:rPr>
          <w:spacing w:val="15"/>
          <w:w w:val="105"/>
        </w:rPr>
        <w:t> </w:t>
      </w:r>
      <w:r>
        <w:rPr>
          <w:w w:val="105"/>
        </w:rPr>
        <w:t>the</w:t>
      </w:r>
      <w:r>
        <w:rPr>
          <w:spacing w:val="15"/>
          <w:w w:val="105"/>
        </w:rPr>
        <w:t> </w:t>
      </w:r>
      <w:r>
        <w:rPr>
          <w:w w:val="105"/>
        </w:rPr>
        <w:t>subsequent</w:t>
      </w:r>
      <w:r>
        <w:rPr>
          <w:spacing w:val="15"/>
          <w:w w:val="105"/>
        </w:rPr>
        <w:t> </w:t>
      </w:r>
      <w:r>
        <w:rPr>
          <w:w w:val="105"/>
        </w:rPr>
        <w:t>interim</w:t>
      </w:r>
      <w:r>
        <w:rPr>
          <w:spacing w:val="15"/>
          <w:w w:val="105"/>
        </w:rPr>
        <w:t> </w:t>
      </w:r>
      <w:r>
        <w:rPr>
          <w:w w:val="105"/>
        </w:rPr>
        <w:t>period</w:t>
      </w:r>
      <w:r>
        <w:rPr>
          <w:spacing w:val="15"/>
          <w:w w:val="105"/>
        </w:rPr>
        <w:t> </w:t>
      </w:r>
      <w:r>
        <w:rPr>
          <w:w w:val="105"/>
        </w:rPr>
        <w:t>preceding</w:t>
      </w:r>
      <w:r>
        <w:rPr>
          <w:spacing w:val="15"/>
          <w:w w:val="105"/>
        </w:rPr>
        <w:t> </w:t>
      </w:r>
      <w:r>
        <w:rPr>
          <w:w w:val="105"/>
        </w:rPr>
        <w:t>the</w:t>
      </w:r>
      <w:r>
        <w:rPr>
          <w:spacing w:val="15"/>
          <w:w w:val="105"/>
        </w:rPr>
        <w:t> </w:t>
      </w:r>
      <w:r>
        <w:rPr>
          <w:w w:val="105"/>
        </w:rPr>
        <w:t>dismissal of PwC, neither the Company nor anyone acting on its behalf consulted with Deloitte regarding any of the</w:t>
      </w:r>
      <w:r>
        <w:rPr>
          <w:spacing w:val="40"/>
          <w:w w:val="105"/>
        </w:rPr>
        <w:t> </w:t>
      </w:r>
      <w:r>
        <w:rPr>
          <w:w w:val="105"/>
        </w:rPr>
        <w:t>matters described in Items 304(a)(2)(i) and (ii) of Regulation S-K.</w:t>
      </w:r>
    </w:p>
    <w:p>
      <w:pPr>
        <w:pStyle w:val="BodyText"/>
        <w:spacing w:before="8"/>
      </w:pPr>
    </w:p>
    <w:p>
      <w:pPr>
        <w:pStyle w:val="Heading2"/>
      </w:pPr>
      <w:r>
        <w:rPr>
          <w:spacing w:val="-2"/>
        </w:rPr>
        <w:t>Remediation</w:t>
      </w:r>
      <w:r>
        <w:rPr>
          <w:spacing w:val="1"/>
        </w:rPr>
        <w:t> </w:t>
      </w:r>
      <w:r>
        <w:rPr>
          <w:spacing w:val="-2"/>
        </w:rPr>
        <w:t>Efforts</w:t>
      </w:r>
      <w:r>
        <w:rPr>
          <w:spacing w:val="1"/>
        </w:rPr>
        <w:t> </w:t>
      </w:r>
      <w:r>
        <w:rPr>
          <w:spacing w:val="-2"/>
        </w:rPr>
        <w:t>of</w:t>
      </w:r>
      <w:r>
        <w:rPr>
          <w:spacing w:val="1"/>
        </w:rPr>
        <w:t> </w:t>
      </w:r>
      <w:r>
        <w:rPr>
          <w:spacing w:val="-2"/>
        </w:rPr>
        <w:t>Previously</w:t>
      </w:r>
      <w:r>
        <w:rPr>
          <w:spacing w:val="1"/>
        </w:rPr>
        <w:t> </w:t>
      </w:r>
      <w:r>
        <w:rPr>
          <w:spacing w:val="-2"/>
        </w:rPr>
        <w:t>Disclosed</w:t>
      </w:r>
      <w:r>
        <w:rPr>
          <w:spacing w:val="1"/>
        </w:rPr>
        <w:t> </w:t>
      </w:r>
      <w:r>
        <w:rPr>
          <w:spacing w:val="-2"/>
        </w:rPr>
        <w:t>Material</w:t>
      </w:r>
      <w:r>
        <w:rPr>
          <w:spacing w:val="-3"/>
        </w:rPr>
        <w:t> </w:t>
      </w:r>
      <w:r>
        <w:rPr>
          <w:spacing w:val="-2"/>
        </w:rPr>
        <w:t>Weaknesses</w:t>
      </w:r>
    </w:p>
    <w:p>
      <w:pPr>
        <w:pStyle w:val="BodyText"/>
        <w:spacing w:line="252" w:lineRule="auto" w:before="157"/>
        <w:ind w:left="1400" w:right="1680" w:firstLine="372"/>
      </w:pPr>
      <w:r>
        <w:rPr>
          <w:w w:val="105"/>
        </w:rPr>
        <w:t>Subsequent to the evaluation made in connection with filing our Annual Report on Form 10-K for the year ended October 2, 2020, management, with the oversight of the Audit Committee of the Board of Directors, continued the process of remediating the material weaknesses. During the fiscal year ended</w:t>
      </w:r>
      <w:r>
        <w:rPr>
          <w:spacing w:val="40"/>
          <w:w w:val="105"/>
        </w:rPr>
        <w:t> </w:t>
      </w:r>
      <w:r>
        <w:rPr>
          <w:w w:val="105"/>
        </w:rPr>
        <w:t>October 1, 2021 (“</w:t>
      </w:r>
      <w:r>
        <w:rPr>
          <w:b/>
          <w:w w:val="105"/>
        </w:rPr>
        <w:t>fiscal year</w:t>
      </w:r>
      <w:r>
        <w:rPr>
          <w:b/>
          <w:spacing w:val="-4"/>
          <w:w w:val="105"/>
        </w:rPr>
        <w:t> </w:t>
      </w:r>
      <w:r>
        <w:rPr>
          <w:b/>
          <w:w w:val="105"/>
        </w:rPr>
        <w:t>2021</w:t>
      </w:r>
      <w:r>
        <w:rPr>
          <w:w w:val="105"/>
        </w:rPr>
        <w:t>”), we completed our plans to remediate these material weaknesses by undertaking the following actions:</w:t>
      </w:r>
    </w:p>
    <w:p>
      <w:pPr>
        <w:pStyle w:val="ListParagraph"/>
        <w:numPr>
          <w:ilvl w:val="0"/>
          <w:numId w:val="21"/>
        </w:numPr>
        <w:tabs>
          <w:tab w:pos="1960" w:val="left" w:leader="none"/>
        </w:tabs>
        <w:spacing w:line="259" w:lineRule="auto" w:before="87" w:after="0"/>
        <w:ind w:left="1959" w:right="1580" w:hanging="187"/>
        <w:jc w:val="left"/>
        <w:rPr>
          <w:sz w:val="18"/>
        </w:rPr>
      </w:pPr>
      <w:r>
        <w:rPr>
          <w:w w:val="105"/>
          <w:sz w:val="18"/>
        </w:rPr>
        <w:t>We invested significantly in the quality of our accounting talent including management, technical, process</w:t>
      </w:r>
      <w:r>
        <w:rPr>
          <w:spacing w:val="33"/>
          <w:w w:val="105"/>
          <w:sz w:val="18"/>
        </w:rPr>
        <w:t> </w:t>
      </w:r>
      <w:r>
        <w:rPr>
          <w:w w:val="105"/>
          <w:sz w:val="18"/>
        </w:rPr>
        <w:t>improvement</w:t>
      </w:r>
      <w:r>
        <w:rPr>
          <w:spacing w:val="33"/>
          <w:w w:val="105"/>
          <w:sz w:val="18"/>
        </w:rPr>
        <w:t> </w:t>
      </w:r>
      <w:r>
        <w:rPr>
          <w:w w:val="105"/>
          <w:sz w:val="18"/>
        </w:rPr>
        <w:t>and</w:t>
      </w:r>
      <w:r>
        <w:rPr>
          <w:spacing w:val="33"/>
          <w:w w:val="105"/>
          <w:sz w:val="18"/>
        </w:rPr>
        <w:t> </w:t>
      </w:r>
      <w:r>
        <w:rPr>
          <w:w w:val="105"/>
          <w:sz w:val="18"/>
        </w:rPr>
        <w:t>financial</w:t>
      </w:r>
      <w:r>
        <w:rPr>
          <w:spacing w:val="33"/>
          <w:w w:val="105"/>
          <w:sz w:val="18"/>
        </w:rPr>
        <w:t> </w:t>
      </w:r>
      <w:r>
        <w:rPr>
          <w:w w:val="105"/>
          <w:sz w:val="18"/>
        </w:rPr>
        <w:t>system</w:t>
      </w:r>
      <w:r>
        <w:rPr>
          <w:spacing w:val="33"/>
          <w:w w:val="105"/>
          <w:sz w:val="18"/>
        </w:rPr>
        <w:t> </w:t>
      </w:r>
      <w:r>
        <w:rPr>
          <w:w w:val="105"/>
          <w:sz w:val="18"/>
        </w:rPr>
        <w:t>roles. Additionally,</w:t>
      </w:r>
      <w:r>
        <w:rPr>
          <w:spacing w:val="33"/>
          <w:w w:val="105"/>
          <w:sz w:val="18"/>
        </w:rPr>
        <w:t> </w:t>
      </w:r>
      <w:r>
        <w:rPr>
          <w:w w:val="105"/>
          <w:sz w:val="18"/>
        </w:rPr>
        <w:t>we</w:t>
      </w:r>
      <w:r>
        <w:rPr>
          <w:spacing w:val="33"/>
          <w:w w:val="105"/>
          <w:sz w:val="18"/>
        </w:rPr>
        <w:t> </w:t>
      </w:r>
      <w:r>
        <w:rPr>
          <w:w w:val="105"/>
          <w:sz w:val="18"/>
        </w:rPr>
        <w:t>implemented</w:t>
      </w:r>
      <w:r>
        <w:rPr>
          <w:spacing w:val="33"/>
          <w:w w:val="105"/>
          <w:sz w:val="18"/>
        </w:rPr>
        <w:t> </w:t>
      </w:r>
      <w:r>
        <w:rPr>
          <w:w w:val="105"/>
          <w:sz w:val="18"/>
        </w:rPr>
        <w:t>programs</w:t>
      </w:r>
      <w:r>
        <w:rPr>
          <w:spacing w:val="33"/>
          <w:w w:val="105"/>
          <w:sz w:val="18"/>
        </w:rPr>
        <w:t> </w:t>
      </w:r>
      <w:r>
        <w:rPr>
          <w:w w:val="105"/>
          <w:sz w:val="18"/>
        </w:rPr>
        <w:t>to: improve our talent acquisition and retention platforms; enhance technical, transactional and control</w:t>
      </w:r>
      <w:r>
        <w:rPr>
          <w:spacing w:val="40"/>
          <w:w w:val="105"/>
          <w:sz w:val="18"/>
        </w:rPr>
        <w:t> </w:t>
      </w:r>
      <w:r>
        <w:rPr>
          <w:w w:val="105"/>
          <w:sz w:val="18"/>
        </w:rPr>
        <w:t>knowledge of our accounting teams; and create a culture of accountability and control. These programs have significantly improved the stability of our global accounting organization.</w:t>
      </w:r>
    </w:p>
    <w:p>
      <w:pPr>
        <w:pStyle w:val="ListParagraph"/>
        <w:numPr>
          <w:ilvl w:val="0"/>
          <w:numId w:val="21"/>
        </w:numPr>
        <w:tabs>
          <w:tab w:pos="1960" w:val="left" w:leader="none"/>
        </w:tabs>
        <w:spacing w:line="259" w:lineRule="auto" w:before="113" w:after="0"/>
        <w:ind w:left="1959" w:right="1600" w:hanging="187"/>
        <w:jc w:val="left"/>
        <w:rPr>
          <w:sz w:val="18"/>
        </w:rPr>
      </w:pPr>
      <w:r>
        <w:rPr>
          <w:w w:val="105"/>
          <w:sz w:val="18"/>
        </w:rPr>
        <w:t>We completed a gap analysis of our key controls. In completing this analysis, we identified areas where new controls were necessary and enhancements to existing controls, policies and procedures needed to be made.</w:t>
      </w:r>
    </w:p>
    <w:p>
      <w:pPr>
        <w:pStyle w:val="ListParagraph"/>
        <w:numPr>
          <w:ilvl w:val="0"/>
          <w:numId w:val="21"/>
        </w:numPr>
        <w:tabs>
          <w:tab w:pos="1960" w:val="left" w:leader="none"/>
        </w:tabs>
        <w:spacing w:line="259" w:lineRule="auto" w:before="98" w:after="0"/>
        <w:ind w:left="1959" w:right="1912" w:hanging="187"/>
        <w:jc w:val="left"/>
        <w:rPr>
          <w:sz w:val="18"/>
        </w:rPr>
      </w:pPr>
      <w:r>
        <w:rPr>
          <w:w w:val="105"/>
          <w:sz w:val="18"/>
        </w:rPr>
        <w:t>We implemented or enhanced controls in the inventory business process over (i) verification of inventory at third party vendor locations and (ii) presentation and disclosure of inventory </w:t>
      </w:r>
      <w:r>
        <w:rPr>
          <w:spacing w:val="-2"/>
          <w:w w:val="105"/>
          <w:sz w:val="18"/>
        </w:rPr>
        <w:t>classification.</w:t>
      </w:r>
    </w:p>
    <w:p>
      <w:pPr>
        <w:pStyle w:val="ListParagraph"/>
        <w:numPr>
          <w:ilvl w:val="0"/>
          <w:numId w:val="21"/>
        </w:numPr>
        <w:tabs>
          <w:tab w:pos="1960" w:val="left" w:leader="none"/>
        </w:tabs>
        <w:spacing w:line="259" w:lineRule="auto" w:before="112" w:after="0"/>
        <w:ind w:left="1959" w:right="1578" w:hanging="187"/>
        <w:jc w:val="left"/>
        <w:rPr>
          <w:sz w:val="18"/>
        </w:rPr>
      </w:pPr>
      <w:r>
        <w:rPr>
          <w:w w:val="105"/>
          <w:sz w:val="18"/>
        </w:rPr>
        <w:t>We implemented or enhanced controls in the financial reporting close process over (i) journal entry posting rights and responsibilities, (ii) appropriate level of segregation of duties and</w:t>
      </w:r>
    </w:p>
    <w:p>
      <w:pPr>
        <w:pStyle w:val="BodyText"/>
        <w:spacing w:before="1"/>
        <w:ind w:left="1959"/>
      </w:pPr>
      <w:r>
        <w:rPr>
          <w:w w:val="105"/>
        </w:rPr>
        <w:t>(iii)</w:t>
      </w:r>
      <w:r>
        <w:rPr>
          <w:spacing w:val="15"/>
          <w:w w:val="105"/>
        </w:rPr>
        <w:t> </w:t>
      </w:r>
      <w:r>
        <w:rPr>
          <w:w w:val="105"/>
        </w:rPr>
        <w:t>completeness,</w:t>
      </w:r>
      <w:r>
        <w:rPr>
          <w:spacing w:val="15"/>
          <w:w w:val="105"/>
        </w:rPr>
        <w:t> </w:t>
      </w:r>
      <w:r>
        <w:rPr>
          <w:w w:val="105"/>
        </w:rPr>
        <w:t>accuracy</w:t>
      </w:r>
      <w:r>
        <w:rPr>
          <w:spacing w:val="15"/>
          <w:w w:val="105"/>
        </w:rPr>
        <w:t> </w:t>
      </w:r>
      <w:r>
        <w:rPr>
          <w:w w:val="105"/>
        </w:rPr>
        <w:t>and</w:t>
      </w:r>
      <w:r>
        <w:rPr>
          <w:spacing w:val="15"/>
          <w:w w:val="105"/>
        </w:rPr>
        <w:t> </w:t>
      </w:r>
      <w:r>
        <w:rPr>
          <w:w w:val="105"/>
        </w:rPr>
        <w:t>elimination</w:t>
      </w:r>
      <w:r>
        <w:rPr>
          <w:spacing w:val="15"/>
          <w:w w:val="105"/>
        </w:rPr>
        <w:t> </w:t>
      </w:r>
      <w:r>
        <w:rPr>
          <w:w w:val="105"/>
        </w:rPr>
        <w:t>of</w:t>
      </w:r>
      <w:r>
        <w:rPr>
          <w:spacing w:val="15"/>
          <w:w w:val="105"/>
        </w:rPr>
        <w:t> </w:t>
      </w:r>
      <w:r>
        <w:rPr>
          <w:w w:val="105"/>
        </w:rPr>
        <w:t>intercompany</w:t>
      </w:r>
      <w:r>
        <w:rPr>
          <w:spacing w:val="15"/>
          <w:w w:val="105"/>
        </w:rPr>
        <w:t> </w:t>
      </w:r>
      <w:r>
        <w:rPr>
          <w:spacing w:val="-2"/>
          <w:w w:val="105"/>
        </w:rPr>
        <w:t>balances.</w:t>
      </w:r>
    </w:p>
    <w:p>
      <w:pPr>
        <w:pStyle w:val="BodyText"/>
        <w:spacing w:line="252" w:lineRule="auto" w:before="156"/>
        <w:ind w:left="1400" w:right="1551" w:firstLine="372"/>
      </w:pPr>
      <w:r>
        <w:rPr>
          <w:w w:val="105"/>
        </w:rPr>
        <w:t>As</w:t>
      </w:r>
      <w:r>
        <w:rPr>
          <w:spacing w:val="24"/>
          <w:w w:val="105"/>
        </w:rPr>
        <w:t> </w:t>
      </w:r>
      <w:r>
        <w:rPr>
          <w:w w:val="105"/>
        </w:rPr>
        <w:t>a</w:t>
      </w:r>
      <w:r>
        <w:rPr>
          <w:spacing w:val="24"/>
          <w:w w:val="105"/>
        </w:rPr>
        <w:t> </w:t>
      </w:r>
      <w:r>
        <w:rPr>
          <w:w w:val="105"/>
        </w:rPr>
        <w:t>result</w:t>
      </w:r>
      <w:r>
        <w:rPr>
          <w:spacing w:val="24"/>
          <w:w w:val="105"/>
        </w:rPr>
        <w:t> </w:t>
      </w:r>
      <w:r>
        <w:rPr>
          <w:w w:val="105"/>
        </w:rPr>
        <w:t>of</w:t>
      </w:r>
      <w:r>
        <w:rPr>
          <w:spacing w:val="24"/>
          <w:w w:val="105"/>
        </w:rPr>
        <w:t> </w:t>
      </w:r>
      <w:r>
        <w:rPr>
          <w:w w:val="105"/>
        </w:rPr>
        <w:t>these</w:t>
      </w:r>
      <w:r>
        <w:rPr>
          <w:spacing w:val="24"/>
          <w:w w:val="105"/>
        </w:rPr>
        <w:t> </w:t>
      </w:r>
      <w:r>
        <w:rPr>
          <w:w w:val="105"/>
        </w:rPr>
        <w:t>remediation</w:t>
      </w:r>
      <w:r>
        <w:rPr>
          <w:spacing w:val="24"/>
          <w:w w:val="105"/>
        </w:rPr>
        <w:t> </w:t>
      </w:r>
      <w:r>
        <w:rPr>
          <w:w w:val="105"/>
        </w:rPr>
        <w:t>activities</w:t>
      </w:r>
      <w:r>
        <w:rPr>
          <w:spacing w:val="24"/>
          <w:w w:val="105"/>
        </w:rPr>
        <w:t> </w:t>
      </w:r>
      <w:r>
        <w:rPr>
          <w:w w:val="105"/>
        </w:rPr>
        <w:t>and</w:t>
      </w:r>
      <w:r>
        <w:rPr>
          <w:spacing w:val="24"/>
          <w:w w:val="105"/>
        </w:rPr>
        <w:t> </w:t>
      </w:r>
      <w:r>
        <w:rPr>
          <w:w w:val="105"/>
        </w:rPr>
        <w:t>based</w:t>
      </w:r>
      <w:r>
        <w:rPr>
          <w:spacing w:val="24"/>
          <w:w w:val="105"/>
        </w:rPr>
        <w:t> </w:t>
      </w:r>
      <w:r>
        <w:rPr>
          <w:w w:val="105"/>
        </w:rPr>
        <w:t>on</w:t>
      </w:r>
      <w:r>
        <w:rPr>
          <w:spacing w:val="24"/>
          <w:w w:val="105"/>
        </w:rPr>
        <w:t> </w:t>
      </w:r>
      <w:r>
        <w:rPr>
          <w:w w:val="105"/>
        </w:rPr>
        <w:t>the</w:t>
      </w:r>
      <w:r>
        <w:rPr>
          <w:spacing w:val="24"/>
          <w:w w:val="105"/>
        </w:rPr>
        <w:t> </w:t>
      </w:r>
      <w:r>
        <w:rPr>
          <w:w w:val="105"/>
        </w:rPr>
        <w:t>results</w:t>
      </w:r>
      <w:r>
        <w:rPr>
          <w:spacing w:val="24"/>
          <w:w w:val="105"/>
        </w:rPr>
        <w:t> </w:t>
      </w:r>
      <w:r>
        <w:rPr>
          <w:w w:val="105"/>
        </w:rPr>
        <w:t>of</w:t>
      </w:r>
      <w:r>
        <w:rPr>
          <w:spacing w:val="24"/>
          <w:w w:val="105"/>
        </w:rPr>
        <w:t> </w:t>
      </w:r>
      <w:r>
        <w:rPr>
          <w:w w:val="105"/>
        </w:rPr>
        <w:t>the</w:t>
      </w:r>
      <w:r>
        <w:rPr>
          <w:spacing w:val="24"/>
          <w:w w:val="105"/>
        </w:rPr>
        <w:t> </w:t>
      </w:r>
      <w:r>
        <w:rPr>
          <w:w w:val="105"/>
        </w:rPr>
        <w:t>operating</w:t>
      </w:r>
      <w:r>
        <w:rPr>
          <w:spacing w:val="24"/>
          <w:w w:val="105"/>
        </w:rPr>
        <w:t> </w:t>
      </w:r>
      <w:r>
        <w:rPr>
          <w:w w:val="105"/>
        </w:rPr>
        <w:t>effectiveness</w:t>
      </w:r>
      <w:r>
        <w:rPr>
          <w:w w:val="105"/>
        </w:rPr>
        <w:t> testing, we performed for the new and modified controls, we concluded that the previously reported material</w:t>
      </w:r>
      <w:r>
        <w:rPr>
          <w:spacing w:val="40"/>
          <w:w w:val="105"/>
        </w:rPr>
        <w:t> </w:t>
      </w:r>
      <w:r>
        <w:rPr>
          <w:w w:val="105"/>
        </w:rPr>
        <w:t>weaknesses have been fully remediated as of October 1, 2021.</w:t>
      </w:r>
    </w:p>
    <w:p>
      <w:pPr>
        <w:pStyle w:val="BodyText"/>
        <w:spacing w:before="8"/>
      </w:pPr>
    </w:p>
    <w:p>
      <w:pPr>
        <w:pStyle w:val="Heading2"/>
      </w:pPr>
      <w:r>
        <w:rPr>
          <w:spacing w:val="-2"/>
        </w:rPr>
        <w:t>Policy</w:t>
      </w:r>
      <w:r>
        <w:rPr>
          <w:spacing w:val="1"/>
        </w:rPr>
        <w:t> </w:t>
      </w:r>
      <w:r>
        <w:rPr>
          <w:spacing w:val="-2"/>
        </w:rPr>
        <w:t>on</w:t>
      </w:r>
      <w:r>
        <w:rPr>
          <w:spacing w:val="-12"/>
        </w:rPr>
        <w:t> </w:t>
      </w:r>
      <w:r>
        <w:rPr>
          <w:spacing w:val="-2"/>
        </w:rPr>
        <w:t>Audit</w:t>
      </w:r>
      <w:r>
        <w:rPr>
          <w:spacing w:val="1"/>
        </w:rPr>
        <w:t> </w:t>
      </w:r>
      <w:r>
        <w:rPr>
          <w:spacing w:val="-2"/>
        </w:rPr>
        <w:t>Committee</w:t>
      </w:r>
      <w:r>
        <w:rPr>
          <w:spacing w:val="1"/>
        </w:rPr>
        <w:t> </w:t>
      </w:r>
      <w:r>
        <w:rPr>
          <w:spacing w:val="-2"/>
        </w:rPr>
        <w:t>Pre-Approval</w:t>
      </w:r>
      <w:r>
        <w:rPr>
          <w:spacing w:val="2"/>
        </w:rPr>
        <w:t> </w:t>
      </w:r>
      <w:r>
        <w:rPr>
          <w:spacing w:val="-2"/>
        </w:rPr>
        <w:t>of</w:t>
      </w:r>
      <w:r>
        <w:rPr>
          <w:spacing w:val="1"/>
        </w:rPr>
        <w:t> </w:t>
      </w:r>
      <w:r>
        <w:rPr>
          <w:spacing w:val="-2"/>
        </w:rPr>
        <w:t>Services</w:t>
      </w:r>
      <w:r>
        <w:rPr>
          <w:spacing w:val="1"/>
        </w:rPr>
        <w:t> </w:t>
      </w:r>
      <w:r>
        <w:rPr>
          <w:spacing w:val="-2"/>
        </w:rPr>
        <w:t>of</w:t>
      </w:r>
      <w:r>
        <w:rPr>
          <w:spacing w:val="2"/>
        </w:rPr>
        <w:t> </w:t>
      </w:r>
      <w:r>
        <w:rPr>
          <w:spacing w:val="-2"/>
        </w:rPr>
        <w:t>Independent</w:t>
      </w:r>
      <w:r>
        <w:rPr>
          <w:spacing w:val="1"/>
        </w:rPr>
        <w:t> </w:t>
      </w:r>
      <w:r>
        <w:rPr>
          <w:spacing w:val="-2"/>
        </w:rPr>
        <w:t>Registered</w:t>
      </w:r>
      <w:r>
        <w:rPr>
          <w:spacing w:val="1"/>
        </w:rPr>
        <w:t> </w:t>
      </w:r>
      <w:r>
        <w:rPr>
          <w:spacing w:val="-2"/>
        </w:rPr>
        <w:t>Public</w:t>
      </w:r>
      <w:r>
        <w:rPr>
          <w:spacing w:val="-12"/>
        </w:rPr>
        <w:t> </w:t>
      </w:r>
      <w:r>
        <w:rPr>
          <w:spacing w:val="-2"/>
        </w:rPr>
        <w:t>Accounting</w:t>
      </w:r>
      <w:r>
        <w:rPr>
          <w:spacing w:val="1"/>
        </w:rPr>
        <w:t> </w:t>
      </w:r>
      <w:r>
        <w:rPr>
          <w:spacing w:val="-4"/>
        </w:rPr>
        <w:t>Firm</w:t>
      </w:r>
    </w:p>
    <w:p>
      <w:pPr>
        <w:pStyle w:val="BodyText"/>
        <w:spacing w:line="242" w:lineRule="auto" w:before="170"/>
        <w:ind w:left="1400" w:right="1565" w:firstLine="372"/>
      </w:pPr>
      <w:r>
        <w:rPr>
          <w:w w:val="105"/>
        </w:rPr>
        <w:t>The Audit Committee must pre-approve all audit and permissible non-audit services to be provided by</w:t>
      </w:r>
      <w:r>
        <w:rPr>
          <w:spacing w:val="40"/>
          <w:w w:val="105"/>
        </w:rPr>
        <w:t> </w:t>
      </w:r>
      <w:r>
        <w:rPr>
          <w:w w:val="105"/>
        </w:rPr>
        <w:t>the</w:t>
      </w:r>
      <w:r>
        <w:rPr>
          <w:spacing w:val="14"/>
          <w:w w:val="105"/>
        </w:rPr>
        <w:t> </w:t>
      </w:r>
      <w:r>
        <w:rPr>
          <w:w w:val="105"/>
        </w:rPr>
        <w:t>independent</w:t>
      </w:r>
      <w:r>
        <w:rPr>
          <w:spacing w:val="15"/>
          <w:w w:val="105"/>
        </w:rPr>
        <w:t> </w:t>
      </w:r>
      <w:r>
        <w:rPr>
          <w:w w:val="105"/>
        </w:rPr>
        <w:t>registered</w:t>
      </w:r>
      <w:r>
        <w:rPr>
          <w:spacing w:val="15"/>
          <w:w w:val="105"/>
        </w:rPr>
        <w:t> </w:t>
      </w:r>
      <w:r>
        <w:rPr>
          <w:w w:val="105"/>
        </w:rPr>
        <w:t>public</w:t>
      </w:r>
      <w:r>
        <w:rPr>
          <w:spacing w:val="14"/>
          <w:w w:val="105"/>
        </w:rPr>
        <w:t> </w:t>
      </w:r>
      <w:r>
        <w:rPr>
          <w:w w:val="105"/>
        </w:rPr>
        <w:t>accounting</w:t>
      </w:r>
      <w:r>
        <w:rPr>
          <w:spacing w:val="15"/>
          <w:w w:val="105"/>
        </w:rPr>
        <w:t> </w:t>
      </w:r>
      <w:r>
        <w:rPr>
          <w:w w:val="105"/>
        </w:rPr>
        <w:t>firm.</w:t>
      </w:r>
      <w:r>
        <w:rPr>
          <w:spacing w:val="10"/>
          <w:w w:val="105"/>
        </w:rPr>
        <w:t> </w:t>
      </w:r>
      <w:r>
        <w:rPr>
          <w:w w:val="105"/>
        </w:rPr>
        <w:t>These</w:t>
      </w:r>
      <w:r>
        <w:rPr>
          <w:spacing w:val="15"/>
          <w:w w:val="105"/>
        </w:rPr>
        <w:t> </w:t>
      </w:r>
      <w:r>
        <w:rPr>
          <w:w w:val="105"/>
        </w:rPr>
        <w:t>services</w:t>
      </w:r>
      <w:r>
        <w:rPr>
          <w:spacing w:val="15"/>
          <w:w w:val="105"/>
        </w:rPr>
        <w:t> </w:t>
      </w:r>
      <w:r>
        <w:rPr>
          <w:w w:val="105"/>
        </w:rPr>
        <w:t>may</w:t>
      </w:r>
      <w:r>
        <w:rPr>
          <w:spacing w:val="14"/>
          <w:w w:val="105"/>
        </w:rPr>
        <w:t> </w:t>
      </w:r>
      <w:r>
        <w:rPr>
          <w:w w:val="105"/>
        </w:rPr>
        <w:t>include</w:t>
      </w:r>
      <w:r>
        <w:rPr>
          <w:spacing w:val="15"/>
          <w:w w:val="105"/>
        </w:rPr>
        <w:t> </w:t>
      </w:r>
      <w:r>
        <w:rPr>
          <w:w w:val="105"/>
        </w:rPr>
        <w:t>audit</w:t>
      </w:r>
      <w:r>
        <w:rPr>
          <w:spacing w:val="15"/>
          <w:w w:val="105"/>
        </w:rPr>
        <w:t> </w:t>
      </w:r>
      <w:r>
        <w:rPr>
          <w:w w:val="105"/>
        </w:rPr>
        <w:t>services,</w:t>
      </w:r>
      <w:r>
        <w:rPr>
          <w:spacing w:val="14"/>
          <w:w w:val="105"/>
        </w:rPr>
        <w:t> </w:t>
      </w:r>
      <w:r>
        <w:rPr>
          <w:w w:val="105"/>
        </w:rPr>
        <w:t>audit-</w:t>
      </w:r>
      <w:r>
        <w:rPr>
          <w:spacing w:val="-2"/>
          <w:w w:val="105"/>
        </w:rPr>
        <w:t>related</w:t>
      </w:r>
    </w:p>
    <w:p>
      <w:pPr>
        <w:pStyle w:val="BodyText"/>
        <w:rPr>
          <w:sz w:val="20"/>
        </w:rPr>
      </w:pPr>
    </w:p>
    <w:p>
      <w:pPr>
        <w:pStyle w:val="BodyText"/>
        <w:spacing w:before="7"/>
        <w:rPr>
          <w:sz w:val="16"/>
        </w:rPr>
      </w:pPr>
    </w:p>
    <w:p>
      <w:pPr>
        <w:pStyle w:val="BodyText"/>
        <w:ind w:left="142" w:right="143"/>
        <w:jc w:val="center"/>
      </w:pPr>
      <w:r>
        <w:rPr>
          <w:spacing w:val="-5"/>
          <w:w w:val="105"/>
        </w:rPr>
        <w:t>30</w:t>
      </w:r>
    </w:p>
    <w:p>
      <w:pPr>
        <w:spacing w:after="0"/>
        <w:jc w:val="center"/>
        <w:sectPr>
          <w:headerReference w:type="default" r:id="rId95"/>
          <w:footerReference w:type="default" r:id="rId96"/>
          <w:pgSz w:w="12240" w:h="15840"/>
          <w:pgMar w:header="529" w:footer="0" w:top="720" w:bottom="28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208" coordorigin="0,0" coordsize="11100,28">
            <v:rect style="position:absolute;left:0;top:0;width:11100;height:14" id="docshape209" filled="true" fillcolor="#999999" stroked="false">
              <v:fill type="solid"/>
            </v:rect>
            <v:shape style="position:absolute;left:-1;top:0;width:11100;height:28" id="docshape210" coordorigin="0,0" coordsize="11100,28" path="m11100,0l11086,14,0,14,0,28,11086,28,11100,28,11100,14,11100,0xe" filled="true" fillcolor="#ededed" stroked="false">
              <v:path arrowok="t"/>
              <v:fill type="solid"/>
            </v:shape>
            <v:shape style="position:absolute;left:0;top:0;width:14;height:28" id="docshape211"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97"/>
          <w:footerReference w:type="default" r:id="rId98"/>
          <w:pgSz w:w="12240" w:h="15840"/>
          <w:pgMar w:header="0" w:footer="0" w:top="580" w:bottom="280" w:left="480" w:right="460"/>
        </w:sectPr>
      </w:pPr>
    </w:p>
    <w:p>
      <w:pPr>
        <w:pStyle w:val="BodyText"/>
        <w:rPr>
          <w:sz w:val="20"/>
        </w:rPr>
      </w:pPr>
    </w:p>
    <w:p>
      <w:pPr>
        <w:pStyle w:val="BodyText"/>
        <w:rPr>
          <w:sz w:val="20"/>
        </w:rPr>
      </w:pPr>
    </w:p>
    <w:p>
      <w:pPr>
        <w:pStyle w:val="BodyText"/>
        <w:spacing w:before="2"/>
        <w:rPr>
          <w:sz w:val="27"/>
        </w:rPr>
      </w:pPr>
    </w:p>
    <w:p>
      <w:pPr>
        <w:pStyle w:val="BodyText"/>
        <w:spacing w:line="259" w:lineRule="auto" w:before="98"/>
        <w:ind w:left="1400" w:right="1411"/>
      </w:pPr>
      <w:r>
        <w:rPr>
          <w:w w:val="105"/>
        </w:rPr>
        <w:t>services,</w:t>
      </w:r>
      <w:r>
        <w:rPr>
          <w:spacing w:val="18"/>
          <w:w w:val="105"/>
        </w:rPr>
        <w:t> </w:t>
      </w:r>
      <w:r>
        <w:rPr>
          <w:w w:val="105"/>
        </w:rPr>
        <w:t>tax</w:t>
      </w:r>
      <w:r>
        <w:rPr>
          <w:spacing w:val="18"/>
          <w:w w:val="105"/>
        </w:rPr>
        <w:t> </w:t>
      </w:r>
      <w:r>
        <w:rPr>
          <w:w w:val="105"/>
        </w:rPr>
        <w:t>services,</w:t>
      </w:r>
      <w:r>
        <w:rPr>
          <w:spacing w:val="18"/>
          <w:w w:val="105"/>
        </w:rPr>
        <w:t> </w:t>
      </w:r>
      <w:r>
        <w:rPr>
          <w:w w:val="105"/>
        </w:rPr>
        <w:t>and</w:t>
      </w:r>
      <w:r>
        <w:rPr>
          <w:spacing w:val="18"/>
          <w:w w:val="105"/>
        </w:rPr>
        <w:t> </w:t>
      </w:r>
      <w:r>
        <w:rPr>
          <w:w w:val="105"/>
        </w:rPr>
        <w:t>other</w:t>
      </w:r>
      <w:r>
        <w:rPr>
          <w:spacing w:val="18"/>
          <w:w w:val="105"/>
        </w:rPr>
        <w:t> </w:t>
      </w:r>
      <w:r>
        <w:rPr>
          <w:w w:val="105"/>
        </w:rPr>
        <w:t>services.</w:t>
      </w:r>
      <w:r>
        <w:rPr>
          <w:spacing w:val="18"/>
          <w:w w:val="105"/>
        </w:rPr>
        <w:t> </w:t>
      </w:r>
      <w:r>
        <w:rPr>
          <w:w w:val="105"/>
        </w:rPr>
        <w:t>Pre-approval</w:t>
      </w:r>
      <w:r>
        <w:rPr>
          <w:spacing w:val="18"/>
          <w:w w:val="105"/>
        </w:rPr>
        <w:t> </w:t>
      </w:r>
      <w:r>
        <w:rPr>
          <w:w w:val="105"/>
        </w:rPr>
        <w:t>is</w:t>
      </w:r>
      <w:r>
        <w:rPr>
          <w:spacing w:val="18"/>
          <w:w w:val="105"/>
        </w:rPr>
        <w:t> </w:t>
      </w:r>
      <w:r>
        <w:rPr>
          <w:w w:val="105"/>
        </w:rPr>
        <w:t>generally</w:t>
      </w:r>
      <w:r>
        <w:rPr>
          <w:spacing w:val="18"/>
          <w:w w:val="105"/>
        </w:rPr>
        <w:t> </w:t>
      </w:r>
      <w:r>
        <w:rPr>
          <w:w w:val="105"/>
        </w:rPr>
        <w:t>requested</w:t>
      </w:r>
      <w:r>
        <w:rPr>
          <w:spacing w:val="18"/>
          <w:w w:val="105"/>
        </w:rPr>
        <w:t> </w:t>
      </w:r>
      <w:r>
        <w:rPr>
          <w:w w:val="105"/>
        </w:rPr>
        <w:t>annually,</w:t>
      </w:r>
      <w:r>
        <w:rPr>
          <w:spacing w:val="18"/>
          <w:w w:val="105"/>
        </w:rPr>
        <w:t> </w:t>
      </w:r>
      <w:r>
        <w:rPr>
          <w:w w:val="105"/>
        </w:rPr>
        <w:t>and</w:t>
      </w:r>
      <w:r>
        <w:rPr>
          <w:spacing w:val="18"/>
          <w:w w:val="105"/>
        </w:rPr>
        <w:t> </w:t>
      </w:r>
      <w:r>
        <w:rPr>
          <w:w w:val="105"/>
        </w:rPr>
        <w:t>any</w:t>
      </w:r>
      <w:r>
        <w:rPr>
          <w:spacing w:val="18"/>
          <w:w w:val="105"/>
        </w:rPr>
        <w:t> </w:t>
      </w:r>
      <w:r>
        <w:rPr>
          <w:w w:val="105"/>
        </w:rPr>
        <w:t>pre-approval is detailed as to the particular service, which must be classified in one of the four categories of services. The</w:t>
      </w:r>
      <w:r>
        <w:rPr>
          <w:spacing w:val="40"/>
          <w:w w:val="105"/>
        </w:rPr>
        <w:t> </w:t>
      </w:r>
      <w:r>
        <w:rPr>
          <w:w w:val="105"/>
        </w:rPr>
        <w:t>Audit</w:t>
      </w:r>
      <w:r>
        <w:rPr>
          <w:spacing w:val="24"/>
          <w:w w:val="105"/>
        </w:rPr>
        <w:t> </w:t>
      </w:r>
      <w:r>
        <w:rPr>
          <w:w w:val="105"/>
        </w:rPr>
        <w:t>Committee</w:t>
      </w:r>
      <w:r>
        <w:rPr>
          <w:spacing w:val="24"/>
          <w:w w:val="105"/>
        </w:rPr>
        <w:t> </w:t>
      </w:r>
      <w:r>
        <w:rPr>
          <w:w w:val="105"/>
        </w:rPr>
        <w:t>may</w:t>
      </w:r>
      <w:r>
        <w:rPr>
          <w:spacing w:val="24"/>
          <w:w w:val="105"/>
        </w:rPr>
        <w:t> </w:t>
      </w:r>
      <w:r>
        <w:rPr>
          <w:w w:val="105"/>
        </w:rPr>
        <w:t>also,</w:t>
      </w:r>
      <w:r>
        <w:rPr>
          <w:spacing w:val="24"/>
          <w:w w:val="105"/>
        </w:rPr>
        <w:t> </w:t>
      </w:r>
      <w:r>
        <w:rPr>
          <w:w w:val="105"/>
        </w:rPr>
        <w:t>on</w:t>
      </w:r>
      <w:r>
        <w:rPr>
          <w:spacing w:val="24"/>
          <w:w w:val="105"/>
        </w:rPr>
        <w:t> </w:t>
      </w:r>
      <w:r>
        <w:rPr>
          <w:w w:val="105"/>
        </w:rPr>
        <w:t>a</w:t>
      </w:r>
      <w:r>
        <w:rPr>
          <w:spacing w:val="24"/>
          <w:w w:val="105"/>
        </w:rPr>
        <w:t> </w:t>
      </w:r>
      <w:r>
        <w:rPr>
          <w:w w:val="105"/>
        </w:rPr>
        <w:t>case-by-case</w:t>
      </w:r>
      <w:r>
        <w:rPr>
          <w:spacing w:val="24"/>
          <w:w w:val="105"/>
        </w:rPr>
        <w:t> </w:t>
      </w:r>
      <w:r>
        <w:rPr>
          <w:w w:val="105"/>
        </w:rPr>
        <w:t>basis,</w:t>
      </w:r>
      <w:r>
        <w:rPr>
          <w:spacing w:val="24"/>
          <w:w w:val="105"/>
        </w:rPr>
        <w:t> </w:t>
      </w:r>
      <w:r>
        <w:rPr>
          <w:w w:val="105"/>
        </w:rPr>
        <w:t>pre-approve</w:t>
      </w:r>
      <w:r>
        <w:rPr>
          <w:spacing w:val="24"/>
          <w:w w:val="105"/>
        </w:rPr>
        <w:t> </w:t>
      </w:r>
      <w:r>
        <w:rPr>
          <w:w w:val="105"/>
        </w:rPr>
        <w:t>services</w:t>
      </w:r>
      <w:r>
        <w:rPr>
          <w:spacing w:val="24"/>
          <w:w w:val="105"/>
        </w:rPr>
        <w:t> </w:t>
      </w:r>
      <w:r>
        <w:rPr>
          <w:w w:val="105"/>
        </w:rPr>
        <w:t>that</w:t>
      </w:r>
      <w:r>
        <w:rPr>
          <w:spacing w:val="24"/>
          <w:w w:val="105"/>
        </w:rPr>
        <w:t> </w:t>
      </w:r>
      <w:r>
        <w:rPr>
          <w:w w:val="105"/>
        </w:rPr>
        <w:t>are</w:t>
      </w:r>
      <w:r>
        <w:rPr>
          <w:spacing w:val="24"/>
          <w:w w:val="105"/>
        </w:rPr>
        <w:t> </w:t>
      </w:r>
      <w:r>
        <w:rPr>
          <w:w w:val="105"/>
        </w:rPr>
        <w:t>not</w:t>
      </w:r>
      <w:r>
        <w:rPr>
          <w:spacing w:val="24"/>
          <w:w w:val="105"/>
        </w:rPr>
        <w:t> </w:t>
      </w:r>
      <w:r>
        <w:rPr>
          <w:w w:val="105"/>
        </w:rPr>
        <w:t>contained</w:t>
      </w:r>
      <w:r>
        <w:rPr>
          <w:spacing w:val="24"/>
          <w:w w:val="105"/>
        </w:rPr>
        <w:t> </w:t>
      </w:r>
      <w:r>
        <w:rPr>
          <w:w w:val="105"/>
        </w:rPr>
        <w:t>in</w:t>
      </w:r>
      <w:r>
        <w:rPr>
          <w:spacing w:val="24"/>
          <w:w w:val="105"/>
        </w:rPr>
        <w:t> </w:t>
      </w:r>
      <w:r>
        <w:rPr>
          <w:w w:val="105"/>
        </w:rPr>
        <w:t>the</w:t>
      </w:r>
      <w:r>
        <w:rPr>
          <w:w w:val="105"/>
        </w:rPr>
        <w:t> annual</w:t>
      </w:r>
      <w:r>
        <w:rPr>
          <w:spacing w:val="29"/>
          <w:w w:val="105"/>
        </w:rPr>
        <w:t> </w:t>
      </w:r>
      <w:r>
        <w:rPr>
          <w:w w:val="105"/>
        </w:rPr>
        <w:t>pre-approval</w:t>
      </w:r>
      <w:r>
        <w:rPr>
          <w:spacing w:val="29"/>
          <w:w w:val="105"/>
        </w:rPr>
        <w:t> </w:t>
      </w:r>
      <w:r>
        <w:rPr>
          <w:w w:val="105"/>
        </w:rPr>
        <w:t>request.</w:t>
      </w:r>
      <w:r>
        <w:rPr>
          <w:spacing w:val="29"/>
          <w:w w:val="105"/>
        </w:rPr>
        <w:t> </w:t>
      </w:r>
      <w:r>
        <w:rPr>
          <w:w w:val="105"/>
        </w:rPr>
        <w:t>In</w:t>
      </w:r>
      <w:r>
        <w:rPr>
          <w:spacing w:val="29"/>
          <w:w w:val="105"/>
        </w:rPr>
        <w:t> </w:t>
      </w:r>
      <w:r>
        <w:rPr>
          <w:w w:val="105"/>
        </w:rPr>
        <w:t>connection</w:t>
      </w:r>
      <w:r>
        <w:rPr>
          <w:spacing w:val="29"/>
          <w:w w:val="105"/>
        </w:rPr>
        <w:t> </w:t>
      </w:r>
      <w:r>
        <w:rPr>
          <w:w w:val="105"/>
        </w:rPr>
        <w:t>with</w:t>
      </w:r>
      <w:r>
        <w:rPr>
          <w:spacing w:val="29"/>
          <w:w w:val="105"/>
        </w:rPr>
        <w:t> </w:t>
      </w:r>
      <w:r>
        <w:rPr>
          <w:w w:val="105"/>
        </w:rPr>
        <w:t>this</w:t>
      </w:r>
      <w:r>
        <w:rPr>
          <w:spacing w:val="29"/>
          <w:w w:val="105"/>
        </w:rPr>
        <w:t> </w:t>
      </w:r>
      <w:r>
        <w:rPr>
          <w:w w:val="105"/>
        </w:rPr>
        <w:t>pre-approval</w:t>
      </w:r>
      <w:r>
        <w:rPr>
          <w:spacing w:val="29"/>
          <w:w w:val="105"/>
        </w:rPr>
        <w:t> </w:t>
      </w:r>
      <w:r>
        <w:rPr>
          <w:w w:val="105"/>
        </w:rPr>
        <w:t>policy,</w:t>
      </w:r>
      <w:r>
        <w:rPr>
          <w:spacing w:val="29"/>
          <w:w w:val="105"/>
        </w:rPr>
        <w:t> </w:t>
      </w:r>
      <w:r>
        <w:rPr>
          <w:w w:val="105"/>
        </w:rPr>
        <w:t>the</w:t>
      </w:r>
      <w:r>
        <w:rPr>
          <w:spacing w:val="13"/>
          <w:w w:val="105"/>
        </w:rPr>
        <w:t> </w:t>
      </w:r>
      <w:r>
        <w:rPr>
          <w:w w:val="105"/>
        </w:rPr>
        <w:t>Audit</w:t>
      </w:r>
      <w:r>
        <w:rPr>
          <w:spacing w:val="29"/>
          <w:w w:val="105"/>
        </w:rPr>
        <w:t> </w:t>
      </w:r>
      <w:r>
        <w:rPr>
          <w:w w:val="105"/>
        </w:rPr>
        <w:t>Committee</w:t>
      </w:r>
      <w:r>
        <w:rPr>
          <w:spacing w:val="29"/>
          <w:w w:val="105"/>
        </w:rPr>
        <w:t> </w:t>
      </w:r>
      <w:r>
        <w:rPr>
          <w:w w:val="105"/>
        </w:rPr>
        <w:t>also considers whether the categories of pre-approved services are consistent with the rules on accountant</w:t>
      </w:r>
      <w:r>
        <w:rPr>
          <w:spacing w:val="40"/>
          <w:w w:val="105"/>
        </w:rPr>
        <w:t> </w:t>
      </w:r>
      <w:r>
        <w:rPr>
          <w:w w:val="105"/>
        </w:rPr>
        <w:t>independence promulgated by the SEC.</w:t>
      </w:r>
    </w:p>
    <w:p>
      <w:pPr>
        <w:pStyle w:val="BodyText"/>
        <w:spacing w:before="6"/>
        <w:rPr>
          <w:sz w:val="19"/>
        </w:rPr>
      </w:pPr>
    </w:p>
    <w:p>
      <w:pPr>
        <w:pStyle w:val="Heading2"/>
      </w:pPr>
      <w:bookmarkStart w:name="_TOC_250027" w:id="16"/>
      <w:r>
        <w:rPr>
          <w:spacing w:val="-2"/>
        </w:rPr>
        <w:t>Principal</w:t>
      </w:r>
      <w:r>
        <w:rPr>
          <w:spacing w:val="-12"/>
        </w:rPr>
        <w:t> </w:t>
      </w:r>
      <w:r>
        <w:rPr>
          <w:spacing w:val="-2"/>
        </w:rPr>
        <w:t>Accountant</w:t>
      </w:r>
      <w:r>
        <w:rPr>
          <w:spacing w:val="3"/>
        </w:rPr>
        <w:t> </w:t>
      </w:r>
      <w:r>
        <w:rPr>
          <w:spacing w:val="-2"/>
        </w:rPr>
        <w:t>Fees</w:t>
      </w:r>
      <w:r>
        <w:rPr>
          <w:spacing w:val="2"/>
        </w:rPr>
        <w:t> </w:t>
      </w:r>
      <w:r>
        <w:rPr>
          <w:spacing w:val="-2"/>
        </w:rPr>
        <w:t>and</w:t>
      </w:r>
      <w:r>
        <w:rPr>
          <w:spacing w:val="2"/>
        </w:rPr>
        <w:t> </w:t>
      </w:r>
      <w:bookmarkEnd w:id="16"/>
      <w:r>
        <w:rPr>
          <w:spacing w:val="-2"/>
        </w:rPr>
        <w:t>Services</w:t>
      </w:r>
    </w:p>
    <w:p>
      <w:pPr>
        <w:pStyle w:val="BodyText"/>
        <w:spacing w:line="259" w:lineRule="auto" w:before="171"/>
        <w:ind w:left="1400" w:right="1463" w:firstLine="372"/>
      </w:pPr>
      <w:r>
        <w:rPr>
          <w:w w:val="105"/>
        </w:rPr>
        <w:t>The</w:t>
      </w:r>
      <w:r>
        <w:rPr>
          <w:spacing w:val="20"/>
          <w:w w:val="105"/>
        </w:rPr>
        <w:t> </w:t>
      </w:r>
      <w:r>
        <w:rPr>
          <w:w w:val="105"/>
        </w:rPr>
        <w:t>following</w:t>
      </w:r>
      <w:r>
        <w:rPr>
          <w:spacing w:val="20"/>
          <w:w w:val="105"/>
        </w:rPr>
        <w:t> </w:t>
      </w:r>
      <w:r>
        <w:rPr>
          <w:w w:val="105"/>
        </w:rPr>
        <w:t>is</w:t>
      </w:r>
      <w:r>
        <w:rPr>
          <w:spacing w:val="20"/>
          <w:w w:val="105"/>
        </w:rPr>
        <w:t> </w:t>
      </w:r>
      <w:r>
        <w:rPr>
          <w:w w:val="105"/>
        </w:rPr>
        <w:t>a</w:t>
      </w:r>
      <w:r>
        <w:rPr>
          <w:spacing w:val="20"/>
          <w:w w:val="105"/>
        </w:rPr>
        <w:t> </w:t>
      </w:r>
      <w:r>
        <w:rPr>
          <w:w w:val="105"/>
        </w:rPr>
        <w:t>summary</w:t>
      </w:r>
      <w:r>
        <w:rPr>
          <w:spacing w:val="20"/>
          <w:w w:val="105"/>
        </w:rPr>
        <w:t> </w:t>
      </w:r>
      <w:r>
        <w:rPr>
          <w:w w:val="105"/>
        </w:rPr>
        <w:t>of</w:t>
      </w:r>
      <w:r>
        <w:rPr>
          <w:spacing w:val="20"/>
          <w:w w:val="105"/>
        </w:rPr>
        <w:t> </w:t>
      </w:r>
      <w:r>
        <w:rPr>
          <w:w w:val="105"/>
        </w:rPr>
        <w:t>the</w:t>
      </w:r>
      <w:r>
        <w:rPr>
          <w:spacing w:val="20"/>
          <w:w w:val="105"/>
        </w:rPr>
        <w:t> </w:t>
      </w:r>
      <w:r>
        <w:rPr>
          <w:w w:val="105"/>
        </w:rPr>
        <w:t>fees</w:t>
      </w:r>
      <w:r>
        <w:rPr>
          <w:spacing w:val="20"/>
          <w:w w:val="105"/>
        </w:rPr>
        <w:t> </w:t>
      </w:r>
      <w:r>
        <w:rPr>
          <w:w w:val="105"/>
        </w:rPr>
        <w:t>for</w:t>
      </w:r>
      <w:r>
        <w:rPr>
          <w:spacing w:val="20"/>
          <w:w w:val="105"/>
        </w:rPr>
        <w:t> </w:t>
      </w:r>
      <w:r>
        <w:rPr>
          <w:w w:val="105"/>
        </w:rPr>
        <w:t>professional</w:t>
      </w:r>
      <w:r>
        <w:rPr>
          <w:spacing w:val="20"/>
          <w:w w:val="105"/>
        </w:rPr>
        <w:t> </w:t>
      </w:r>
      <w:r>
        <w:rPr>
          <w:w w:val="105"/>
        </w:rPr>
        <w:t>services</w:t>
      </w:r>
      <w:r>
        <w:rPr>
          <w:spacing w:val="20"/>
          <w:w w:val="105"/>
        </w:rPr>
        <w:t> </w:t>
      </w:r>
      <w:r>
        <w:rPr>
          <w:w w:val="105"/>
        </w:rPr>
        <w:t>billed</w:t>
      </w:r>
      <w:r>
        <w:rPr>
          <w:spacing w:val="20"/>
          <w:w w:val="105"/>
        </w:rPr>
        <w:t> </w:t>
      </w:r>
      <w:r>
        <w:rPr>
          <w:w w:val="105"/>
        </w:rPr>
        <w:t>(or</w:t>
      </w:r>
      <w:r>
        <w:rPr>
          <w:spacing w:val="20"/>
          <w:w w:val="105"/>
        </w:rPr>
        <w:t> </w:t>
      </w:r>
      <w:r>
        <w:rPr>
          <w:w w:val="105"/>
        </w:rPr>
        <w:t>to</w:t>
      </w:r>
      <w:r>
        <w:rPr>
          <w:spacing w:val="20"/>
          <w:w w:val="105"/>
        </w:rPr>
        <w:t> </w:t>
      </w:r>
      <w:r>
        <w:rPr>
          <w:w w:val="105"/>
        </w:rPr>
        <w:t>be</w:t>
      </w:r>
      <w:r>
        <w:rPr>
          <w:spacing w:val="20"/>
          <w:w w:val="105"/>
        </w:rPr>
        <w:t> </w:t>
      </w:r>
      <w:r>
        <w:rPr>
          <w:w w:val="105"/>
        </w:rPr>
        <w:t>billed)</w:t>
      </w:r>
      <w:r>
        <w:rPr>
          <w:spacing w:val="20"/>
          <w:w w:val="105"/>
        </w:rPr>
        <w:t> </w:t>
      </w:r>
      <w:r>
        <w:rPr>
          <w:w w:val="105"/>
        </w:rPr>
        <w:t>to</w:t>
      </w:r>
      <w:r>
        <w:rPr>
          <w:spacing w:val="20"/>
          <w:w w:val="105"/>
        </w:rPr>
        <w:t> </w:t>
      </w:r>
      <w:r>
        <w:rPr>
          <w:w w:val="105"/>
        </w:rPr>
        <w:t>us</w:t>
      </w:r>
      <w:r>
        <w:rPr>
          <w:spacing w:val="20"/>
          <w:w w:val="105"/>
        </w:rPr>
        <w:t> </w:t>
      </w:r>
      <w:r>
        <w:rPr>
          <w:w w:val="105"/>
        </w:rPr>
        <w:t>by Deloitte, our principal independent registered public accounting firm for fiscal years 2022 and 2021.</w:t>
      </w:r>
      <w:r>
        <w:rPr>
          <w:spacing w:val="80"/>
          <w:w w:val="105"/>
        </w:rPr>
        <w:t> </w:t>
      </w:r>
      <w:r>
        <w:rPr>
          <w:w w:val="105"/>
        </w:rPr>
        <w:t>“Deloitte”</w:t>
      </w:r>
      <w:r>
        <w:rPr>
          <w:spacing w:val="11"/>
          <w:w w:val="105"/>
        </w:rPr>
        <w:t> </w:t>
      </w:r>
      <w:r>
        <w:rPr>
          <w:w w:val="105"/>
        </w:rPr>
        <w:t>means</w:t>
      </w:r>
      <w:r>
        <w:rPr>
          <w:spacing w:val="11"/>
          <w:w w:val="105"/>
        </w:rPr>
        <w:t> </w:t>
      </w:r>
      <w:r>
        <w:rPr>
          <w:w w:val="105"/>
        </w:rPr>
        <w:t>(i)</w:t>
      </w:r>
      <w:r>
        <w:rPr>
          <w:spacing w:val="11"/>
          <w:w w:val="105"/>
        </w:rPr>
        <w:t> </w:t>
      </w:r>
      <w:r>
        <w:rPr>
          <w:w w:val="105"/>
        </w:rPr>
        <w:t>Deloitte</w:t>
      </w:r>
      <w:r>
        <w:rPr>
          <w:spacing w:val="11"/>
          <w:w w:val="105"/>
        </w:rPr>
        <w:t> </w:t>
      </w:r>
      <w:r>
        <w:rPr>
          <w:w w:val="105"/>
        </w:rPr>
        <w:t>&amp; Touche</w:t>
      </w:r>
      <w:r>
        <w:rPr>
          <w:spacing w:val="11"/>
          <w:w w:val="105"/>
        </w:rPr>
        <w:t> </w:t>
      </w:r>
      <w:r>
        <w:rPr>
          <w:w w:val="105"/>
        </w:rPr>
        <w:t>LLP,</w:t>
      </w:r>
      <w:r>
        <w:rPr>
          <w:spacing w:val="11"/>
          <w:w w:val="105"/>
        </w:rPr>
        <w:t> </w:t>
      </w:r>
      <w:r>
        <w:rPr>
          <w:w w:val="105"/>
        </w:rPr>
        <w:t>and</w:t>
      </w:r>
      <w:r>
        <w:rPr>
          <w:spacing w:val="11"/>
          <w:w w:val="105"/>
        </w:rPr>
        <w:t> </w:t>
      </w:r>
      <w:r>
        <w:rPr>
          <w:w w:val="105"/>
        </w:rPr>
        <w:t>the</w:t>
      </w:r>
      <w:r>
        <w:rPr>
          <w:spacing w:val="11"/>
          <w:w w:val="105"/>
        </w:rPr>
        <w:t> </w:t>
      </w:r>
      <w:r>
        <w:rPr>
          <w:w w:val="105"/>
        </w:rPr>
        <w:t>other</w:t>
      </w:r>
      <w:r>
        <w:rPr>
          <w:spacing w:val="11"/>
          <w:w w:val="105"/>
        </w:rPr>
        <w:t> </w:t>
      </w:r>
      <w:r>
        <w:rPr>
          <w:w w:val="105"/>
        </w:rPr>
        <w:t>subsidiaries</w:t>
      </w:r>
      <w:r>
        <w:rPr>
          <w:spacing w:val="11"/>
          <w:w w:val="105"/>
        </w:rPr>
        <w:t> </w:t>
      </w:r>
      <w:r>
        <w:rPr>
          <w:w w:val="105"/>
        </w:rPr>
        <w:t>of</w:t>
      </w:r>
      <w:r>
        <w:rPr>
          <w:spacing w:val="11"/>
          <w:w w:val="105"/>
        </w:rPr>
        <w:t> </w:t>
      </w:r>
      <w:r>
        <w:rPr>
          <w:w w:val="105"/>
        </w:rPr>
        <w:t>its</w:t>
      </w:r>
      <w:r>
        <w:rPr>
          <w:spacing w:val="11"/>
          <w:w w:val="105"/>
        </w:rPr>
        <w:t> </w:t>
      </w:r>
      <w:r>
        <w:rPr>
          <w:w w:val="105"/>
        </w:rPr>
        <w:t>parent</w:t>
      </w:r>
      <w:r>
        <w:rPr>
          <w:spacing w:val="11"/>
          <w:w w:val="105"/>
        </w:rPr>
        <w:t> </w:t>
      </w:r>
      <w:r>
        <w:rPr>
          <w:w w:val="105"/>
        </w:rPr>
        <w:t>company,</w:t>
      </w:r>
      <w:r>
        <w:rPr>
          <w:spacing w:val="11"/>
          <w:w w:val="105"/>
        </w:rPr>
        <w:t> </w:t>
      </w:r>
      <w:r>
        <w:rPr>
          <w:w w:val="105"/>
        </w:rPr>
        <w:t>Deloitte</w:t>
      </w:r>
      <w:r>
        <w:rPr>
          <w:spacing w:val="11"/>
          <w:w w:val="105"/>
        </w:rPr>
        <w:t> </w:t>
      </w:r>
      <w:r>
        <w:rPr>
          <w:w w:val="105"/>
        </w:rPr>
        <w:t>LLP, a U.S. member firm of Deloitte Touche Tohmatsu Limited, a UK private company limited by guarantee (“</w:t>
      </w:r>
      <w:r>
        <w:rPr>
          <w:b/>
          <w:w w:val="105"/>
        </w:rPr>
        <w:t>DTTL</w:t>
      </w:r>
      <w:r>
        <w:rPr>
          <w:w w:val="105"/>
        </w:rPr>
        <w:t>”);</w:t>
      </w:r>
      <w:r>
        <w:rPr>
          <w:spacing w:val="17"/>
          <w:w w:val="105"/>
        </w:rPr>
        <w:t> </w:t>
      </w:r>
      <w:r>
        <w:rPr>
          <w:w w:val="105"/>
        </w:rPr>
        <w:t>and</w:t>
      </w:r>
      <w:r>
        <w:rPr>
          <w:spacing w:val="17"/>
          <w:w w:val="105"/>
        </w:rPr>
        <w:t> </w:t>
      </w:r>
      <w:r>
        <w:rPr>
          <w:w w:val="105"/>
        </w:rPr>
        <w:t>(ii)</w:t>
      </w:r>
      <w:r>
        <w:rPr>
          <w:spacing w:val="17"/>
          <w:w w:val="105"/>
        </w:rPr>
        <w:t> </w:t>
      </w:r>
      <w:r>
        <w:rPr>
          <w:w w:val="105"/>
        </w:rPr>
        <w:t>any</w:t>
      </w:r>
      <w:r>
        <w:rPr>
          <w:spacing w:val="17"/>
          <w:w w:val="105"/>
        </w:rPr>
        <w:t> </w:t>
      </w:r>
      <w:r>
        <w:rPr>
          <w:w w:val="105"/>
        </w:rPr>
        <w:t>of</w:t>
      </w:r>
      <w:r>
        <w:rPr>
          <w:spacing w:val="17"/>
          <w:w w:val="105"/>
        </w:rPr>
        <w:t> </w:t>
      </w:r>
      <w:r>
        <w:rPr>
          <w:w w:val="105"/>
        </w:rPr>
        <w:t>the</w:t>
      </w:r>
      <w:r>
        <w:rPr>
          <w:spacing w:val="17"/>
          <w:w w:val="105"/>
        </w:rPr>
        <w:t> </w:t>
      </w:r>
      <w:r>
        <w:rPr>
          <w:w w:val="105"/>
        </w:rPr>
        <w:t>other</w:t>
      </w:r>
      <w:r>
        <w:rPr>
          <w:spacing w:val="17"/>
          <w:w w:val="105"/>
        </w:rPr>
        <w:t> </w:t>
      </w:r>
      <w:r>
        <w:rPr>
          <w:w w:val="105"/>
        </w:rPr>
        <w:t>member</w:t>
      </w:r>
      <w:r>
        <w:rPr>
          <w:spacing w:val="17"/>
          <w:w w:val="105"/>
        </w:rPr>
        <w:t> </w:t>
      </w:r>
      <w:r>
        <w:rPr>
          <w:w w:val="105"/>
        </w:rPr>
        <w:t>firms</w:t>
      </w:r>
      <w:r>
        <w:rPr>
          <w:spacing w:val="17"/>
          <w:w w:val="105"/>
        </w:rPr>
        <w:t> </w:t>
      </w:r>
      <w:r>
        <w:rPr>
          <w:w w:val="105"/>
        </w:rPr>
        <w:t>of</w:t>
      </w:r>
      <w:r>
        <w:rPr>
          <w:spacing w:val="17"/>
          <w:w w:val="105"/>
        </w:rPr>
        <w:t> </w:t>
      </w:r>
      <w:r>
        <w:rPr>
          <w:w w:val="105"/>
        </w:rPr>
        <w:t>DTTL and</w:t>
      </w:r>
      <w:r>
        <w:rPr>
          <w:spacing w:val="17"/>
          <w:w w:val="105"/>
        </w:rPr>
        <w:t> </w:t>
      </w:r>
      <w:r>
        <w:rPr>
          <w:w w:val="105"/>
        </w:rPr>
        <w:t>their</w:t>
      </w:r>
      <w:r>
        <w:rPr>
          <w:spacing w:val="17"/>
          <w:w w:val="105"/>
        </w:rPr>
        <w:t> </w:t>
      </w:r>
      <w:r>
        <w:rPr>
          <w:w w:val="105"/>
        </w:rPr>
        <w:t>affiliates</w:t>
      </w:r>
      <w:r>
        <w:rPr>
          <w:spacing w:val="17"/>
          <w:w w:val="105"/>
        </w:rPr>
        <w:t> </w:t>
      </w:r>
      <w:r>
        <w:rPr>
          <w:w w:val="105"/>
        </w:rPr>
        <w:t>that,</w:t>
      </w:r>
      <w:r>
        <w:rPr>
          <w:spacing w:val="17"/>
          <w:w w:val="105"/>
        </w:rPr>
        <w:t> </w:t>
      </w:r>
      <w:r>
        <w:rPr>
          <w:w w:val="105"/>
        </w:rPr>
        <w:t>in</w:t>
      </w:r>
      <w:r>
        <w:rPr>
          <w:spacing w:val="17"/>
          <w:w w:val="105"/>
        </w:rPr>
        <w:t> </w:t>
      </w:r>
      <w:r>
        <w:rPr>
          <w:w w:val="105"/>
        </w:rPr>
        <w:t>case</w:t>
      </w:r>
      <w:r>
        <w:rPr>
          <w:spacing w:val="17"/>
          <w:w w:val="105"/>
        </w:rPr>
        <w:t> </w:t>
      </w:r>
      <w:r>
        <w:rPr>
          <w:w w:val="105"/>
        </w:rPr>
        <w:t>of</w:t>
      </w:r>
      <w:r>
        <w:rPr>
          <w:spacing w:val="17"/>
          <w:w w:val="105"/>
        </w:rPr>
        <w:t> </w:t>
      </w:r>
      <w:r>
        <w:rPr>
          <w:w w:val="105"/>
        </w:rPr>
        <w:t>both</w:t>
      </w:r>
      <w:r>
        <w:rPr>
          <w:spacing w:val="17"/>
          <w:w w:val="105"/>
        </w:rPr>
        <w:t> </w:t>
      </w:r>
      <w:r>
        <w:rPr>
          <w:w w:val="105"/>
        </w:rPr>
        <w:t>(i)</w:t>
      </w:r>
      <w:r>
        <w:rPr>
          <w:spacing w:val="17"/>
          <w:w w:val="105"/>
        </w:rPr>
        <w:t> </w:t>
      </w:r>
      <w:r>
        <w:rPr>
          <w:w w:val="105"/>
        </w:rPr>
        <w:t>and</w:t>
      </w:r>
    </w:p>
    <w:p>
      <w:pPr>
        <w:pStyle w:val="BodyText"/>
        <w:spacing w:before="1"/>
        <w:ind w:left="1400"/>
      </w:pPr>
      <w:r>
        <w:rPr>
          <w:w w:val="105"/>
        </w:rPr>
        <w:t>(ii)</w:t>
      </w:r>
      <w:r>
        <w:rPr>
          <w:spacing w:val="13"/>
          <w:w w:val="105"/>
        </w:rPr>
        <w:t> </w:t>
      </w:r>
      <w:r>
        <w:rPr>
          <w:w w:val="105"/>
        </w:rPr>
        <w:t>of</w:t>
      </w:r>
      <w:r>
        <w:rPr>
          <w:spacing w:val="13"/>
          <w:w w:val="105"/>
        </w:rPr>
        <w:t> </w:t>
      </w:r>
      <w:r>
        <w:rPr>
          <w:w w:val="105"/>
        </w:rPr>
        <w:t>this</w:t>
      </w:r>
      <w:r>
        <w:rPr>
          <w:spacing w:val="13"/>
          <w:w w:val="105"/>
        </w:rPr>
        <w:t> </w:t>
      </w:r>
      <w:r>
        <w:rPr>
          <w:w w:val="105"/>
        </w:rPr>
        <w:t>sentence,</w:t>
      </w:r>
      <w:r>
        <w:rPr>
          <w:spacing w:val="13"/>
          <w:w w:val="105"/>
        </w:rPr>
        <w:t> </w:t>
      </w:r>
      <w:r>
        <w:rPr>
          <w:w w:val="105"/>
        </w:rPr>
        <w:t>provide</w:t>
      </w:r>
      <w:r>
        <w:rPr>
          <w:spacing w:val="14"/>
          <w:w w:val="105"/>
        </w:rPr>
        <w:t> </w:t>
      </w:r>
      <w:r>
        <w:rPr>
          <w:w w:val="105"/>
        </w:rPr>
        <w:t>professional</w:t>
      </w:r>
      <w:r>
        <w:rPr>
          <w:spacing w:val="13"/>
          <w:w w:val="105"/>
        </w:rPr>
        <w:t> </w:t>
      </w:r>
      <w:r>
        <w:rPr>
          <w:w w:val="105"/>
        </w:rPr>
        <w:t>services</w:t>
      </w:r>
      <w:r>
        <w:rPr>
          <w:spacing w:val="13"/>
          <w:w w:val="105"/>
        </w:rPr>
        <w:t> </w:t>
      </w:r>
      <w:r>
        <w:rPr>
          <w:w w:val="105"/>
        </w:rPr>
        <w:t>to</w:t>
      </w:r>
      <w:r>
        <w:rPr>
          <w:spacing w:val="9"/>
          <w:w w:val="105"/>
        </w:rPr>
        <w:t> </w:t>
      </w:r>
      <w:r>
        <w:rPr>
          <w:spacing w:val="-2"/>
          <w:w w:val="105"/>
        </w:rPr>
        <w:t>Varex.</w:t>
      </w:r>
    </w:p>
    <w:p>
      <w:pPr>
        <w:pStyle w:val="BodyText"/>
        <w:spacing w:before="7"/>
        <w:rPr>
          <w:sz w:val="16"/>
        </w:rPr>
      </w:pPr>
    </w:p>
    <w:tbl>
      <w:tblPr>
        <w:tblW w:w="0" w:type="auto"/>
        <w:jc w:val="left"/>
        <w:tblInd w:w="1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1"/>
        <w:gridCol w:w="224"/>
        <w:gridCol w:w="853"/>
        <w:gridCol w:w="221"/>
        <w:gridCol w:w="846"/>
      </w:tblGrid>
      <w:tr>
        <w:trPr>
          <w:trHeight w:val="166" w:hRule="atLeast"/>
        </w:trPr>
        <w:tc>
          <w:tcPr>
            <w:tcW w:w="5835" w:type="dxa"/>
            <w:gridSpan w:val="2"/>
          </w:tcPr>
          <w:p>
            <w:pPr>
              <w:pStyle w:val="TableParagraph"/>
              <w:rPr>
                <w:sz w:val="10"/>
              </w:rPr>
            </w:pPr>
          </w:p>
        </w:tc>
        <w:tc>
          <w:tcPr>
            <w:tcW w:w="853" w:type="dxa"/>
          </w:tcPr>
          <w:p>
            <w:pPr>
              <w:pStyle w:val="TableParagraph"/>
              <w:spacing w:line="146" w:lineRule="exact"/>
              <w:ind w:left="11" w:right="11"/>
              <w:jc w:val="center"/>
              <w:rPr>
                <w:b/>
                <w:sz w:val="15"/>
              </w:rPr>
            </w:pPr>
            <w:r>
              <w:rPr>
                <w:b/>
                <w:spacing w:val="-5"/>
                <w:sz w:val="15"/>
              </w:rPr>
              <w:t>Fiscal</w:t>
            </w:r>
            <w:r>
              <w:rPr>
                <w:b/>
                <w:spacing w:val="-1"/>
                <w:sz w:val="15"/>
              </w:rPr>
              <w:t> </w:t>
            </w:r>
            <w:r>
              <w:rPr>
                <w:b/>
                <w:spacing w:val="-4"/>
                <w:sz w:val="15"/>
              </w:rPr>
              <w:t>Year</w:t>
            </w:r>
          </w:p>
        </w:tc>
        <w:tc>
          <w:tcPr>
            <w:tcW w:w="221" w:type="dxa"/>
          </w:tcPr>
          <w:p>
            <w:pPr>
              <w:pStyle w:val="TableParagraph"/>
              <w:rPr>
                <w:sz w:val="10"/>
              </w:rPr>
            </w:pPr>
          </w:p>
        </w:tc>
        <w:tc>
          <w:tcPr>
            <w:tcW w:w="846" w:type="dxa"/>
          </w:tcPr>
          <w:p>
            <w:pPr>
              <w:pStyle w:val="TableParagraph"/>
              <w:spacing w:line="146" w:lineRule="exact"/>
              <w:ind w:left="6" w:right="6"/>
              <w:jc w:val="center"/>
              <w:rPr>
                <w:b/>
                <w:sz w:val="15"/>
              </w:rPr>
            </w:pPr>
            <w:r>
              <w:rPr>
                <w:b/>
                <w:spacing w:val="-5"/>
                <w:sz w:val="15"/>
              </w:rPr>
              <w:t>Fiscal</w:t>
            </w:r>
            <w:r>
              <w:rPr>
                <w:b/>
                <w:spacing w:val="-1"/>
                <w:sz w:val="15"/>
              </w:rPr>
              <w:t> </w:t>
            </w:r>
            <w:r>
              <w:rPr>
                <w:b/>
                <w:spacing w:val="-4"/>
                <w:sz w:val="15"/>
              </w:rPr>
              <w:t>Year</w:t>
            </w:r>
          </w:p>
        </w:tc>
      </w:tr>
      <w:tr>
        <w:trPr>
          <w:trHeight w:val="217" w:hRule="atLeast"/>
        </w:trPr>
        <w:tc>
          <w:tcPr>
            <w:tcW w:w="5611" w:type="dxa"/>
            <w:tcBorders>
              <w:bottom w:val="single" w:sz="6" w:space="0" w:color="000000"/>
            </w:tcBorders>
          </w:tcPr>
          <w:p>
            <w:pPr>
              <w:pStyle w:val="TableParagraph"/>
              <w:spacing w:line="167" w:lineRule="exact"/>
              <w:rPr>
                <w:b/>
                <w:sz w:val="15"/>
              </w:rPr>
            </w:pPr>
            <w:r>
              <w:rPr>
                <w:b/>
                <w:spacing w:val="-4"/>
                <w:sz w:val="15"/>
              </w:rPr>
              <w:t>Fee </w:t>
            </w:r>
            <w:r>
              <w:rPr>
                <w:b/>
                <w:spacing w:val="-2"/>
                <w:sz w:val="15"/>
              </w:rPr>
              <w:t>Category</w:t>
            </w:r>
          </w:p>
        </w:tc>
        <w:tc>
          <w:tcPr>
            <w:tcW w:w="224" w:type="dxa"/>
          </w:tcPr>
          <w:p>
            <w:pPr>
              <w:pStyle w:val="TableParagraph"/>
              <w:rPr>
                <w:sz w:val="14"/>
              </w:rPr>
            </w:pPr>
          </w:p>
        </w:tc>
        <w:tc>
          <w:tcPr>
            <w:tcW w:w="853" w:type="dxa"/>
            <w:tcBorders>
              <w:bottom w:val="single" w:sz="6" w:space="0" w:color="000000"/>
            </w:tcBorders>
          </w:tcPr>
          <w:p>
            <w:pPr>
              <w:pStyle w:val="TableParagraph"/>
              <w:spacing w:line="167" w:lineRule="exact"/>
              <w:ind w:left="11" w:right="11"/>
              <w:jc w:val="center"/>
              <w:rPr>
                <w:b/>
                <w:sz w:val="15"/>
              </w:rPr>
            </w:pPr>
            <w:r>
              <w:rPr>
                <w:b/>
                <w:spacing w:val="-4"/>
                <w:sz w:val="15"/>
              </w:rPr>
              <w:t>2022</w:t>
            </w:r>
          </w:p>
        </w:tc>
        <w:tc>
          <w:tcPr>
            <w:tcW w:w="221" w:type="dxa"/>
          </w:tcPr>
          <w:p>
            <w:pPr>
              <w:pStyle w:val="TableParagraph"/>
              <w:rPr>
                <w:sz w:val="14"/>
              </w:rPr>
            </w:pPr>
          </w:p>
        </w:tc>
        <w:tc>
          <w:tcPr>
            <w:tcW w:w="846" w:type="dxa"/>
            <w:tcBorders>
              <w:bottom w:val="single" w:sz="6" w:space="0" w:color="000000"/>
            </w:tcBorders>
          </w:tcPr>
          <w:p>
            <w:pPr>
              <w:pStyle w:val="TableParagraph"/>
              <w:spacing w:line="167" w:lineRule="exact"/>
              <w:ind w:left="6" w:right="6"/>
              <w:jc w:val="center"/>
              <w:rPr>
                <w:b/>
                <w:sz w:val="15"/>
              </w:rPr>
            </w:pPr>
            <w:r>
              <w:rPr>
                <w:b/>
                <w:spacing w:val="-4"/>
                <w:sz w:val="15"/>
              </w:rPr>
              <w:t>2021</w:t>
            </w:r>
          </w:p>
        </w:tc>
      </w:tr>
      <w:tr>
        <w:trPr>
          <w:trHeight w:val="593" w:hRule="atLeast"/>
        </w:trPr>
        <w:tc>
          <w:tcPr>
            <w:tcW w:w="5611" w:type="dxa"/>
            <w:tcBorders>
              <w:top w:val="single" w:sz="6" w:space="0" w:color="000000"/>
            </w:tcBorders>
          </w:tcPr>
          <w:p>
            <w:pPr>
              <w:pStyle w:val="TableParagraph"/>
              <w:spacing w:before="55"/>
              <w:rPr>
                <w:sz w:val="18"/>
              </w:rPr>
            </w:pPr>
            <w:r>
              <w:rPr>
                <w:sz w:val="18"/>
              </w:rPr>
              <w:t>Audit</w:t>
            </w:r>
            <w:r>
              <w:rPr>
                <w:spacing w:val="33"/>
                <w:sz w:val="18"/>
              </w:rPr>
              <w:t> </w:t>
            </w:r>
            <w:r>
              <w:rPr>
                <w:spacing w:val="-2"/>
                <w:sz w:val="18"/>
              </w:rPr>
              <w:t>Fees</w:t>
            </w:r>
            <w:r>
              <w:rPr>
                <w:spacing w:val="-2"/>
                <w:sz w:val="18"/>
                <w:vertAlign w:val="superscript"/>
              </w:rPr>
              <w:t>(1)(2)</w:t>
            </w:r>
          </w:p>
          <w:p>
            <w:pPr>
              <w:pStyle w:val="TableParagraph"/>
              <w:spacing w:before="86"/>
              <w:rPr>
                <w:sz w:val="18"/>
              </w:rPr>
            </w:pPr>
            <w:r>
              <w:rPr>
                <w:sz w:val="18"/>
              </w:rPr>
              <w:t>Audit-Related</w:t>
            </w:r>
            <w:r>
              <w:rPr>
                <w:spacing w:val="75"/>
                <w:sz w:val="18"/>
              </w:rPr>
              <w:t> </w:t>
            </w:r>
            <w:r>
              <w:rPr>
                <w:spacing w:val="-4"/>
                <w:sz w:val="18"/>
              </w:rPr>
              <w:t>Fees</w:t>
            </w:r>
          </w:p>
        </w:tc>
        <w:tc>
          <w:tcPr>
            <w:tcW w:w="224" w:type="dxa"/>
          </w:tcPr>
          <w:p>
            <w:pPr>
              <w:pStyle w:val="TableParagraph"/>
              <w:rPr>
                <w:sz w:val="18"/>
              </w:rPr>
            </w:pPr>
          </w:p>
        </w:tc>
        <w:tc>
          <w:tcPr>
            <w:tcW w:w="853" w:type="dxa"/>
            <w:tcBorders>
              <w:top w:val="single" w:sz="6" w:space="0" w:color="000000"/>
            </w:tcBorders>
          </w:tcPr>
          <w:p>
            <w:pPr>
              <w:pStyle w:val="TableParagraph"/>
              <w:spacing w:before="83"/>
              <w:ind w:left="2"/>
              <w:rPr>
                <w:sz w:val="18"/>
              </w:rPr>
            </w:pPr>
            <w:r>
              <w:rPr>
                <w:spacing w:val="-2"/>
                <w:sz w:val="18"/>
              </w:rPr>
              <w:t>$2,916,207</w:t>
            </w:r>
          </w:p>
          <w:p>
            <w:pPr>
              <w:pStyle w:val="TableParagraph"/>
              <w:tabs>
                <w:tab w:pos="661" w:val="left" w:leader="none"/>
              </w:tabs>
              <w:spacing w:before="58"/>
              <w:ind w:left="2"/>
              <w:rPr>
                <w:sz w:val="18"/>
              </w:rPr>
            </w:pPr>
            <w:r>
              <w:rPr>
                <w:spacing w:val="-10"/>
                <w:w w:val="105"/>
                <w:sz w:val="18"/>
              </w:rPr>
              <w:t>$</w:t>
            </w:r>
            <w:r>
              <w:rPr>
                <w:sz w:val="18"/>
              </w:rPr>
              <w:tab/>
            </w:r>
            <w:r>
              <w:rPr>
                <w:spacing w:val="-12"/>
                <w:w w:val="105"/>
                <w:sz w:val="18"/>
              </w:rPr>
              <w:t>—</w:t>
            </w:r>
          </w:p>
        </w:tc>
        <w:tc>
          <w:tcPr>
            <w:tcW w:w="221" w:type="dxa"/>
          </w:tcPr>
          <w:p>
            <w:pPr>
              <w:pStyle w:val="TableParagraph"/>
              <w:rPr>
                <w:sz w:val="18"/>
              </w:rPr>
            </w:pPr>
          </w:p>
        </w:tc>
        <w:tc>
          <w:tcPr>
            <w:tcW w:w="846" w:type="dxa"/>
            <w:tcBorders>
              <w:top w:val="single" w:sz="6" w:space="0" w:color="000000"/>
            </w:tcBorders>
          </w:tcPr>
          <w:p>
            <w:pPr>
              <w:pStyle w:val="TableParagraph"/>
              <w:spacing w:before="83"/>
              <w:ind w:left="-2"/>
              <w:rPr>
                <w:sz w:val="18"/>
              </w:rPr>
            </w:pPr>
            <w:r>
              <w:rPr>
                <w:spacing w:val="-2"/>
                <w:sz w:val="18"/>
              </w:rPr>
              <w:t>$2,651,085</w:t>
            </w:r>
          </w:p>
          <w:p>
            <w:pPr>
              <w:pStyle w:val="TableParagraph"/>
              <w:tabs>
                <w:tab w:pos="658" w:val="left" w:leader="none"/>
              </w:tabs>
              <w:spacing w:before="58"/>
              <w:ind w:left="-2"/>
              <w:rPr>
                <w:sz w:val="18"/>
              </w:rPr>
            </w:pPr>
            <w:r>
              <w:rPr>
                <w:spacing w:val="-10"/>
                <w:w w:val="105"/>
                <w:sz w:val="18"/>
              </w:rPr>
              <w:t>$</w:t>
            </w:r>
            <w:r>
              <w:rPr>
                <w:sz w:val="18"/>
              </w:rPr>
              <w:tab/>
            </w:r>
            <w:r>
              <w:rPr>
                <w:spacing w:val="-11"/>
                <w:w w:val="105"/>
                <w:sz w:val="18"/>
              </w:rPr>
              <w:t>—</w:t>
            </w:r>
          </w:p>
        </w:tc>
      </w:tr>
      <w:tr>
        <w:trPr>
          <w:trHeight w:val="593" w:hRule="atLeast"/>
        </w:trPr>
        <w:tc>
          <w:tcPr>
            <w:tcW w:w="5611" w:type="dxa"/>
          </w:tcPr>
          <w:p>
            <w:pPr>
              <w:pStyle w:val="TableParagraph"/>
              <w:spacing w:before="34"/>
              <w:rPr>
                <w:sz w:val="18"/>
              </w:rPr>
            </w:pPr>
            <w:r>
              <w:rPr>
                <w:w w:val="105"/>
                <w:sz w:val="18"/>
              </w:rPr>
              <w:t>Tax</w:t>
            </w:r>
            <w:r>
              <w:rPr>
                <w:spacing w:val="-6"/>
                <w:w w:val="105"/>
                <w:sz w:val="18"/>
              </w:rPr>
              <w:t> </w:t>
            </w:r>
            <w:r>
              <w:rPr>
                <w:spacing w:val="-4"/>
                <w:w w:val="105"/>
                <w:sz w:val="18"/>
              </w:rPr>
              <w:t>Fees</w:t>
            </w:r>
          </w:p>
          <w:p>
            <w:pPr>
              <w:pStyle w:val="TableParagraph"/>
              <w:spacing w:before="73"/>
              <w:rPr>
                <w:sz w:val="18"/>
              </w:rPr>
            </w:pPr>
            <w:r>
              <w:rPr>
                <w:w w:val="105"/>
                <w:sz w:val="18"/>
              </w:rPr>
              <w:t>All</w:t>
            </w:r>
            <w:r>
              <w:rPr>
                <w:spacing w:val="9"/>
                <w:w w:val="105"/>
                <w:sz w:val="18"/>
              </w:rPr>
              <w:t> </w:t>
            </w:r>
            <w:r>
              <w:rPr>
                <w:w w:val="105"/>
                <w:sz w:val="18"/>
              </w:rPr>
              <w:t>Other</w:t>
            </w:r>
            <w:r>
              <w:rPr>
                <w:spacing w:val="9"/>
                <w:w w:val="105"/>
                <w:sz w:val="18"/>
              </w:rPr>
              <w:t> </w:t>
            </w:r>
            <w:r>
              <w:rPr>
                <w:spacing w:val="-2"/>
                <w:w w:val="105"/>
                <w:sz w:val="18"/>
              </w:rPr>
              <w:t>Fees</w:t>
            </w:r>
            <w:r>
              <w:rPr>
                <w:spacing w:val="-2"/>
                <w:w w:val="105"/>
                <w:sz w:val="18"/>
                <w:vertAlign w:val="superscript"/>
              </w:rPr>
              <w:t>(3)</w:t>
            </w:r>
          </w:p>
        </w:tc>
        <w:tc>
          <w:tcPr>
            <w:tcW w:w="224" w:type="dxa"/>
          </w:tcPr>
          <w:p>
            <w:pPr>
              <w:pStyle w:val="TableParagraph"/>
              <w:rPr>
                <w:sz w:val="18"/>
              </w:rPr>
            </w:pPr>
          </w:p>
        </w:tc>
        <w:tc>
          <w:tcPr>
            <w:tcW w:w="853" w:type="dxa"/>
            <w:tcBorders>
              <w:bottom w:val="single" w:sz="6" w:space="0" w:color="000000"/>
            </w:tcBorders>
          </w:tcPr>
          <w:p>
            <w:pPr>
              <w:pStyle w:val="TableParagraph"/>
              <w:tabs>
                <w:tab w:pos="661" w:val="left" w:leader="none"/>
              </w:tabs>
              <w:spacing w:before="34"/>
              <w:ind w:left="2"/>
              <w:rPr>
                <w:sz w:val="18"/>
              </w:rPr>
            </w:pPr>
            <w:r>
              <w:rPr>
                <w:spacing w:val="-10"/>
                <w:w w:val="105"/>
                <w:sz w:val="18"/>
              </w:rPr>
              <w:t>$</w:t>
            </w:r>
            <w:r>
              <w:rPr>
                <w:sz w:val="18"/>
              </w:rPr>
              <w:tab/>
            </w:r>
            <w:r>
              <w:rPr>
                <w:spacing w:val="-12"/>
                <w:w w:val="105"/>
                <w:sz w:val="18"/>
              </w:rPr>
              <w:t>—</w:t>
            </w:r>
          </w:p>
          <w:p>
            <w:pPr>
              <w:pStyle w:val="TableParagraph"/>
              <w:tabs>
                <w:tab w:pos="335" w:val="left" w:leader="none"/>
              </w:tabs>
              <w:spacing w:before="101"/>
              <w:ind w:left="2"/>
              <w:rPr>
                <w:sz w:val="18"/>
              </w:rPr>
            </w:pPr>
            <w:r>
              <w:rPr>
                <w:spacing w:val="-10"/>
                <w:w w:val="105"/>
                <w:sz w:val="18"/>
              </w:rPr>
              <w:t>$</w:t>
            </w:r>
            <w:r>
              <w:rPr>
                <w:sz w:val="18"/>
              </w:rPr>
              <w:tab/>
            </w:r>
            <w:r>
              <w:rPr>
                <w:spacing w:val="-2"/>
                <w:w w:val="105"/>
                <w:sz w:val="18"/>
              </w:rPr>
              <w:t>86,858</w:t>
            </w:r>
          </w:p>
        </w:tc>
        <w:tc>
          <w:tcPr>
            <w:tcW w:w="221" w:type="dxa"/>
          </w:tcPr>
          <w:p>
            <w:pPr>
              <w:pStyle w:val="TableParagraph"/>
              <w:rPr>
                <w:sz w:val="18"/>
              </w:rPr>
            </w:pPr>
          </w:p>
        </w:tc>
        <w:tc>
          <w:tcPr>
            <w:tcW w:w="846" w:type="dxa"/>
            <w:tcBorders>
              <w:bottom w:val="single" w:sz="6" w:space="0" w:color="000000"/>
            </w:tcBorders>
          </w:tcPr>
          <w:p>
            <w:pPr>
              <w:pStyle w:val="TableParagraph"/>
              <w:tabs>
                <w:tab w:pos="658" w:val="left" w:leader="none"/>
              </w:tabs>
              <w:spacing w:before="34"/>
              <w:ind w:left="-2"/>
              <w:rPr>
                <w:sz w:val="18"/>
              </w:rPr>
            </w:pPr>
            <w:r>
              <w:rPr>
                <w:spacing w:val="-10"/>
                <w:w w:val="105"/>
                <w:sz w:val="18"/>
              </w:rPr>
              <w:t>$</w:t>
            </w:r>
            <w:r>
              <w:rPr>
                <w:sz w:val="18"/>
              </w:rPr>
              <w:tab/>
            </w:r>
            <w:r>
              <w:rPr>
                <w:spacing w:val="-11"/>
                <w:w w:val="105"/>
                <w:sz w:val="18"/>
              </w:rPr>
              <w:t>—</w:t>
            </w:r>
          </w:p>
          <w:p>
            <w:pPr>
              <w:pStyle w:val="TableParagraph"/>
              <w:tabs>
                <w:tab w:pos="425" w:val="left" w:leader="none"/>
              </w:tabs>
              <w:spacing w:before="101"/>
              <w:ind w:left="-2"/>
              <w:rPr>
                <w:sz w:val="18"/>
              </w:rPr>
            </w:pPr>
            <w:r>
              <w:rPr>
                <w:spacing w:val="-10"/>
                <w:w w:val="105"/>
                <w:sz w:val="18"/>
              </w:rPr>
              <w:t>$</w:t>
            </w:r>
            <w:r>
              <w:rPr>
                <w:sz w:val="18"/>
              </w:rPr>
              <w:tab/>
            </w:r>
            <w:r>
              <w:rPr>
                <w:spacing w:val="-4"/>
                <w:w w:val="105"/>
                <w:sz w:val="18"/>
              </w:rPr>
              <w:t>5,685</w:t>
            </w:r>
          </w:p>
        </w:tc>
      </w:tr>
      <w:tr>
        <w:trPr>
          <w:trHeight w:val="249" w:hRule="atLeast"/>
        </w:trPr>
        <w:tc>
          <w:tcPr>
            <w:tcW w:w="5611" w:type="dxa"/>
          </w:tcPr>
          <w:p>
            <w:pPr>
              <w:pStyle w:val="TableParagraph"/>
              <w:spacing w:line="188" w:lineRule="exact" w:before="41"/>
              <w:rPr>
                <w:sz w:val="18"/>
              </w:rPr>
            </w:pPr>
            <w:r>
              <w:rPr>
                <w:w w:val="105"/>
                <w:sz w:val="18"/>
              </w:rPr>
              <w:t>Total</w:t>
            </w:r>
            <w:r>
              <w:rPr>
                <w:spacing w:val="-2"/>
                <w:w w:val="105"/>
                <w:sz w:val="18"/>
              </w:rPr>
              <w:t> </w:t>
            </w:r>
            <w:r>
              <w:rPr>
                <w:spacing w:val="-4"/>
                <w:w w:val="105"/>
                <w:sz w:val="18"/>
              </w:rPr>
              <w:t>Fees</w:t>
            </w:r>
          </w:p>
        </w:tc>
        <w:tc>
          <w:tcPr>
            <w:tcW w:w="224" w:type="dxa"/>
          </w:tcPr>
          <w:p>
            <w:pPr>
              <w:pStyle w:val="TableParagraph"/>
              <w:rPr>
                <w:sz w:val="18"/>
              </w:rPr>
            </w:pPr>
          </w:p>
        </w:tc>
        <w:tc>
          <w:tcPr>
            <w:tcW w:w="853" w:type="dxa"/>
            <w:tcBorders>
              <w:top w:val="single" w:sz="6" w:space="0" w:color="000000"/>
            </w:tcBorders>
          </w:tcPr>
          <w:p>
            <w:pPr>
              <w:pStyle w:val="TableParagraph"/>
              <w:spacing w:line="188" w:lineRule="exact" w:before="41"/>
              <w:ind w:left="11" w:right="12"/>
              <w:jc w:val="center"/>
              <w:rPr>
                <w:sz w:val="18"/>
              </w:rPr>
            </w:pPr>
            <w:r>
              <w:rPr>
                <w:spacing w:val="-2"/>
                <w:sz w:val="18"/>
              </w:rPr>
              <w:t>$3,003,065</w:t>
            </w:r>
          </w:p>
        </w:tc>
        <w:tc>
          <w:tcPr>
            <w:tcW w:w="221" w:type="dxa"/>
          </w:tcPr>
          <w:p>
            <w:pPr>
              <w:pStyle w:val="TableParagraph"/>
              <w:rPr>
                <w:sz w:val="18"/>
              </w:rPr>
            </w:pPr>
          </w:p>
        </w:tc>
        <w:tc>
          <w:tcPr>
            <w:tcW w:w="846" w:type="dxa"/>
            <w:tcBorders>
              <w:top w:val="single" w:sz="6" w:space="0" w:color="000000"/>
            </w:tcBorders>
          </w:tcPr>
          <w:p>
            <w:pPr>
              <w:pStyle w:val="TableParagraph"/>
              <w:spacing w:line="188" w:lineRule="exact" w:before="41"/>
              <w:ind w:left="6" w:right="9"/>
              <w:jc w:val="center"/>
              <w:rPr>
                <w:sz w:val="18"/>
              </w:rPr>
            </w:pPr>
            <w:r>
              <w:rPr>
                <w:spacing w:val="-2"/>
                <w:sz w:val="18"/>
              </w:rPr>
              <w:t>$2,656,770</w:t>
            </w:r>
          </w:p>
        </w:tc>
      </w:tr>
    </w:tbl>
    <w:p>
      <w:pPr>
        <w:pStyle w:val="BodyText"/>
        <w:spacing w:before="6"/>
        <w:rPr>
          <w:sz w:val="22"/>
        </w:rPr>
      </w:pPr>
      <w:r>
        <w:rPr/>
        <w:pict>
          <v:rect style="position:absolute;margin-left:112.879082pt;margin-top:14.195095pt;width:100.654902pt;height:.698992pt;mso-position-horizontal-relative:page;mso-position-vertical-relative:paragraph;z-index:-15699968;mso-wrap-distance-left:0;mso-wrap-distance-right:0" id="docshape218" filled="true" fillcolor="#000000" stroked="false">
            <v:fill type="solid"/>
            <w10:wrap type="topAndBottom"/>
          </v:rect>
        </w:pict>
      </w:r>
    </w:p>
    <w:p>
      <w:pPr>
        <w:pStyle w:val="ListParagraph"/>
        <w:numPr>
          <w:ilvl w:val="0"/>
          <w:numId w:val="22"/>
        </w:numPr>
        <w:tabs>
          <w:tab w:pos="2146" w:val="left" w:leader="none"/>
        </w:tabs>
        <w:spacing w:line="259" w:lineRule="auto" w:before="139" w:after="0"/>
        <w:ind w:left="2145" w:right="1501" w:hanging="373"/>
        <w:jc w:val="left"/>
        <w:rPr>
          <w:sz w:val="18"/>
        </w:rPr>
      </w:pPr>
      <w:r>
        <w:rPr>
          <w:i/>
          <w:w w:val="105"/>
          <w:sz w:val="18"/>
        </w:rPr>
        <w:t>Audit Fees</w:t>
      </w:r>
      <w:r>
        <w:rPr>
          <w:w w:val="105"/>
          <w:sz w:val="18"/>
        </w:rPr>
        <w:t>.</w:t>
      </w:r>
      <w:r>
        <w:rPr>
          <w:spacing w:val="80"/>
          <w:w w:val="150"/>
          <w:sz w:val="18"/>
        </w:rPr>
        <w:t> </w:t>
      </w:r>
      <w:r>
        <w:rPr>
          <w:w w:val="105"/>
          <w:sz w:val="18"/>
        </w:rPr>
        <w:t>Consist of fees for the audit of annual financial statements, review of quarterly</w:t>
      </w:r>
      <w:r>
        <w:rPr>
          <w:spacing w:val="40"/>
          <w:w w:val="105"/>
          <w:sz w:val="18"/>
        </w:rPr>
        <w:t> </w:t>
      </w:r>
      <w:r>
        <w:rPr>
          <w:w w:val="105"/>
          <w:sz w:val="18"/>
        </w:rPr>
        <w:t>financial statements and services normally provided in connection with statutory and regulatory filings</w:t>
      </w:r>
      <w:r>
        <w:rPr>
          <w:spacing w:val="15"/>
          <w:w w:val="105"/>
          <w:sz w:val="18"/>
        </w:rPr>
        <w:t> </w:t>
      </w:r>
      <w:r>
        <w:rPr>
          <w:w w:val="105"/>
          <w:sz w:val="18"/>
        </w:rPr>
        <w:t>or</w:t>
      </w:r>
      <w:r>
        <w:rPr>
          <w:spacing w:val="15"/>
          <w:w w:val="105"/>
          <w:sz w:val="18"/>
        </w:rPr>
        <w:t> </w:t>
      </w:r>
      <w:r>
        <w:rPr>
          <w:w w:val="105"/>
          <w:sz w:val="18"/>
        </w:rPr>
        <w:t>engagements. Audit</w:t>
      </w:r>
      <w:r>
        <w:rPr>
          <w:spacing w:val="15"/>
          <w:w w:val="105"/>
          <w:sz w:val="18"/>
        </w:rPr>
        <w:t> </w:t>
      </w:r>
      <w:r>
        <w:rPr>
          <w:w w:val="105"/>
          <w:sz w:val="18"/>
        </w:rPr>
        <w:t>fees</w:t>
      </w:r>
      <w:r>
        <w:rPr>
          <w:spacing w:val="15"/>
          <w:w w:val="105"/>
          <w:sz w:val="18"/>
        </w:rPr>
        <w:t> </w:t>
      </w:r>
      <w:r>
        <w:rPr>
          <w:w w:val="105"/>
          <w:sz w:val="18"/>
        </w:rPr>
        <w:t>for</w:t>
      </w:r>
      <w:r>
        <w:rPr>
          <w:spacing w:val="15"/>
          <w:w w:val="105"/>
          <w:sz w:val="18"/>
        </w:rPr>
        <w:t> </w:t>
      </w:r>
      <w:r>
        <w:rPr>
          <w:w w:val="105"/>
          <w:sz w:val="18"/>
        </w:rPr>
        <w:t>fiscal</w:t>
      </w:r>
      <w:r>
        <w:rPr>
          <w:spacing w:val="15"/>
          <w:w w:val="105"/>
          <w:sz w:val="18"/>
        </w:rPr>
        <w:t> </w:t>
      </w:r>
      <w:r>
        <w:rPr>
          <w:w w:val="105"/>
          <w:sz w:val="18"/>
        </w:rPr>
        <w:t>year</w:t>
      </w:r>
      <w:r>
        <w:rPr>
          <w:spacing w:val="15"/>
          <w:w w:val="105"/>
          <w:sz w:val="18"/>
        </w:rPr>
        <w:t> </w:t>
      </w:r>
      <w:r>
        <w:rPr>
          <w:w w:val="105"/>
          <w:sz w:val="18"/>
        </w:rPr>
        <w:t>2022</w:t>
      </w:r>
      <w:r>
        <w:rPr>
          <w:spacing w:val="15"/>
          <w:w w:val="105"/>
          <w:sz w:val="18"/>
        </w:rPr>
        <w:t> </w:t>
      </w:r>
      <w:r>
        <w:rPr>
          <w:w w:val="105"/>
          <w:sz w:val="18"/>
        </w:rPr>
        <w:t>increased</w:t>
      </w:r>
      <w:r>
        <w:rPr>
          <w:spacing w:val="15"/>
          <w:w w:val="105"/>
          <w:sz w:val="18"/>
        </w:rPr>
        <w:t> </w:t>
      </w:r>
      <w:r>
        <w:rPr>
          <w:w w:val="105"/>
          <w:sz w:val="18"/>
        </w:rPr>
        <w:t>over</w:t>
      </w:r>
      <w:r>
        <w:rPr>
          <w:spacing w:val="15"/>
          <w:w w:val="105"/>
          <w:sz w:val="18"/>
        </w:rPr>
        <w:t> </w:t>
      </w:r>
      <w:r>
        <w:rPr>
          <w:w w:val="105"/>
          <w:sz w:val="18"/>
        </w:rPr>
        <w:t>the</w:t>
      </w:r>
      <w:r>
        <w:rPr>
          <w:spacing w:val="15"/>
          <w:w w:val="105"/>
          <w:sz w:val="18"/>
        </w:rPr>
        <w:t> </w:t>
      </w:r>
      <w:r>
        <w:rPr>
          <w:w w:val="105"/>
          <w:sz w:val="18"/>
        </w:rPr>
        <w:t>prior</w:t>
      </w:r>
      <w:r>
        <w:rPr>
          <w:spacing w:val="15"/>
          <w:w w:val="105"/>
          <w:sz w:val="18"/>
        </w:rPr>
        <w:t> </w:t>
      </w:r>
      <w:r>
        <w:rPr>
          <w:w w:val="105"/>
          <w:sz w:val="18"/>
        </w:rPr>
        <w:t>year</w:t>
      </w:r>
      <w:r>
        <w:rPr>
          <w:spacing w:val="15"/>
          <w:w w:val="105"/>
          <w:sz w:val="18"/>
        </w:rPr>
        <w:t> </w:t>
      </w:r>
      <w:r>
        <w:rPr>
          <w:w w:val="105"/>
          <w:sz w:val="18"/>
        </w:rPr>
        <w:t>primarily</w:t>
      </w:r>
      <w:r>
        <w:rPr>
          <w:spacing w:val="15"/>
          <w:w w:val="105"/>
          <w:sz w:val="18"/>
        </w:rPr>
        <w:t> </w:t>
      </w:r>
      <w:r>
        <w:rPr>
          <w:w w:val="105"/>
          <w:sz w:val="18"/>
        </w:rPr>
        <w:t>due to the increased number of statutory audits performed by Deloitte in 2022 compared to 2021.</w:t>
      </w:r>
    </w:p>
    <w:p>
      <w:pPr>
        <w:pStyle w:val="ListParagraph"/>
        <w:numPr>
          <w:ilvl w:val="0"/>
          <w:numId w:val="22"/>
        </w:numPr>
        <w:tabs>
          <w:tab w:pos="2146" w:val="left" w:leader="none"/>
        </w:tabs>
        <w:spacing w:line="259" w:lineRule="auto" w:before="85" w:after="0"/>
        <w:ind w:left="2145" w:right="1706" w:hanging="373"/>
        <w:jc w:val="left"/>
        <w:rPr>
          <w:sz w:val="18"/>
        </w:rPr>
      </w:pPr>
      <w:r>
        <w:rPr>
          <w:i/>
          <w:w w:val="105"/>
          <w:sz w:val="18"/>
        </w:rPr>
        <w:t>Change in Principal Auditors</w:t>
      </w:r>
      <w:r>
        <w:rPr>
          <w:w w:val="105"/>
          <w:sz w:val="18"/>
        </w:rPr>
        <w:t>.</w:t>
      </w:r>
      <w:r>
        <w:rPr>
          <w:spacing w:val="80"/>
          <w:w w:val="105"/>
          <w:sz w:val="18"/>
        </w:rPr>
        <w:t> </w:t>
      </w:r>
      <w:r>
        <w:rPr>
          <w:w w:val="105"/>
          <w:sz w:val="18"/>
        </w:rPr>
        <w:t>As previously disclosed, we changed our principal independent registered public accounting firm during fiscal year 2021. In addition to the audit fees paid to</w:t>
      </w:r>
      <w:r>
        <w:rPr>
          <w:spacing w:val="40"/>
          <w:w w:val="105"/>
          <w:sz w:val="18"/>
        </w:rPr>
        <w:t> </w:t>
      </w:r>
      <w:r>
        <w:rPr>
          <w:w w:val="105"/>
          <w:sz w:val="18"/>
        </w:rPr>
        <w:t>Deloitte, in fiscal year 2021, we paid PwC $1,036,528 in audit fees.</w:t>
      </w:r>
    </w:p>
    <w:p>
      <w:pPr>
        <w:pStyle w:val="ListParagraph"/>
        <w:numPr>
          <w:ilvl w:val="0"/>
          <w:numId w:val="22"/>
        </w:numPr>
        <w:tabs>
          <w:tab w:pos="2146" w:val="left" w:leader="none"/>
        </w:tabs>
        <w:spacing w:line="259" w:lineRule="auto" w:before="70" w:after="0"/>
        <w:ind w:left="2145" w:right="1411" w:hanging="373"/>
        <w:jc w:val="left"/>
        <w:rPr>
          <w:sz w:val="18"/>
        </w:rPr>
      </w:pPr>
      <w:r>
        <w:rPr>
          <w:i/>
          <w:w w:val="105"/>
          <w:sz w:val="18"/>
        </w:rPr>
        <w:t>All Other Fees</w:t>
      </w:r>
      <w:r>
        <w:rPr>
          <w:w w:val="105"/>
          <w:sz w:val="18"/>
        </w:rPr>
        <w:t>.</w:t>
      </w:r>
      <w:r>
        <w:rPr>
          <w:spacing w:val="80"/>
          <w:w w:val="105"/>
          <w:sz w:val="18"/>
        </w:rPr>
        <w:t> </w:t>
      </w:r>
      <w:r>
        <w:rPr>
          <w:w w:val="105"/>
          <w:sz w:val="18"/>
        </w:rPr>
        <w:t>Consist of ESG advisory services and fees for accessing an online accounting and</w:t>
      </w:r>
      <w:r>
        <w:rPr>
          <w:spacing w:val="40"/>
          <w:w w:val="105"/>
          <w:sz w:val="18"/>
        </w:rPr>
        <w:t> </w:t>
      </w:r>
      <w:r>
        <w:rPr>
          <w:w w:val="105"/>
          <w:sz w:val="18"/>
        </w:rPr>
        <w:t>financial</w:t>
      </w:r>
      <w:r>
        <w:rPr>
          <w:spacing w:val="23"/>
          <w:w w:val="105"/>
          <w:sz w:val="18"/>
        </w:rPr>
        <w:t> </w:t>
      </w:r>
      <w:r>
        <w:rPr>
          <w:w w:val="105"/>
          <w:sz w:val="18"/>
        </w:rPr>
        <w:t>information</w:t>
      </w:r>
      <w:r>
        <w:rPr>
          <w:spacing w:val="23"/>
          <w:w w:val="105"/>
          <w:sz w:val="18"/>
        </w:rPr>
        <w:t> </w:t>
      </w:r>
      <w:r>
        <w:rPr>
          <w:w w:val="105"/>
          <w:sz w:val="18"/>
        </w:rPr>
        <w:t>resource</w:t>
      </w:r>
      <w:r>
        <w:rPr>
          <w:spacing w:val="23"/>
          <w:w w:val="105"/>
          <w:sz w:val="18"/>
        </w:rPr>
        <w:t> </w:t>
      </w:r>
      <w:r>
        <w:rPr>
          <w:w w:val="105"/>
          <w:sz w:val="18"/>
        </w:rPr>
        <w:t>site</w:t>
      </w:r>
      <w:r>
        <w:rPr>
          <w:spacing w:val="23"/>
          <w:w w:val="105"/>
          <w:sz w:val="18"/>
        </w:rPr>
        <w:t> </w:t>
      </w:r>
      <w:r>
        <w:rPr>
          <w:w w:val="105"/>
          <w:sz w:val="18"/>
        </w:rPr>
        <w:t>in</w:t>
      </w:r>
      <w:r>
        <w:rPr>
          <w:spacing w:val="23"/>
          <w:w w:val="105"/>
          <w:sz w:val="18"/>
        </w:rPr>
        <w:t> </w:t>
      </w:r>
      <w:r>
        <w:rPr>
          <w:w w:val="105"/>
          <w:sz w:val="18"/>
        </w:rPr>
        <w:t>fiscal</w:t>
      </w:r>
      <w:r>
        <w:rPr>
          <w:spacing w:val="23"/>
          <w:w w:val="105"/>
          <w:sz w:val="18"/>
        </w:rPr>
        <w:t> </w:t>
      </w:r>
      <w:r>
        <w:rPr>
          <w:w w:val="105"/>
          <w:sz w:val="18"/>
        </w:rPr>
        <w:t>year</w:t>
      </w:r>
      <w:r>
        <w:rPr>
          <w:spacing w:val="23"/>
          <w:w w:val="105"/>
          <w:sz w:val="18"/>
        </w:rPr>
        <w:t> </w:t>
      </w:r>
      <w:r>
        <w:rPr>
          <w:w w:val="105"/>
          <w:sz w:val="18"/>
        </w:rPr>
        <w:t>2022</w:t>
      </w:r>
      <w:r>
        <w:rPr>
          <w:spacing w:val="23"/>
          <w:w w:val="105"/>
          <w:sz w:val="18"/>
        </w:rPr>
        <w:t> </w:t>
      </w:r>
      <w:r>
        <w:rPr>
          <w:w w:val="105"/>
          <w:sz w:val="18"/>
        </w:rPr>
        <w:t>and</w:t>
      </w:r>
      <w:r>
        <w:rPr>
          <w:spacing w:val="23"/>
          <w:w w:val="105"/>
          <w:sz w:val="18"/>
        </w:rPr>
        <w:t> </w:t>
      </w:r>
      <w:r>
        <w:rPr>
          <w:w w:val="105"/>
          <w:sz w:val="18"/>
        </w:rPr>
        <w:t>fees</w:t>
      </w:r>
      <w:r>
        <w:rPr>
          <w:spacing w:val="23"/>
          <w:w w:val="105"/>
          <w:sz w:val="18"/>
        </w:rPr>
        <w:t> </w:t>
      </w:r>
      <w:r>
        <w:rPr>
          <w:w w:val="105"/>
          <w:sz w:val="18"/>
        </w:rPr>
        <w:t>for</w:t>
      </w:r>
      <w:r>
        <w:rPr>
          <w:spacing w:val="23"/>
          <w:w w:val="105"/>
          <w:sz w:val="18"/>
        </w:rPr>
        <w:t> </w:t>
      </w:r>
      <w:r>
        <w:rPr>
          <w:w w:val="105"/>
          <w:sz w:val="18"/>
        </w:rPr>
        <w:t>accessing</w:t>
      </w:r>
      <w:r>
        <w:rPr>
          <w:spacing w:val="23"/>
          <w:w w:val="105"/>
          <w:sz w:val="18"/>
        </w:rPr>
        <w:t> </w:t>
      </w:r>
      <w:r>
        <w:rPr>
          <w:w w:val="105"/>
          <w:sz w:val="18"/>
        </w:rPr>
        <w:t>an</w:t>
      </w:r>
      <w:r>
        <w:rPr>
          <w:spacing w:val="23"/>
          <w:w w:val="105"/>
          <w:sz w:val="18"/>
        </w:rPr>
        <w:t> </w:t>
      </w:r>
      <w:r>
        <w:rPr>
          <w:w w:val="105"/>
          <w:sz w:val="18"/>
        </w:rPr>
        <w:t>online</w:t>
      </w:r>
      <w:r>
        <w:rPr>
          <w:spacing w:val="23"/>
          <w:w w:val="105"/>
          <w:sz w:val="18"/>
        </w:rPr>
        <w:t> </w:t>
      </w:r>
      <w:r>
        <w:rPr>
          <w:w w:val="105"/>
          <w:sz w:val="18"/>
        </w:rPr>
        <w:t>accounting and financial information resource site in fiscal year 2021.</w:t>
      </w:r>
    </w:p>
    <w:p>
      <w:pPr>
        <w:pStyle w:val="BodyText"/>
        <w:spacing w:line="259" w:lineRule="auto" w:before="154"/>
        <w:ind w:left="1400" w:right="1551" w:firstLine="372"/>
      </w:pPr>
      <w:r>
        <w:rPr>
          <w:w w:val="105"/>
        </w:rPr>
        <w:t>The Audit Committee determined that the provision of the above services, and the fees that we paid for these services, are compatible with maintaining the independence of our independent registered public</w:t>
      </w:r>
      <w:r>
        <w:rPr>
          <w:spacing w:val="40"/>
          <w:w w:val="105"/>
        </w:rPr>
        <w:t> </w:t>
      </w:r>
      <w:r>
        <w:rPr>
          <w:w w:val="105"/>
        </w:rPr>
        <w:t>accounting firm. The Audit Committee pre-approved all services that Deloitte provided in fiscal years 2022</w:t>
      </w:r>
      <w:r>
        <w:rPr>
          <w:spacing w:val="40"/>
          <w:w w:val="105"/>
        </w:rPr>
        <w:t> </w:t>
      </w:r>
      <w:r>
        <w:rPr>
          <w:w w:val="105"/>
        </w:rPr>
        <w:t>and 2021 and all services PwC provided in fiscal year 2021 in accordance with the pre-approval policy</w:t>
      </w:r>
      <w:r>
        <w:rPr>
          <w:spacing w:val="40"/>
          <w:w w:val="105"/>
        </w:rPr>
        <w:t> </w:t>
      </w:r>
      <w:r>
        <w:rPr>
          <w:w w:val="105"/>
        </w:rPr>
        <w:t>discussed above.</w:t>
      </w:r>
    </w:p>
    <w:p>
      <w:pPr>
        <w:spacing w:after="0" w:line="259" w:lineRule="auto"/>
        <w:sectPr>
          <w:headerReference w:type="default" r:id="rId99"/>
          <w:footerReference w:type="default" r:id="rId100"/>
          <w:pgSz w:w="12240" w:h="15840"/>
          <w:pgMar w:header="529" w:footer="1819" w:top="720" w:bottom="2000" w:left="480" w:right="460"/>
        </w:sectPr>
      </w:pPr>
    </w:p>
    <w:p>
      <w:pPr>
        <w:pStyle w:val="BodyText"/>
        <w:rPr>
          <w:sz w:val="20"/>
        </w:rPr>
      </w:pPr>
    </w:p>
    <w:p>
      <w:pPr>
        <w:pStyle w:val="BodyText"/>
        <w:rPr>
          <w:sz w:val="20"/>
        </w:rPr>
      </w:pPr>
    </w:p>
    <w:p>
      <w:pPr>
        <w:pStyle w:val="BodyText"/>
        <w:spacing w:before="2"/>
        <w:rPr>
          <w:sz w:val="27"/>
        </w:rPr>
      </w:pPr>
    </w:p>
    <w:p>
      <w:pPr>
        <w:pStyle w:val="Heading1"/>
      </w:pPr>
      <w:bookmarkStart w:name="_TOC_250026" w:id="17"/>
      <w:r>
        <w:rPr/>
        <w:t>AUDIT</w:t>
      </w:r>
      <w:r>
        <w:rPr>
          <w:spacing w:val="-9"/>
        </w:rPr>
        <w:t> </w:t>
      </w:r>
      <w:r>
        <w:rPr/>
        <w:t>COMMITTEE</w:t>
      </w:r>
      <w:r>
        <w:rPr>
          <w:spacing w:val="-3"/>
        </w:rPr>
        <w:t> </w:t>
      </w:r>
      <w:bookmarkEnd w:id="17"/>
      <w:r>
        <w:rPr>
          <w:spacing w:val="-2"/>
        </w:rPr>
        <w:t>REPORT</w:t>
      </w:r>
    </w:p>
    <w:p>
      <w:pPr>
        <w:pStyle w:val="BodyText"/>
        <w:spacing w:line="259" w:lineRule="auto" w:before="171"/>
        <w:ind w:left="1400" w:right="1422" w:firstLine="372"/>
      </w:pPr>
      <w:r>
        <w:rPr>
          <w:w w:val="105"/>
        </w:rPr>
        <w:t>The Audit Committee (the “</w:t>
      </w:r>
      <w:r>
        <w:rPr>
          <w:b/>
          <w:w w:val="105"/>
        </w:rPr>
        <w:t>Audit</w:t>
      </w:r>
      <w:r>
        <w:rPr>
          <w:b/>
          <w:spacing w:val="-3"/>
          <w:w w:val="105"/>
        </w:rPr>
        <w:t> </w:t>
      </w:r>
      <w:r>
        <w:rPr>
          <w:b/>
          <w:w w:val="105"/>
        </w:rPr>
        <w:t>Committee</w:t>
      </w:r>
      <w:r>
        <w:rPr>
          <w:w w:val="105"/>
        </w:rPr>
        <w:t>”) of the Board of Directors (the “</w:t>
      </w:r>
      <w:r>
        <w:rPr>
          <w:b/>
          <w:w w:val="105"/>
        </w:rPr>
        <w:t>Board</w:t>
      </w:r>
      <w:r>
        <w:rPr>
          <w:w w:val="105"/>
        </w:rPr>
        <w:t>”) of Varex</w:t>
      </w:r>
      <w:r>
        <w:rPr>
          <w:spacing w:val="40"/>
          <w:w w:val="105"/>
        </w:rPr>
        <w:t> </w:t>
      </w:r>
      <w:r>
        <w:rPr>
          <w:w w:val="105"/>
        </w:rPr>
        <w:t>Imaging</w:t>
      </w:r>
      <w:r>
        <w:rPr>
          <w:spacing w:val="22"/>
          <w:w w:val="105"/>
        </w:rPr>
        <w:t> </w:t>
      </w:r>
      <w:r>
        <w:rPr>
          <w:w w:val="105"/>
        </w:rPr>
        <w:t>Corporation</w:t>
      </w:r>
      <w:r>
        <w:rPr>
          <w:spacing w:val="22"/>
          <w:w w:val="105"/>
        </w:rPr>
        <w:t> </w:t>
      </w:r>
      <w:r>
        <w:rPr>
          <w:w w:val="105"/>
        </w:rPr>
        <w:t>(the</w:t>
      </w:r>
      <w:r>
        <w:rPr>
          <w:spacing w:val="22"/>
          <w:w w:val="105"/>
        </w:rPr>
        <w:t> </w:t>
      </w:r>
      <w:r>
        <w:rPr>
          <w:w w:val="105"/>
        </w:rPr>
        <w:t>“</w:t>
      </w:r>
      <w:r>
        <w:rPr>
          <w:b/>
          <w:w w:val="105"/>
        </w:rPr>
        <w:t>Company</w:t>
      </w:r>
      <w:r>
        <w:rPr>
          <w:w w:val="105"/>
        </w:rPr>
        <w:t>”)</w:t>
      </w:r>
      <w:r>
        <w:rPr>
          <w:spacing w:val="22"/>
          <w:w w:val="105"/>
        </w:rPr>
        <w:t> </w:t>
      </w:r>
      <w:r>
        <w:rPr>
          <w:w w:val="105"/>
        </w:rPr>
        <w:t>consists</w:t>
      </w:r>
      <w:r>
        <w:rPr>
          <w:spacing w:val="22"/>
          <w:w w:val="105"/>
        </w:rPr>
        <w:t> </w:t>
      </w:r>
      <w:r>
        <w:rPr>
          <w:w w:val="105"/>
        </w:rPr>
        <w:t>of</w:t>
      </w:r>
      <w:r>
        <w:rPr>
          <w:spacing w:val="22"/>
          <w:w w:val="105"/>
        </w:rPr>
        <w:t> </w:t>
      </w:r>
      <w:r>
        <w:rPr>
          <w:w w:val="105"/>
        </w:rPr>
        <w:t>the</w:t>
      </w:r>
      <w:r>
        <w:rPr>
          <w:spacing w:val="22"/>
          <w:w w:val="105"/>
        </w:rPr>
        <w:t> </w:t>
      </w:r>
      <w:r>
        <w:rPr>
          <w:w w:val="105"/>
        </w:rPr>
        <w:t>five</w:t>
      </w:r>
      <w:r>
        <w:rPr>
          <w:spacing w:val="22"/>
          <w:w w:val="105"/>
        </w:rPr>
        <w:t> </w:t>
      </w:r>
      <w:r>
        <w:rPr>
          <w:w w:val="105"/>
        </w:rPr>
        <w:t>directors</w:t>
      </w:r>
      <w:r>
        <w:rPr>
          <w:spacing w:val="22"/>
          <w:w w:val="105"/>
        </w:rPr>
        <w:t> </w:t>
      </w:r>
      <w:r>
        <w:rPr>
          <w:w w:val="105"/>
        </w:rPr>
        <w:t>whose</w:t>
      </w:r>
      <w:r>
        <w:rPr>
          <w:spacing w:val="22"/>
          <w:w w:val="105"/>
        </w:rPr>
        <w:t> </w:t>
      </w:r>
      <w:r>
        <w:rPr>
          <w:w w:val="105"/>
        </w:rPr>
        <w:t>names</w:t>
      </w:r>
      <w:r>
        <w:rPr>
          <w:spacing w:val="22"/>
          <w:w w:val="105"/>
        </w:rPr>
        <w:t> </w:t>
      </w:r>
      <w:r>
        <w:rPr>
          <w:w w:val="105"/>
        </w:rPr>
        <w:t>appear</w:t>
      </w:r>
      <w:r>
        <w:rPr>
          <w:spacing w:val="22"/>
          <w:w w:val="105"/>
        </w:rPr>
        <w:t> </w:t>
      </w:r>
      <w:r>
        <w:rPr>
          <w:w w:val="105"/>
        </w:rPr>
        <w:t>below.</w:t>
      </w:r>
      <w:r>
        <w:rPr>
          <w:spacing w:val="22"/>
          <w:w w:val="105"/>
        </w:rPr>
        <w:t> </w:t>
      </w:r>
      <w:r>
        <w:rPr>
          <w:w w:val="105"/>
        </w:rPr>
        <w:t>Each member</w:t>
      </w:r>
      <w:r>
        <w:rPr>
          <w:spacing w:val="16"/>
          <w:w w:val="105"/>
        </w:rPr>
        <w:t> </w:t>
      </w:r>
      <w:r>
        <w:rPr>
          <w:w w:val="105"/>
        </w:rPr>
        <w:t>of</w:t>
      </w:r>
      <w:r>
        <w:rPr>
          <w:spacing w:val="16"/>
          <w:w w:val="105"/>
        </w:rPr>
        <w:t> </w:t>
      </w:r>
      <w:r>
        <w:rPr>
          <w:w w:val="105"/>
        </w:rPr>
        <w:t>the Audit</w:t>
      </w:r>
      <w:r>
        <w:rPr>
          <w:spacing w:val="16"/>
          <w:w w:val="105"/>
        </w:rPr>
        <w:t> </w:t>
      </w:r>
      <w:r>
        <w:rPr>
          <w:w w:val="105"/>
        </w:rPr>
        <w:t>Committee</w:t>
      </w:r>
      <w:r>
        <w:rPr>
          <w:spacing w:val="16"/>
          <w:w w:val="105"/>
        </w:rPr>
        <w:t> </w:t>
      </w:r>
      <w:r>
        <w:rPr>
          <w:w w:val="105"/>
        </w:rPr>
        <w:t>meets</w:t>
      </w:r>
      <w:r>
        <w:rPr>
          <w:spacing w:val="16"/>
          <w:w w:val="105"/>
        </w:rPr>
        <w:t> </w:t>
      </w:r>
      <w:r>
        <w:rPr>
          <w:w w:val="105"/>
        </w:rPr>
        <w:t>the</w:t>
      </w:r>
      <w:r>
        <w:rPr>
          <w:spacing w:val="16"/>
          <w:w w:val="105"/>
        </w:rPr>
        <w:t> </w:t>
      </w:r>
      <w:r>
        <w:rPr>
          <w:w w:val="105"/>
        </w:rPr>
        <w:t>definition</w:t>
      </w:r>
      <w:r>
        <w:rPr>
          <w:spacing w:val="16"/>
          <w:w w:val="105"/>
        </w:rPr>
        <w:t> </w:t>
      </w:r>
      <w:r>
        <w:rPr>
          <w:w w:val="105"/>
        </w:rPr>
        <w:t>of</w:t>
      </w:r>
      <w:r>
        <w:rPr>
          <w:spacing w:val="16"/>
          <w:w w:val="105"/>
        </w:rPr>
        <w:t> </w:t>
      </w:r>
      <w:r>
        <w:rPr>
          <w:w w:val="105"/>
        </w:rPr>
        <w:t>“independent</w:t>
      </w:r>
      <w:r>
        <w:rPr>
          <w:spacing w:val="16"/>
          <w:w w:val="105"/>
        </w:rPr>
        <w:t> </w:t>
      </w:r>
      <w:r>
        <w:rPr>
          <w:w w:val="105"/>
        </w:rPr>
        <w:t>director”</w:t>
      </w:r>
      <w:r>
        <w:rPr>
          <w:spacing w:val="16"/>
          <w:w w:val="105"/>
        </w:rPr>
        <w:t> </w:t>
      </w:r>
      <w:r>
        <w:rPr>
          <w:w w:val="105"/>
        </w:rPr>
        <w:t>and</w:t>
      </w:r>
      <w:r>
        <w:rPr>
          <w:spacing w:val="16"/>
          <w:w w:val="105"/>
        </w:rPr>
        <w:t> </w:t>
      </w:r>
      <w:r>
        <w:rPr>
          <w:w w:val="105"/>
        </w:rPr>
        <w:t>otherwise</w:t>
      </w:r>
      <w:r>
        <w:rPr>
          <w:spacing w:val="16"/>
          <w:w w:val="105"/>
        </w:rPr>
        <w:t> </w:t>
      </w:r>
      <w:r>
        <w:rPr>
          <w:w w:val="105"/>
        </w:rPr>
        <w:t>qualifies</w:t>
      </w:r>
      <w:r>
        <w:rPr>
          <w:spacing w:val="16"/>
          <w:w w:val="105"/>
        </w:rPr>
        <w:t> </w:t>
      </w:r>
      <w:r>
        <w:rPr>
          <w:w w:val="105"/>
        </w:rPr>
        <w:t>to</w:t>
      </w:r>
      <w:r>
        <w:rPr>
          <w:spacing w:val="16"/>
          <w:w w:val="105"/>
        </w:rPr>
        <w:t> </w:t>
      </w:r>
      <w:r>
        <w:rPr>
          <w:w w:val="105"/>
        </w:rPr>
        <w:t>be a member of the Audit Committee under Nasdaq listing requirements.</w:t>
      </w:r>
    </w:p>
    <w:p>
      <w:pPr>
        <w:pStyle w:val="BodyText"/>
        <w:spacing w:line="259" w:lineRule="auto" w:before="154"/>
        <w:ind w:left="1400" w:right="1551" w:firstLine="372"/>
      </w:pPr>
      <w:r>
        <w:rPr>
          <w:w w:val="105"/>
        </w:rPr>
        <w:t>The Audit Committee’s general role is to assist the Board in monitoring the integrity of the Company’s financial</w:t>
      </w:r>
      <w:r>
        <w:rPr>
          <w:spacing w:val="26"/>
          <w:w w:val="105"/>
        </w:rPr>
        <w:t> </w:t>
      </w:r>
      <w:r>
        <w:rPr>
          <w:w w:val="105"/>
        </w:rPr>
        <w:t>reporting</w:t>
      </w:r>
      <w:r>
        <w:rPr>
          <w:spacing w:val="26"/>
          <w:w w:val="105"/>
        </w:rPr>
        <w:t> </w:t>
      </w:r>
      <w:r>
        <w:rPr>
          <w:w w:val="105"/>
        </w:rPr>
        <w:t>process</w:t>
      </w:r>
      <w:r>
        <w:rPr>
          <w:spacing w:val="26"/>
          <w:w w:val="105"/>
        </w:rPr>
        <w:t> </w:t>
      </w:r>
      <w:r>
        <w:rPr>
          <w:w w:val="105"/>
        </w:rPr>
        <w:t>and</w:t>
      </w:r>
      <w:r>
        <w:rPr>
          <w:spacing w:val="26"/>
          <w:w w:val="105"/>
        </w:rPr>
        <w:t> </w:t>
      </w:r>
      <w:r>
        <w:rPr>
          <w:w w:val="105"/>
        </w:rPr>
        <w:t>related</w:t>
      </w:r>
      <w:r>
        <w:rPr>
          <w:spacing w:val="26"/>
          <w:w w:val="105"/>
        </w:rPr>
        <w:t> </w:t>
      </w:r>
      <w:r>
        <w:rPr>
          <w:w w:val="105"/>
        </w:rPr>
        <w:t>matters,</w:t>
      </w:r>
      <w:r>
        <w:rPr>
          <w:spacing w:val="26"/>
          <w:w w:val="105"/>
        </w:rPr>
        <w:t> </w:t>
      </w:r>
      <w:r>
        <w:rPr>
          <w:w w:val="105"/>
        </w:rPr>
        <w:t>as</w:t>
      </w:r>
      <w:r>
        <w:rPr>
          <w:spacing w:val="26"/>
          <w:w w:val="105"/>
        </w:rPr>
        <w:t> </w:t>
      </w:r>
      <w:r>
        <w:rPr>
          <w:w w:val="105"/>
        </w:rPr>
        <w:t>well</w:t>
      </w:r>
      <w:r>
        <w:rPr>
          <w:spacing w:val="26"/>
          <w:w w:val="105"/>
        </w:rPr>
        <w:t> </w:t>
      </w:r>
      <w:r>
        <w:rPr>
          <w:w w:val="105"/>
        </w:rPr>
        <w:t>as</w:t>
      </w:r>
      <w:r>
        <w:rPr>
          <w:spacing w:val="26"/>
          <w:w w:val="105"/>
        </w:rPr>
        <w:t> </w:t>
      </w:r>
      <w:r>
        <w:rPr>
          <w:w w:val="105"/>
        </w:rPr>
        <w:t>the</w:t>
      </w:r>
      <w:r>
        <w:rPr>
          <w:spacing w:val="26"/>
          <w:w w:val="105"/>
        </w:rPr>
        <w:t> </w:t>
      </w:r>
      <w:r>
        <w:rPr>
          <w:w w:val="105"/>
        </w:rPr>
        <w:t>effectiveness</w:t>
      </w:r>
      <w:r>
        <w:rPr>
          <w:spacing w:val="26"/>
          <w:w w:val="105"/>
        </w:rPr>
        <w:t> </w:t>
      </w:r>
      <w:r>
        <w:rPr>
          <w:w w:val="105"/>
        </w:rPr>
        <w:t>of</w:t>
      </w:r>
      <w:r>
        <w:rPr>
          <w:spacing w:val="26"/>
          <w:w w:val="105"/>
        </w:rPr>
        <w:t> </w:t>
      </w:r>
      <w:r>
        <w:rPr>
          <w:w w:val="105"/>
        </w:rPr>
        <w:t>the</w:t>
      </w:r>
      <w:r>
        <w:rPr>
          <w:spacing w:val="26"/>
          <w:w w:val="105"/>
        </w:rPr>
        <w:t> </w:t>
      </w:r>
      <w:r>
        <w:rPr>
          <w:w w:val="105"/>
        </w:rPr>
        <w:t>Company’s</w:t>
      </w:r>
      <w:r>
        <w:rPr>
          <w:spacing w:val="26"/>
          <w:w w:val="105"/>
        </w:rPr>
        <w:t> </w:t>
      </w:r>
      <w:r>
        <w:rPr>
          <w:w w:val="105"/>
        </w:rPr>
        <w:t>internal control over financial reporting. Its specific responsibilities are set forth in its charter. The Audit Committee</w:t>
      </w:r>
      <w:r>
        <w:rPr>
          <w:spacing w:val="40"/>
          <w:w w:val="105"/>
        </w:rPr>
        <w:t> </w:t>
      </w:r>
      <w:r>
        <w:rPr>
          <w:w w:val="105"/>
        </w:rPr>
        <w:t>reviews its charter at least annually and did so in the August 2022 Audit Committee meeting.</w:t>
      </w:r>
    </w:p>
    <w:p>
      <w:pPr>
        <w:pStyle w:val="BodyText"/>
        <w:spacing w:line="259" w:lineRule="auto" w:before="141"/>
        <w:ind w:left="1400" w:right="1551" w:firstLine="372"/>
      </w:pPr>
      <w:r>
        <w:rPr>
          <w:w w:val="105"/>
        </w:rPr>
        <w:t>As required by the charter, the Audit Committee reviewed the Company’s financial statements for fiscal year 2022 and met with management, as well as with representatives of Deloitte &amp; Touche LLP, (“</w:t>
      </w:r>
      <w:r>
        <w:rPr>
          <w:b/>
          <w:w w:val="105"/>
        </w:rPr>
        <w:t>Deloitte</w:t>
      </w:r>
      <w:r>
        <w:rPr>
          <w:w w:val="105"/>
        </w:rPr>
        <w:t>”) the Company’s independent registered public accounting firm, to discuss the financial statements. The Audit Committee also discussed with members of Deloitte the matters required to be discussed by the applicable</w:t>
      </w:r>
      <w:r>
        <w:rPr>
          <w:spacing w:val="40"/>
          <w:w w:val="105"/>
        </w:rPr>
        <w:t> </w:t>
      </w:r>
      <w:r>
        <w:rPr>
          <w:w w:val="105"/>
        </w:rPr>
        <w:t>requirements of the Public Company Accounting Oversight Board (the “</w:t>
      </w:r>
      <w:r>
        <w:rPr>
          <w:b/>
          <w:w w:val="105"/>
        </w:rPr>
        <w:t>PCAOB</w:t>
      </w:r>
      <w:r>
        <w:rPr>
          <w:w w:val="105"/>
        </w:rPr>
        <w:t>”) and the Securities and Exchange Commission (the “</w:t>
      </w:r>
      <w:r>
        <w:rPr>
          <w:b/>
          <w:w w:val="105"/>
        </w:rPr>
        <w:t>SEC</w:t>
      </w:r>
      <w:r>
        <w:rPr>
          <w:w w:val="105"/>
        </w:rPr>
        <w:t>”).</w:t>
      </w:r>
    </w:p>
    <w:p>
      <w:pPr>
        <w:pStyle w:val="BodyText"/>
        <w:spacing w:line="259" w:lineRule="auto" w:before="154"/>
        <w:ind w:left="1400" w:right="1551" w:firstLine="372"/>
      </w:pPr>
      <w:r>
        <w:rPr>
          <w:w w:val="105"/>
        </w:rPr>
        <w:t>In addition, the Audit Committee received the written disclosures and letters required by the applicable</w:t>
      </w:r>
      <w:r>
        <w:rPr>
          <w:spacing w:val="40"/>
          <w:w w:val="105"/>
        </w:rPr>
        <w:t> </w:t>
      </w:r>
      <w:r>
        <w:rPr>
          <w:w w:val="105"/>
        </w:rPr>
        <w:t>requirements of the PCAOB regarding Deloitte’s communications with the Audit Committee concerning independence</w:t>
      </w:r>
      <w:r>
        <w:rPr>
          <w:spacing w:val="28"/>
          <w:w w:val="105"/>
        </w:rPr>
        <w:t> </w:t>
      </w:r>
      <w:r>
        <w:rPr>
          <w:w w:val="105"/>
        </w:rPr>
        <w:t>and</w:t>
      </w:r>
      <w:r>
        <w:rPr>
          <w:spacing w:val="28"/>
          <w:w w:val="105"/>
        </w:rPr>
        <w:t> </w:t>
      </w:r>
      <w:r>
        <w:rPr>
          <w:w w:val="105"/>
        </w:rPr>
        <w:t>discussed</w:t>
      </w:r>
      <w:r>
        <w:rPr>
          <w:spacing w:val="28"/>
          <w:w w:val="105"/>
        </w:rPr>
        <w:t> </w:t>
      </w:r>
      <w:r>
        <w:rPr>
          <w:w w:val="105"/>
        </w:rPr>
        <w:t>with</w:t>
      </w:r>
      <w:r>
        <w:rPr>
          <w:spacing w:val="28"/>
          <w:w w:val="105"/>
        </w:rPr>
        <w:t> </w:t>
      </w:r>
      <w:r>
        <w:rPr>
          <w:w w:val="105"/>
        </w:rPr>
        <w:t>members</w:t>
      </w:r>
      <w:r>
        <w:rPr>
          <w:spacing w:val="28"/>
          <w:w w:val="105"/>
        </w:rPr>
        <w:t> </w:t>
      </w:r>
      <w:r>
        <w:rPr>
          <w:w w:val="105"/>
        </w:rPr>
        <w:t>of</w:t>
      </w:r>
      <w:r>
        <w:rPr>
          <w:spacing w:val="28"/>
          <w:w w:val="105"/>
        </w:rPr>
        <w:t> </w:t>
      </w:r>
      <w:r>
        <w:rPr>
          <w:w w:val="105"/>
        </w:rPr>
        <w:t>Deloitte</w:t>
      </w:r>
      <w:r>
        <w:rPr>
          <w:spacing w:val="28"/>
          <w:w w:val="105"/>
        </w:rPr>
        <w:t> </w:t>
      </w:r>
      <w:r>
        <w:rPr>
          <w:w w:val="105"/>
        </w:rPr>
        <w:t>its</w:t>
      </w:r>
      <w:r>
        <w:rPr>
          <w:spacing w:val="28"/>
          <w:w w:val="105"/>
        </w:rPr>
        <w:t> </w:t>
      </w:r>
      <w:r>
        <w:rPr>
          <w:w w:val="105"/>
        </w:rPr>
        <w:t>independence</w:t>
      </w:r>
      <w:r>
        <w:rPr>
          <w:spacing w:val="28"/>
          <w:w w:val="105"/>
        </w:rPr>
        <w:t> </w:t>
      </w:r>
      <w:r>
        <w:rPr>
          <w:w w:val="105"/>
        </w:rPr>
        <w:t>from</w:t>
      </w:r>
      <w:r>
        <w:rPr>
          <w:spacing w:val="28"/>
          <w:w w:val="105"/>
        </w:rPr>
        <w:t> </w:t>
      </w:r>
      <w:r>
        <w:rPr>
          <w:w w:val="105"/>
        </w:rPr>
        <w:t>management</w:t>
      </w:r>
      <w:r>
        <w:rPr>
          <w:spacing w:val="28"/>
          <w:w w:val="105"/>
        </w:rPr>
        <w:t> </w:t>
      </w:r>
      <w:r>
        <w:rPr>
          <w:w w:val="105"/>
        </w:rPr>
        <w:t>and</w:t>
      </w:r>
      <w:r>
        <w:rPr>
          <w:spacing w:val="28"/>
          <w:w w:val="105"/>
        </w:rPr>
        <w:t> </w:t>
      </w:r>
      <w:r>
        <w:rPr>
          <w:w w:val="105"/>
        </w:rPr>
        <w:t>the </w:t>
      </w:r>
      <w:r>
        <w:rPr>
          <w:spacing w:val="-2"/>
          <w:w w:val="105"/>
        </w:rPr>
        <w:t>Company.</w:t>
      </w:r>
    </w:p>
    <w:p>
      <w:pPr>
        <w:pStyle w:val="BodyText"/>
        <w:spacing w:line="259" w:lineRule="auto" w:before="154"/>
        <w:ind w:left="1400" w:right="1551" w:firstLine="372"/>
      </w:pPr>
      <w:r>
        <w:rPr>
          <w:w w:val="105"/>
        </w:rPr>
        <w:t>Based</w:t>
      </w:r>
      <w:r>
        <w:rPr>
          <w:spacing w:val="26"/>
          <w:w w:val="105"/>
        </w:rPr>
        <w:t> </w:t>
      </w:r>
      <w:r>
        <w:rPr>
          <w:w w:val="105"/>
        </w:rPr>
        <w:t>on</w:t>
      </w:r>
      <w:r>
        <w:rPr>
          <w:spacing w:val="26"/>
          <w:w w:val="105"/>
        </w:rPr>
        <w:t> </w:t>
      </w:r>
      <w:r>
        <w:rPr>
          <w:w w:val="105"/>
        </w:rPr>
        <w:t>these</w:t>
      </w:r>
      <w:r>
        <w:rPr>
          <w:spacing w:val="26"/>
          <w:w w:val="105"/>
        </w:rPr>
        <w:t> </w:t>
      </w:r>
      <w:r>
        <w:rPr>
          <w:w w:val="105"/>
        </w:rPr>
        <w:t>discussions,</w:t>
      </w:r>
      <w:r>
        <w:rPr>
          <w:spacing w:val="26"/>
          <w:w w:val="105"/>
        </w:rPr>
        <w:t> </w:t>
      </w:r>
      <w:r>
        <w:rPr>
          <w:w w:val="105"/>
        </w:rPr>
        <w:t>the</w:t>
      </w:r>
      <w:r>
        <w:rPr>
          <w:spacing w:val="26"/>
          <w:w w:val="105"/>
        </w:rPr>
        <w:t> </w:t>
      </w:r>
      <w:r>
        <w:rPr>
          <w:w w:val="105"/>
        </w:rPr>
        <w:t>financial</w:t>
      </w:r>
      <w:r>
        <w:rPr>
          <w:spacing w:val="26"/>
          <w:w w:val="105"/>
        </w:rPr>
        <w:t> </w:t>
      </w:r>
      <w:r>
        <w:rPr>
          <w:w w:val="105"/>
        </w:rPr>
        <w:t>statement</w:t>
      </w:r>
      <w:r>
        <w:rPr>
          <w:spacing w:val="26"/>
          <w:w w:val="105"/>
        </w:rPr>
        <w:t> </w:t>
      </w:r>
      <w:r>
        <w:rPr>
          <w:w w:val="105"/>
        </w:rPr>
        <w:t>review</w:t>
      </w:r>
      <w:r>
        <w:rPr>
          <w:spacing w:val="26"/>
          <w:w w:val="105"/>
        </w:rPr>
        <w:t> </w:t>
      </w:r>
      <w:r>
        <w:rPr>
          <w:w w:val="105"/>
        </w:rPr>
        <w:t>and</w:t>
      </w:r>
      <w:r>
        <w:rPr>
          <w:spacing w:val="26"/>
          <w:w w:val="105"/>
        </w:rPr>
        <w:t> </w:t>
      </w:r>
      <w:r>
        <w:rPr>
          <w:w w:val="105"/>
        </w:rPr>
        <w:t>other</w:t>
      </w:r>
      <w:r>
        <w:rPr>
          <w:spacing w:val="26"/>
          <w:w w:val="105"/>
        </w:rPr>
        <w:t> </w:t>
      </w:r>
      <w:r>
        <w:rPr>
          <w:w w:val="105"/>
        </w:rPr>
        <w:t>matters</w:t>
      </w:r>
      <w:r>
        <w:rPr>
          <w:spacing w:val="26"/>
          <w:w w:val="105"/>
        </w:rPr>
        <w:t> </w:t>
      </w:r>
      <w:r>
        <w:rPr>
          <w:w w:val="105"/>
        </w:rPr>
        <w:t>it</w:t>
      </w:r>
      <w:r>
        <w:rPr>
          <w:spacing w:val="26"/>
          <w:w w:val="105"/>
        </w:rPr>
        <w:t> </w:t>
      </w:r>
      <w:r>
        <w:rPr>
          <w:w w:val="105"/>
        </w:rPr>
        <w:t>deemed</w:t>
      </w:r>
      <w:r>
        <w:rPr>
          <w:spacing w:val="26"/>
          <w:w w:val="105"/>
        </w:rPr>
        <w:t> </w:t>
      </w:r>
      <w:r>
        <w:rPr>
          <w:w w:val="105"/>
        </w:rPr>
        <w:t>relevant,</w:t>
      </w:r>
      <w:r>
        <w:rPr>
          <w:spacing w:val="26"/>
          <w:w w:val="105"/>
        </w:rPr>
        <w:t> </w:t>
      </w:r>
      <w:r>
        <w:rPr>
          <w:w w:val="105"/>
        </w:rPr>
        <w:t>the Audit Committee recommended to the Board that the Company’s audited financial statements for fiscal year 2022 be included in the Company’s Annual Report on Form 10-K for the fiscal year ended September 30,</w:t>
      </w:r>
      <w:r>
        <w:rPr>
          <w:spacing w:val="40"/>
          <w:w w:val="105"/>
        </w:rPr>
        <w:t> </w:t>
      </w:r>
      <w:r>
        <w:rPr>
          <w:spacing w:val="-2"/>
          <w:w w:val="105"/>
        </w:rPr>
        <w:t>2022.</w:t>
      </w:r>
    </w:p>
    <w:p>
      <w:pPr>
        <w:pStyle w:val="BodyText"/>
        <w:spacing w:line="259" w:lineRule="auto" w:before="141"/>
        <w:ind w:left="1400" w:right="1551" w:firstLine="372"/>
      </w:pPr>
      <w:r>
        <w:rPr>
          <w:w w:val="105"/>
        </w:rPr>
        <w:t>Furthermore, in connection with the standards for independence promulgated by the SEC, the Audit Committee reviewed the services provided by Deloitte, the fees the Company paid for these services, and</w:t>
      </w:r>
      <w:r>
        <w:rPr>
          <w:spacing w:val="40"/>
          <w:w w:val="105"/>
        </w:rPr>
        <w:t> </w:t>
      </w:r>
      <w:r>
        <w:rPr>
          <w:w w:val="105"/>
        </w:rPr>
        <w:t>whether the provision of the services is compatible with maintaining the independence of the independent</w:t>
      </w:r>
      <w:r>
        <w:rPr>
          <w:spacing w:val="40"/>
          <w:w w:val="105"/>
        </w:rPr>
        <w:t> </w:t>
      </w:r>
      <w:r>
        <w:rPr>
          <w:w w:val="105"/>
        </w:rPr>
        <w:t>registered public accounting firm. The Audit Committee deemed that the provision of the services is compatible with maintaining that independence.</w:t>
      </w:r>
    </w:p>
    <w:p>
      <w:pPr>
        <w:pStyle w:val="BodyText"/>
        <w:spacing w:line="259" w:lineRule="auto" w:before="154"/>
        <w:ind w:left="1400" w:right="1551" w:firstLine="372"/>
      </w:pPr>
      <w:r>
        <w:rPr>
          <w:w w:val="105"/>
        </w:rPr>
        <w:t>The Audit Committee has selected Deloitte to be the Company’s independent registered public accounting</w:t>
      </w:r>
      <w:r>
        <w:rPr>
          <w:spacing w:val="23"/>
          <w:w w:val="105"/>
        </w:rPr>
        <w:t> </w:t>
      </w:r>
      <w:r>
        <w:rPr>
          <w:w w:val="105"/>
        </w:rPr>
        <w:t>firm</w:t>
      </w:r>
      <w:r>
        <w:rPr>
          <w:spacing w:val="23"/>
          <w:w w:val="105"/>
        </w:rPr>
        <w:t> </w:t>
      </w:r>
      <w:r>
        <w:rPr>
          <w:w w:val="105"/>
        </w:rPr>
        <w:t>for</w:t>
      </w:r>
      <w:r>
        <w:rPr>
          <w:spacing w:val="23"/>
          <w:w w:val="105"/>
        </w:rPr>
        <w:t> </w:t>
      </w:r>
      <w:r>
        <w:rPr>
          <w:w w:val="105"/>
        </w:rPr>
        <w:t>fiscal</w:t>
      </w:r>
      <w:r>
        <w:rPr>
          <w:spacing w:val="23"/>
          <w:w w:val="105"/>
        </w:rPr>
        <w:t> </w:t>
      </w:r>
      <w:r>
        <w:rPr>
          <w:w w:val="105"/>
        </w:rPr>
        <w:t>year</w:t>
      </w:r>
      <w:r>
        <w:rPr>
          <w:spacing w:val="23"/>
          <w:w w:val="105"/>
        </w:rPr>
        <w:t> </w:t>
      </w:r>
      <w:r>
        <w:rPr>
          <w:w w:val="105"/>
        </w:rPr>
        <w:t>2023.</w:t>
      </w:r>
      <w:r>
        <w:rPr>
          <w:spacing w:val="23"/>
          <w:w w:val="105"/>
        </w:rPr>
        <w:t> </w:t>
      </w:r>
      <w:r>
        <w:rPr>
          <w:w w:val="105"/>
        </w:rPr>
        <w:t>In</w:t>
      </w:r>
      <w:r>
        <w:rPr>
          <w:spacing w:val="23"/>
          <w:w w:val="105"/>
        </w:rPr>
        <w:t> </w:t>
      </w:r>
      <w:r>
        <w:rPr>
          <w:w w:val="105"/>
        </w:rPr>
        <w:t>doing</w:t>
      </w:r>
      <w:r>
        <w:rPr>
          <w:spacing w:val="23"/>
          <w:w w:val="105"/>
        </w:rPr>
        <w:t> </w:t>
      </w:r>
      <w:r>
        <w:rPr>
          <w:w w:val="105"/>
        </w:rPr>
        <w:t>so,</w:t>
      </w:r>
      <w:r>
        <w:rPr>
          <w:spacing w:val="23"/>
          <w:w w:val="105"/>
        </w:rPr>
        <w:t> </w:t>
      </w:r>
      <w:r>
        <w:rPr>
          <w:w w:val="105"/>
        </w:rPr>
        <w:t>the Audit</w:t>
      </w:r>
      <w:r>
        <w:rPr>
          <w:spacing w:val="23"/>
          <w:w w:val="105"/>
        </w:rPr>
        <w:t> </w:t>
      </w:r>
      <w:r>
        <w:rPr>
          <w:w w:val="105"/>
        </w:rPr>
        <w:t>Committee</w:t>
      </w:r>
      <w:r>
        <w:rPr>
          <w:spacing w:val="23"/>
          <w:w w:val="105"/>
        </w:rPr>
        <w:t> </w:t>
      </w:r>
      <w:r>
        <w:rPr>
          <w:w w:val="105"/>
        </w:rPr>
        <w:t>considered</w:t>
      </w:r>
      <w:r>
        <w:rPr>
          <w:spacing w:val="23"/>
          <w:w w:val="105"/>
        </w:rPr>
        <w:t> </w:t>
      </w:r>
      <w:r>
        <w:rPr>
          <w:w w:val="105"/>
        </w:rPr>
        <w:t>the</w:t>
      </w:r>
      <w:r>
        <w:rPr>
          <w:spacing w:val="23"/>
          <w:w w:val="105"/>
        </w:rPr>
        <w:t> </w:t>
      </w:r>
      <w:r>
        <w:rPr>
          <w:w w:val="105"/>
        </w:rPr>
        <w:t>results</w:t>
      </w:r>
      <w:r>
        <w:rPr>
          <w:spacing w:val="23"/>
          <w:w w:val="105"/>
        </w:rPr>
        <w:t> </w:t>
      </w:r>
      <w:r>
        <w:rPr>
          <w:w w:val="105"/>
        </w:rPr>
        <w:t>from</w:t>
      </w:r>
      <w:r>
        <w:rPr>
          <w:spacing w:val="23"/>
          <w:w w:val="105"/>
        </w:rPr>
        <w:t> </w:t>
      </w:r>
      <w:r>
        <w:rPr>
          <w:w w:val="105"/>
        </w:rPr>
        <w:t>its review</w:t>
      </w:r>
      <w:r>
        <w:rPr>
          <w:spacing w:val="27"/>
          <w:w w:val="105"/>
        </w:rPr>
        <w:t> </w:t>
      </w:r>
      <w:r>
        <w:rPr>
          <w:w w:val="105"/>
        </w:rPr>
        <w:t>of</w:t>
      </w:r>
      <w:r>
        <w:rPr>
          <w:spacing w:val="27"/>
          <w:w w:val="105"/>
        </w:rPr>
        <w:t> </w:t>
      </w:r>
      <w:r>
        <w:rPr>
          <w:w w:val="105"/>
        </w:rPr>
        <w:t>Deloitte’s</w:t>
      </w:r>
      <w:r>
        <w:rPr>
          <w:spacing w:val="27"/>
          <w:w w:val="105"/>
        </w:rPr>
        <w:t> </w:t>
      </w:r>
      <w:r>
        <w:rPr>
          <w:w w:val="105"/>
        </w:rPr>
        <w:t>independence,</w:t>
      </w:r>
      <w:r>
        <w:rPr>
          <w:spacing w:val="27"/>
          <w:w w:val="105"/>
        </w:rPr>
        <w:t> </w:t>
      </w:r>
      <w:r>
        <w:rPr>
          <w:w w:val="105"/>
        </w:rPr>
        <w:t>including</w:t>
      </w:r>
      <w:r>
        <w:rPr>
          <w:spacing w:val="27"/>
          <w:w w:val="105"/>
        </w:rPr>
        <w:t> </w:t>
      </w:r>
      <w:r>
        <w:rPr>
          <w:w w:val="105"/>
        </w:rPr>
        <w:t>(a)</w:t>
      </w:r>
      <w:r>
        <w:rPr>
          <w:spacing w:val="27"/>
          <w:w w:val="105"/>
        </w:rPr>
        <w:t> </w:t>
      </w:r>
      <w:r>
        <w:rPr>
          <w:w w:val="105"/>
        </w:rPr>
        <w:t>all</w:t>
      </w:r>
      <w:r>
        <w:rPr>
          <w:spacing w:val="27"/>
          <w:w w:val="105"/>
        </w:rPr>
        <w:t> </w:t>
      </w:r>
      <w:r>
        <w:rPr>
          <w:w w:val="105"/>
        </w:rPr>
        <w:t>relationships</w:t>
      </w:r>
      <w:r>
        <w:rPr>
          <w:spacing w:val="27"/>
          <w:w w:val="105"/>
        </w:rPr>
        <w:t> </w:t>
      </w:r>
      <w:r>
        <w:rPr>
          <w:w w:val="105"/>
        </w:rPr>
        <w:t>between</w:t>
      </w:r>
      <w:r>
        <w:rPr>
          <w:spacing w:val="27"/>
          <w:w w:val="105"/>
        </w:rPr>
        <w:t> </w:t>
      </w:r>
      <w:r>
        <w:rPr>
          <w:w w:val="105"/>
        </w:rPr>
        <w:t>Deloitte</w:t>
      </w:r>
      <w:r>
        <w:rPr>
          <w:spacing w:val="27"/>
          <w:w w:val="105"/>
        </w:rPr>
        <w:t> </w:t>
      </w:r>
      <w:r>
        <w:rPr>
          <w:w w:val="105"/>
        </w:rPr>
        <w:t>and</w:t>
      </w:r>
      <w:r>
        <w:rPr>
          <w:spacing w:val="27"/>
          <w:w w:val="105"/>
        </w:rPr>
        <w:t> </w:t>
      </w:r>
      <w:r>
        <w:rPr>
          <w:w w:val="105"/>
        </w:rPr>
        <w:t>the</w:t>
      </w:r>
      <w:r>
        <w:rPr>
          <w:spacing w:val="27"/>
          <w:w w:val="105"/>
        </w:rPr>
        <w:t> </w:t>
      </w:r>
      <w:r>
        <w:rPr>
          <w:w w:val="105"/>
        </w:rPr>
        <w:t>Company</w:t>
      </w:r>
      <w:r>
        <w:rPr>
          <w:spacing w:val="27"/>
          <w:w w:val="105"/>
        </w:rPr>
        <w:t> </w:t>
      </w:r>
      <w:r>
        <w:rPr>
          <w:w w:val="105"/>
        </w:rPr>
        <w:t>and any disclosed relationships or services that may impact their objectivity and independence, (b) Deloitte’s</w:t>
      </w:r>
      <w:r>
        <w:rPr>
          <w:spacing w:val="40"/>
          <w:w w:val="105"/>
        </w:rPr>
        <w:t> </w:t>
      </w:r>
      <w:r>
        <w:rPr>
          <w:w w:val="105"/>
        </w:rPr>
        <w:t>performance and qualification as an independent registered public accounting firm, and (c) the fact that the</w:t>
      </w:r>
      <w:r>
        <w:rPr>
          <w:spacing w:val="40"/>
          <w:w w:val="105"/>
        </w:rPr>
        <w:t> </w:t>
      </w:r>
      <w:r>
        <w:rPr>
          <w:w w:val="105"/>
        </w:rPr>
        <w:t>Deloitte</w:t>
      </w:r>
      <w:r>
        <w:rPr>
          <w:spacing w:val="24"/>
          <w:w w:val="105"/>
        </w:rPr>
        <w:t> </w:t>
      </w:r>
      <w:r>
        <w:rPr>
          <w:w w:val="105"/>
        </w:rPr>
        <w:t>engagement</w:t>
      </w:r>
      <w:r>
        <w:rPr>
          <w:spacing w:val="24"/>
          <w:w w:val="105"/>
        </w:rPr>
        <w:t> </w:t>
      </w:r>
      <w:r>
        <w:rPr>
          <w:w w:val="105"/>
        </w:rPr>
        <w:t>audit</w:t>
      </w:r>
      <w:r>
        <w:rPr>
          <w:spacing w:val="24"/>
          <w:w w:val="105"/>
        </w:rPr>
        <w:t> </w:t>
      </w:r>
      <w:r>
        <w:rPr>
          <w:w w:val="105"/>
        </w:rPr>
        <w:t>partner</w:t>
      </w:r>
      <w:r>
        <w:rPr>
          <w:spacing w:val="24"/>
          <w:w w:val="105"/>
        </w:rPr>
        <w:t> </w:t>
      </w:r>
      <w:r>
        <w:rPr>
          <w:w w:val="105"/>
        </w:rPr>
        <w:t>is</w:t>
      </w:r>
      <w:r>
        <w:rPr>
          <w:spacing w:val="24"/>
          <w:w w:val="105"/>
        </w:rPr>
        <w:t> </w:t>
      </w:r>
      <w:r>
        <w:rPr>
          <w:w w:val="105"/>
        </w:rPr>
        <w:t>rotated</w:t>
      </w:r>
      <w:r>
        <w:rPr>
          <w:spacing w:val="24"/>
          <w:w w:val="105"/>
        </w:rPr>
        <w:t> </w:t>
      </w:r>
      <w:r>
        <w:rPr>
          <w:w w:val="105"/>
        </w:rPr>
        <w:t>on</w:t>
      </w:r>
      <w:r>
        <w:rPr>
          <w:spacing w:val="24"/>
          <w:w w:val="105"/>
        </w:rPr>
        <w:t> </w:t>
      </w:r>
      <w:r>
        <w:rPr>
          <w:w w:val="105"/>
        </w:rPr>
        <w:t>a</w:t>
      </w:r>
      <w:r>
        <w:rPr>
          <w:spacing w:val="24"/>
          <w:w w:val="105"/>
        </w:rPr>
        <w:t> </w:t>
      </w:r>
      <w:r>
        <w:rPr>
          <w:w w:val="105"/>
        </w:rPr>
        <w:t>regular</w:t>
      </w:r>
      <w:r>
        <w:rPr>
          <w:spacing w:val="24"/>
          <w:w w:val="105"/>
        </w:rPr>
        <w:t> </w:t>
      </w:r>
      <w:r>
        <w:rPr>
          <w:w w:val="105"/>
        </w:rPr>
        <w:t>basis</w:t>
      </w:r>
      <w:r>
        <w:rPr>
          <w:spacing w:val="24"/>
          <w:w w:val="105"/>
        </w:rPr>
        <w:t> </w:t>
      </w:r>
      <w:r>
        <w:rPr>
          <w:w w:val="105"/>
        </w:rPr>
        <w:t>as</w:t>
      </w:r>
      <w:r>
        <w:rPr>
          <w:spacing w:val="24"/>
          <w:w w:val="105"/>
        </w:rPr>
        <w:t> </w:t>
      </w:r>
      <w:r>
        <w:rPr>
          <w:w w:val="105"/>
        </w:rPr>
        <w:t>required</w:t>
      </w:r>
      <w:r>
        <w:rPr>
          <w:spacing w:val="24"/>
          <w:w w:val="105"/>
        </w:rPr>
        <w:t> </w:t>
      </w:r>
      <w:r>
        <w:rPr>
          <w:w w:val="105"/>
        </w:rPr>
        <w:t>by</w:t>
      </w:r>
      <w:r>
        <w:rPr>
          <w:spacing w:val="24"/>
          <w:w w:val="105"/>
        </w:rPr>
        <w:t> </w:t>
      </w:r>
      <w:r>
        <w:rPr>
          <w:w w:val="105"/>
        </w:rPr>
        <w:t>applicable</w:t>
      </w:r>
      <w:r>
        <w:rPr>
          <w:spacing w:val="24"/>
          <w:w w:val="105"/>
        </w:rPr>
        <w:t> </w:t>
      </w:r>
      <w:r>
        <w:rPr>
          <w:w w:val="105"/>
        </w:rPr>
        <w:t>laws</w:t>
      </w:r>
      <w:r>
        <w:rPr>
          <w:spacing w:val="24"/>
          <w:w w:val="105"/>
        </w:rPr>
        <w:t> </w:t>
      </w:r>
      <w:r>
        <w:rPr>
          <w:w w:val="105"/>
        </w:rPr>
        <w:t>and regulations. As a matter of good corporate governance, the Audit Committee has determined to submit its appointment of Deloitte to the stockholders for ratification. In the event that a majority of the shares of</w:t>
      </w:r>
      <w:r>
        <w:rPr>
          <w:spacing w:val="40"/>
          <w:w w:val="105"/>
        </w:rPr>
        <w:t> </w:t>
      </w:r>
      <w:r>
        <w:rPr>
          <w:w w:val="105"/>
        </w:rPr>
        <w:t>common</w:t>
      </w:r>
      <w:r>
        <w:rPr>
          <w:spacing w:val="22"/>
          <w:w w:val="105"/>
        </w:rPr>
        <w:t> </w:t>
      </w:r>
      <w:r>
        <w:rPr>
          <w:w w:val="105"/>
        </w:rPr>
        <w:t>stock</w:t>
      </w:r>
      <w:r>
        <w:rPr>
          <w:spacing w:val="22"/>
          <w:w w:val="105"/>
        </w:rPr>
        <w:t> </w:t>
      </w:r>
      <w:r>
        <w:rPr>
          <w:w w:val="105"/>
        </w:rPr>
        <w:t>present</w:t>
      </w:r>
      <w:r>
        <w:rPr>
          <w:spacing w:val="22"/>
          <w:w w:val="105"/>
        </w:rPr>
        <w:t> </w:t>
      </w:r>
      <w:r>
        <w:rPr>
          <w:w w:val="105"/>
        </w:rPr>
        <w:t>or</w:t>
      </w:r>
      <w:r>
        <w:rPr>
          <w:spacing w:val="22"/>
          <w:w w:val="105"/>
        </w:rPr>
        <w:t> </w:t>
      </w:r>
      <w:r>
        <w:rPr>
          <w:w w:val="105"/>
        </w:rPr>
        <w:t>represented</w:t>
      </w:r>
      <w:r>
        <w:rPr>
          <w:spacing w:val="22"/>
          <w:w w:val="105"/>
        </w:rPr>
        <w:t> </w:t>
      </w:r>
      <w:r>
        <w:rPr>
          <w:w w:val="105"/>
        </w:rPr>
        <w:t>at</w:t>
      </w:r>
      <w:r>
        <w:rPr>
          <w:spacing w:val="22"/>
          <w:w w:val="105"/>
        </w:rPr>
        <w:t> </w:t>
      </w:r>
      <w:r>
        <w:rPr>
          <w:w w:val="105"/>
        </w:rPr>
        <w:t>the Annual</w:t>
      </w:r>
      <w:r>
        <w:rPr>
          <w:spacing w:val="22"/>
          <w:w w:val="105"/>
        </w:rPr>
        <w:t> </w:t>
      </w:r>
      <w:r>
        <w:rPr>
          <w:w w:val="105"/>
        </w:rPr>
        <w:t>Meeting</w:t>
      </w:r>
      <w:r>
        <w:rPr>
          <w:spacing w:val="22"/>
          <w:w w:val="105"/>
        </w:rPr>
        <w:t> </w:t>
      </w:r>
      <w:r>
        <w:rPr>
          <w:w w:val="105"/>
        </w:rPr>
        <w:t>and</w:t>
      </w:r>
      <w:r>
        <w:rPr>
          <w:spacing w:val="22"/>
          <w:w w:val="105"/>
        </w:rPr>
        <w:t> </w:t>
      </w:r>
      <w:r>
        <w:rPr>
          <w:w w:val="105"/>
        </w:rPr>
        <w:t>entitled</w:t>
      </w:r>
      <w:r>
        <w:rPr>
          <w:spacing w:val="22"/>
          <w:w w:val="105"/>
        </w:rPr>
        <w:t> </w:t>
      </w:r>
      <w:r>
        <w:rPr>
          <w:w w:val="105"/>
        </w:rPr>
        <w:t>to</w:t>
      </w:r>
      <w:r>
        <w:rPr>
          <w:spacing w:val="22"/>
          <w:w w:val="105"/>
        </w:rPr>
        <w:t> </w:t>
      </w:r>
      <w:r>
        <w:rPr>
          <w:w w:val="105"/>
        </w:rPr>
        <w:t>vote</w:t>
      </w:r>
      <w:r>
        <w:rPr>
          <w:spacing w:val="22"/>
          <w:w w:val="105"/>
        </w:rPr>
        <w:t> </w:t>
      </w:r>
      <w:r>
        <w:rPr>
          <w:w w:val="105"/>
        </w:rPr>
        <w:t>on</w:t>
      </w:r>
      <w:r>
        <w:rPr>
          <w:spacing w:val="22"/>
          <w:w w:val="105"/>
        </w:rPr>
        <w:t> </w:t>
      </w:r>
      <w:r>
        <w:rPr>
          <w:w w:val="105"/>
        </w:rPr>
        <w:t>the</w:t>
      </w:r>
      <w:r>
        <w:rPr>
          <w:spacing w:val="22"/>
          <w:w w:val="105"/>
        </w:rPr>
        <w:t> </w:t>
      </w:r>
      <w:r>
        <w:rPr>
          <w:w w:val="105"/>
        </w:rPr>
        <w:t>matter</w:t>
      </w:r>
      <w:r>
        <w:rPr>
          <w:spacing w:val="22"/>
          <w:w w:val="105"/>
        </w:rPr>
        <w:t> </w:t>
      </w:r>
      <w:r>
        <w:rPr>
          <w:w w:val="105"/>
        </w:rPr>
        <w:t>does</w:t>
      </w:r>
      <w:r>
        <w:rPr>
          <w:spacing w:val="22"/>
          <w:w w:val="105"/>
        </w:rPr>
        <w:t> </w:t>
      </w:r>
      <w:r>
        <w:rPr>
          <w:w w:val="105"/>
        </w:rPr>
        <w:t>not ratify this appointment, the Audit Committee will review its future appointment of Deloitte.</w:t>
      </w:r>
    </w:p>
    <w:p>
      <w:pPr>
        <w:pStyle w:val="BodyText"/>
        <w:spacing w:before="7"/>
        <w:rPr>
          <w:sz w:val="19"/>
        </w:rPr>
      </w:pPr>
    </w:p>
    <w:p>
      <w:pPr>
        <w:spacing w:line="259" w:lineRule="auto" w:before="0"/>
        <w:ind w:left="1400" w:right="7696" w:firstLine="0"/>
        <w:jc w:val="left"/>
        <w:rPr>
          <w:i/>
          <w:sz w:val="18"/>
        </w:rPr>
      </w:pPr>
      <w:r>
        <w:rPr>
          <w:i/>
          <w:w w:val="105"/>
          <w:sz w:val="18"/>
        </w:rPr>
        <w:t>Christine A. Tsingos (Chair)</w:t>
      </w:r>
      <w:r>
        <w:rPr>
          <w:i/>
          <w:w w:val="105"/>
          <w:sz w:val="18"/>
        </w:rPr>
        <w:t> Kathleen L. Bardwell</w:t>
      </w:r>
      <w:r>
        <w:rPr>
          <w:i/>
          <w:spacing w:val="40"/>
          <w:w w:val="105"/>
          <w:sz w:val="18"/>
        </w:rPr>
        <w:t> </w:t>
      </w:r>
      <w:r>
        <w:rPr>
          <w:i/>
          <w:w w:val="105"/>
          <w:sz w:val="18"/>
        </w:rPr>
        <w:t>Jocelyn D. Chertoff</w:t>
      </w:r>
    </w:p>
    <w:p>
      <w:pPr>
        <w:spacing w:before="0"/>
        <w:ind w:left="1400" w:right="0" w:firstLine="0"/>
        <w:jc w:val="left"/>
        <w:rPr>
          <w:i/>
          <w:sz w:val="18"/>
        </w:rPr>
      </w:pPr>
      <w:r>
        <w:rPr>
          <w:i/>
          <w:w w:val="105"/>
          <w:sz w:val="18"/>
        </w:rPr>
        <w:t>Jay</w:t>
      </w:r>
      <w:r>
        <w:rPr>
          <w:i/>
          <w:spacing w:val="7"/>
          <w:w w:val="105"/>
          <w:sz w:val="18"/>
        </w:rPr>
        <w:t> </w:t>
      </w:r>
      <w:r>
        <w:rPr>
          <w:i/>
          <w:w w:val="105"/>
          <w:sz w:val="18"/>
        </w:rPr>
        <w:t>K.</w:t>
      </w:r>
      <w:r>
        <w:rPr>
          <w:i/>
          <w:spacing w:val="7"/>
          <w:w w:val="105"/>
          <w:sz w:val="18"/>
        </w:rPr>
        <w:t> </w:t>
      </w:r>
      <w:r>
        <w:rPr>
          <w:i/>
          <w:spacing w:val="-2"/>
          <w:w w:val="105"/>
          <w:sz w:val="18"/>
        </w:rPr>
        <w:t>Kunkel</w:t>
      </w:r>
    </w:p>
    <w:p>
      <w:pPr>
        <w:spacing w:before="17"/>
        <w:ind w:left="1400" w:right="0" w:firstLine="0"/>
        <w:jc w:val="left"/>
        <w:rPr>
          <w:i/>
          <w:sz w:val="18"/>
        </w:rPr>
      </w:pPr>
      <w:r>
        <w:rPr>
          <w:i/>
          <w:sz w:val="18"/>
        </w:rPr>
        <w:t>Ruediger</w:t>
      </w:r>
      <w:r>
        <w:rPr>
          <w:i/>
          <w:spacing w:val="74"/>
          <w:w w:val="150"/>
          <w:sz w:val="18"/>
        </w:rPr>
        <w:t> </w:t>
      </w:r>
      <w:r>
        <w:rPr>
          <w:i/>
          <w:sz w:val="18"/>
        </w:rPr>
        <w:t>Naumann-</w:t>
      </w:r>
      <w:r>
        <w:rPr>
          <w:i/>
          <w:spacing w:val="-2"/>
          <w:sz w:val="18"/>
        </w:rPr>
        <w:t>Etienne</w:t>
      </w:r>
    </w:p>
    <w:p>
      <w:pPr>
        <w:spacing w:after="0"/>
        <w:jc w:val="left"/>
        <w:rPr>
          <w:sz w:val="18"/>
        </w:rPr>
        <w:sectPr>
          <w:headerReference w:type="default" r:id="rId101"/>
          <w:footerReference w:type="default" r:id="rId102"/>
          <w:pgSz w:w="12240" w:h="15840"/>
          <w:pgMar w:header="529" w:footer="1791" w:top="720" w:bottom="1980" w:left="480" w:right="460"/>
        </w:sectPr>
      </w:pPr>
    </w:p>
    <w:p>
      <w:pPr>
        <w:pStyle w:val="BodyText"/>
        <w:rPr>
          <w:i/>
          <w:sz w:val="20"/>
        </w:rPr>
      </w:pPr>
    </w:p>
    <w:p>
      <w:pPr>
        <w:pStyle w:val="BodyText"/>
        <w:rPr>
          <w:i/>
          <w:sz w:val="20"/>
        </w:rPr>
      </w:pPr>
    </w:p>
    <w:p>
      <w:pPr>
        <w:pStyle w:val="BodyText"/>
        <w:spacing w:before="2"/>
        <w:rPr>
          <w:i/>
          <w:sz w:val="27"/>
        </w:rPr>
      </w:pPr>
    </w:p>
    <w:p>
      <w:pPr>
        <w:pStyle w:val="Heading1"/>
      </w:pPr>
      <w:bookmarkStart w:name="_TOC_250025" w:id="18"/>
      <w:r>
        <w:rPr/>
        <w:t>STOCK</w:t>
      </w:r>
      <w:r>
        <w:rPr>
          <w:spacing w:val="-8"/>
        </w:rPr>
        <w:t> </w:t>
      </w:r>
      <w:bookmarkEnd w:id="18"/>
      <w:r>
        <w:rPr>
          <w:spacing w:val="-2"/>
        </w:rPr>
        <w:t>OWNERSHIP</w:t>
      </w:r>
    </w:p>
    <w:p>
      <w:pPr>
        <w:pStyle w:val="Heading2"/>
        <w:spacing w:before="171"/>
        <w:ind w:left="4" w:right="1"/>
        <w:jc w:val="center"/>
      </w:pPr>
      <w:bookmarkStart w:name="_TOC_250024" w:id="19"/>
      <w:r>
        <w:rPr>
          <w:spacing w:val="-2"/>
        </w:rPr>
        <w:t>Beneficial</w:t>
      </w:r>
      <w:r>
        <w:rPr>
          <w:spacing w:val="1"/>
        </w:rPr>
        <w:t> </w:t>
      </w:r>
      <w:r>
        <w:rPr>
          <w:spacing w:val="-2"/>
        </w:rPr>
        <w:t>Ownership</w:t>
      </w:r>
      <w:r>
        <w:rPr>
          <w:spacing w:val="1"/>
        </w:rPr>
        <w:t> </w:t>
      </w:r>
      <w:r>
        <w:rPr>
          <w:spacing w:val="-2"/>
        </w:rPr>
        <w:t>of</w:t>
      </w:r>
      <w:r>
        <w:rPr>
          <w:spacing w:val="1"/>
        </w:rPr>
        <w:t> </w:t>
      </w:r>
      <w:r>
        <w:rPr>
          <w:spacing w:val="-2"/>
        </w:rPr>
        <w:t>Certain</w:t>
      </w:r>
      <w:r>
        <w:rPr>
          <w:spacing w:val="2"/>
        </w:rPr>
        <w:t> </w:t>
      </w:r>
      <w:r>
        <w:rPr>
          <w:spacing w:val="-2"/>
        </w:rPr>
        <w:t>Stockholders,</w:t>
      </w:r>
      <w:r>
        <w:rPr>
          <w:spacing w:val="1"/>
        </w:rPr>
        <w:t> </w:t>
      </w:r>
      <w:r>
        <w:rPr>
          <w:spacing w:val="-2"/>
        </w:rPr>
        <w:t>Directors</w:t>
      </w:r>
      <w:r>
        <w:rPr>
          <w:spacing w:val="1"/>
        </w:rPr>
        <w:t> </w:t>
      </w:r>
      <w:r>
        <w:rPr>
          <w:spacing w:val="-2"/>
        </w:rPr>
        <w:t>and</w:t>
      </w:r>
      <w:r>
        <w:rPr>
          <w:spacing w:val="2"/>
        </w:rPr>
        <w:t> </w:t>
      </w:r>
      <w:r>
        <w:rPr>
          <w:spacing w:val="-2"/>
        </w:rPr>
        <w:t>Executive</w:t>
      </w:r>
      <w:r>
        <w:rPr>
          <w:spacing w:val="1"/>
        </w:rPr>
        <w:t> </w:t>
      </w:r>
      <w:bookmarkEnd w:id="19"/>
      <w:r>
        <w:rPr>
          <w:spacing w:val="-2"/>
        </w:rPr>
        <w:t>Officers</w:t>
      </w:r>
    </w:p>
    <w:p>
      <w:pPr>
        <w:pStyle w:val="BodyText"/>
        <w:spacing w:line="259" w:lineRule="auto" w:before="170"/>
        <w:ind w:left="1400" w:right="1528" w:firstLine="372"/>
      </w:pPr>
      <w:r>
        <w:rPr>
          <w:w w:val="105"/>
        </w:rPr>
        <w:t>This table shows as of December 2, 2022: (1) the beneficial owners of more than five percent of our</w:t>
      </w:r>
      <w:r>
        <w:rPr>
          <w:spacing w:val="40"/>
          <w:w w:val="105"/>
        </w:rPr>
        <w:t> </w:t>
      </w:r>
      <w:r>
        <w:rPr>
          <w:w w:val="105"/>
        </w:rPr>
        <w:t>common</w:t>
      </w:r>
      <w:r>
        <w:rPr>
          <w:spacing w:val="24"/>
          <w:w w:val="105"/>
        </w:rPr>
        <w:t> </w:t>
      </w:r>
      <w:r>
        <w:rPr>
          <w:w w:val="105"/>
        </w:rPr>
        <w:t>stock</w:t>
      </w:r>
      <w:r>
        <w:rPr>
          <w:spacing w:val="24"/>
          <w:w w:val="105"/>
        </w:rPr>
        <w:t> </w:t>
      </w:r>
      <w:r>
        <w:rPr>
          <w:w w:val="105"/>
        </w:rPr>
        <w:t>and</w:t>
      </w:r>
      <w:r>
        <w:rPr>
          <w:spacing w:val="24"/>
          <w:w w:val="105"/>
        </w:rPr>
        <w:t> </w:t>
      </w:r>
      <w:r>
        <w:rPr>
          <w:w w:val="105"/>
        </w:rPr>
        <w:t>the</w:t>
      </w:r>
      <w:r>
        <w:rPr>
          <w:spacing w:val="24"/>
          <w:w w:val="105"/>
        </w:rPr>
        <w:t> </w:t>
      </w:r>
      <w:r>
        <w:rPr>
          <w:w w:val="105"/>
        </w:rPr>
        <w:t>number</w:t>
      </w:r>
      <w:r>
        <w:rPr>
          <w:spacing w:val="24"/>
          <w:w w:val="105"/>
        </w:rPr>
        <w:t> </w:t>
      </w:r>
      <w:r>
        <w:rPr>
          <w:w w:val="105"/>
        </w:rPr>
        <w:t>of</w:t>
      </w:r>
      <w:r>
        <w:rPr>
          <w:spacing w:val="24"/>
          <w:w w:val="105"/>
        </w:rPr>
        <w:t> </w:t>
      </w:r>
      <w:r>
        <w:rPr>
          <w:w w:val="105"/>
        </w:rPr>
        <w:t>shares</w:t>
      </w:r>
      <w:r>
        <w:rPr>
          <w:spacing w:val="24"/>
          <w:w w:val="105"/>
        </w:rPr>
        <w:t> </w:t>
      </w:r>
      <w:r>
        <w:rPr>
          <w:w w:val="105"/>
        </w:rPr>
        <w:t>they</w:t>
      </w:r>
      <w:r>
        <w:rPr>
          <w:spacing w:val="24"/>
          <w:w w:val="105"/>
        </w:rPr>
        <w:t> </w:t>
      </w:r>
      <w:r>
        <w:rPr>
          <w:w w:val="105"/>
        </w:rPr>
        <w:t>beneficially</w:t>
      </w:r>
      <w:r>
        <w:rPr>
          <w:spacing w:val="24"/>
          <w:w w:val="105"/>
        </w:rPr>
        <w:t> </w:t>
      </w:r>
      <w:r>
        <w:rPr>
          <w:w w:val="105"/>
        </w:rPr>
        <w:t>owned</w:t>
      </w:r>
      <w:r>
        <w:rPr>
          <w:spacing w:val="24"/>
          <w:w w:val="105"/>
        </w:rPr>
        <w:t> </w:t>
      </w:r>
      <w:r>
        <w:rPr>
          <w:w w:val="105"/>
        </w:rPr>
        <w:t>based</w:t>
      </w:r>
      <w:r>
        <w:rPr>
          <w:spacing w:val="24"/>
          <w:w w:val="105"/>
        </w:rPr>
        <w:t> </w:t>
      </w:r>
      <w:r>
        <w:rPr>
          <w:w w:val="105"/>
        </w:rPr>
        <w:t>on</w:t>
      </w:r>
      <w:r>
        <w:rPr>
          <w:spacing w:val="24"/>
          <w:w w:val="105"/>
        </w:rPr>
        <w:t> </w:t>
      </w:r>
      <w:r>
        <w:rPr>
          <w:w w:val="105"/>
        </w:rPr>
        <w:t>information</w:t>
      </w:r>
      <w:r>
        <w:rPr>
          <w:spacing w:val="24"/>
          <w:w w:val="105"/>
        </w:rPr>
        <w:t> </w:t>
      </w:r>
      <w:r>
        <w:rPr>
          <w:w w:val="105"/>
        </w:rPr>
        <w:t>provided</w:t>
      </w:r>
      <w:r>
        <w:rPr>
          <w:spacing w:val="24"/>
          <w:w w:val="105"/>
        </w:rPr>
        <w:t> </w:t>
      </w:r>
      <w:r>
        <w:rPr>
          <w:w w:val="105"/>
        </w:rPr>
        <w:t>in</w:t>
      </w:r>
      <w:r>
        <w:rPr>
          <w:spacing w:val="24"/>
          <w:w w:val="105"/>
        </w:rPr>
        <w:t> </w:t>
      </w:r>
      <w:r>
        <w:rPr>
          <w:w w:val="105"/>
        </w:rPr>
        <w:t>their most recent filings with the SEC; and (2) the number of shares each director, each nominee for director and</w:t>
      </w:r>
      <w:r>
        <w:rPr>
          <w:spacing w:val="40"/>
          <w:w w:val="105"/>
        </w:rPr>
        <w:t> </w:t>
      </w:r>
      <w:r>
        <w:rPr>
          <w:w w:val="105"/>
        </w:rPr>
        <w:t>each NEO and all directors, nominees for director and executive officers as a group beneficially owned, as</w:t>
      </w:r>
      <w:r>
        <w:rPr>
          <w:spacing w:val="40"/>
          <w:w w:val="105"/>
        </w:rPr>
        <w:t> </w:t>
      </w:r>
      <w:r>
        <w:rPr>
          <w:w w:val="105"/>
        </w:rPr>
        <w:t>reported</w:t>
      </w:r>
      <w:r>
        <w:rPr>
          <w:spacing w:val="22"/>
          <w:w w:val="105"/>
        </w:rPr>
        <w:t> </w:t>
      </w:r>
      <w:r>
        <w:rPr>
          <w:w w:val="105"/>
        </w:rPr>
        <w:t>by</w:t>
      </w:r>
      <w:r>
        <w:rPr>
          <w:spacing w:val="22"/>
          <w:w w:val="105"/>
        </w:rPr>
        <w:t> </w:t>
      </w:r>
      <w:r>
        <w:rPr>
          <w:w w:val="105"/>
        </w:rPr>
        <w:t>each</w:t>
      </w:r>
      <w:r>
        <w:rPr>
          <w:spacing w:val="22"/>
          <w:w w:val="105"/>
        </w:rPr>
        <w:t> </w:t>
      </w:r>
      <w:r>
        <w:rPr>
          <w:w w:val="105"/>
        </w:rPr>
        <w:t>person.</w:t>
      </w:r>
      <w:r>
        <w:rPr>
          <w:spacing w:val="22"/>
          <w:w w:val="105"/>
        </w:rPr>
        <w:t> </w:t>
      </w:r>
      <w:r>
        <w:rPr>
          <w:w w:val="105"/>
        </w:rPr>
        <w:t>Except</w:t>
      </w:r>
      <w:r>
        <w:rPr>
          <w:spacing w:val="22"/>
          <w:w w:val="105"/>
        </w:rPr>
        <w:t> </w:t>
      </w:r>
      <w:r>
        <w:rPr>
          <w:w w:val="105"/>
        </w:rPr>
        <w:t>as</w:t>
      </w:r>
      <w:r>
        <w:rPr>
          <w:spacing w:val="22"/>
          <w:w w:val="105"/>
        </w:rPr>
        <w:t> </w:t>
      </w:r>
      <w:r>
        <w:rPr>
          <w:w w:val="105"/>
        </w:rPr>
        <w:t>otherwise</w:t>
      </w:r>
      <w:r>
        <w:rPr>
          <w:spacing w:val="22"/>
          <w:w w:val="105"/>
        </w:rPr>
        <w:t> </w:t>
      </w:r>
      <w:r>
        <w:rPr>
          <w:w w:val="105"/>
        </w:rPr>
        <w:t>indicated,</w:t>
      </w:r>
      <w:r>
        <w:rPr>
          <w:spacing w:val="22"/>
          <w:w w:val="105"/>
        </w:rPr>
        <w:t> </w:t>
      </w:r>
      <w:r>
        <w:rPr>
          <w:w w:val="105"/>
        </w:rPr>
        <w:t>the</w:t>
      </w:r>
      <w:r>
        <w:rPr>
          <w:spacing w:val="22"/>
          <w:w w:val="105"/>
        </w:rPr>
        <w:t> </w:t>
      </w:r>
      <w:r>
        <w:rPr>
          <w:w w:val="105"/>
        </w:rPr>
        <w:t>address</w:t>
      </w:r>
      <w:r>
        <w:rPr>
          <w:spacing w:val="22"/>
          <w:w w:val="105"/>
        </w:rPr>
        <w:t> </w:t>
      </w:r>
      <w:r>
        <w:rPr>
          <w:w w:val="105"/>
        </w:rPr>
        <w:t>of</w:t>
      </w:r>
      <w:r>
        <w:rPr>
          <w:spacing w:val="22"/>
          <w:w w:val="105"/>
        </w:rPr>
        <w:t> </w:t>
      </w:r>
      <w:r>
        <w:rPr>
          <w:w w:val="105"/>
        </w:rPr>
        <w:t>each</w:t>
      </w:r>
      <w:r>
        <w:rPr>
          <w:spacing w:val="22"/>
          <w:w w:val="105"/>
        </w:rPr>
        <w:t> </w:t>
      </w:r>
      <w:r>
        <w:rPr>
          <w:w w:val="105"/>
        </w:rPr>
        <w:t>is</w:t>
      </w:r>
      <w:r>
        <w:rPr>
          <w:spacing w:val="22"/>
          <w:w w:val="105"/>
        </w:rPr>
        <w:t> </w:t>
      </w:r>
      <w:r>
        <w:rPr>
          <w:w w:val="105"/>
        </w:rPr>
        <w:t>1678</w:t>
      </w:r>
      <w:r>
        <w:rPr>
          <w:spacing w:val="22"/>
          <w:w w:val="105"/>
        </w:rPr>
        <w:t> </w:t>
      </w:r>
      <w:r>
        <w:rPr>
          <w:w w:val="105"/>
        </w:rPr>
        <w:t>S.</w:t>
      </w:r>
      <w:r>
        <w:rPr>
          <w:spacing w:val="22"/>
          <w:w w:val="105"/>
        </w:rPr>
        <w:t> </w:t>
      </w:r>
      <w:r>
        <w:rPr>
          <w:w w:val="105"/>
        </w:rPr>
        <w:t>Pioneer</w:t>
      </w:r>
      <w:r>
        <w:rPr>
          <w:spacing w:val="22"/>
          <w:w w:val="105"/>
        </w:rPr>
        <w:t> </w:t>
      </w:r>
      <w:r>
        <w:rPr>
          <w:w w:val="105"/>
        </w:rPr>
        <w:t>Road,</w:t>
      </w:r>
      <w:r>
        <w:rPr>
          <w:spacing w:val="22"/>
          <w:w w:val="105"/>
        </w:rPr>
        <w:t> </w:t>
      </w:r>
      <w:r>
        <w:rPr>
          <w:w w:val="105"/>
        </w:rPr>
        <w:t>Salt Lake</w:t>
      </w:r>
      <w:r>
        <w:rPr>
          <w:spacing w:val="23"/>
          <w:w w:val="105"/>
        </w:rPr>
        <w:t> </w:t>
      </w:r>
      <w:r>
        <w:rPr>
          <w:w w:val="105"/>
        </w:rPr>
        <w:t>City,</w:t>
      </w:r>
      <w:r>
        <w:rPr>
          <w:spacing w:val="23"/>
          <w:w w:val="105"/>
        </w:rPr>
        <w:t> </w:t>
      </w:r>
      <w:r>
        <w:rPr>
          <w:w w:val="105"/>
        </w:rPr>
        <w:t>Utah</w:t>
      </w:r>
      <w:r>
        <w:rPr>
          <w:spacing w:val="23"/>
          <w:w w:val="105"/>
        </w:rPr>
        <w:t> </w:t>
      </w:r>
      <w:r>
        <w:rPr>
          <w:w w:val="105"/>
        </w:rPr>
        <w:t>84104.</w:t>
      </w:r>
      <w:r>
        <w:rPr>
          <w:spacing w:val="23"/>
          <w:w w:val="105"/>
        </w:rPr>
        <w:t> </w:t>
      </w:r>
      <w:r>
        <w:rPr>
          <w:w w:val="105"/>
        </w:rPr>
        <w:t>Beneficial</w:t>
      </w:r>
      <w:r>
        <w:rPr>
          <w:spacing w:val="23"/>
          <w:w w:val="105"/>
        </w:rPr>
        <w:t> </w:t>
      </w:r>
      <w:r>
        <w:rPr>
          <w:w w:val="105"/>
        </w:rPr>
        <w:t>ownership</w:t>
      </w:r>
      <w:r>
        <w:rPr>
          <w:spacing w:val="23"/>
          <w:w w:val="105"/>
        </w:rPr>
        <w:t> </w:t>
      </w:r>
      <w:r>
        <w:rPr>
          <w:w w:val="105"/>
        </w:rPr>
        <w:t>is</w:t>
      </w:r>
      <w:r>
        <w:rPr>
          <w:spacing w:val="23"/>
          <w:w w:val="105"/>
        </w:rPr>
        <w:t> </w:t>
      </w:r>
      <w:r>
        <w:rPr>
          <w:w w:val="105"/>
        </w:rPr>
        <w:t>determined</w:t>
      </w:r>
      <w:r>
        <w:rPr>
          <w:spacing w:val="23"/>
          <w:w w:val="105"/>
        </w:rPr>
        <w:t> </w:t>
      </w:r>
      <w:r>
        <w:rPr>
          <w:w w:val="105"/>
        </w:rPr>
        <w:t>under</w:t>
      </w:r>
      <w:r>
        <w:rPr>
          <w:spacing w:val="23"/>
          <w:w w:val="105"/>
        </w:rPr>
        <w:t> </w:t>
      </w:r>
      <w:r>
        <w:rPr>
          <w:w w:val="105"/>
        </w:rPr>
        <w:t>the</w:t>
      </w:r>
      <w:r>
        <w:rPr>
          <w:spacing w:val="23"/>
          <w:w w:val="105"/>
        </w:rPr>
        <w:t> </w:t>
      </w:r>
      <w:r>
        <w:rPr>
          <w:w w:val="105"/>
        </w:rPr>
        <w:t>rules</w:t>
      </w:r>
      <w:r>
        <w:rPr>
          <w:spacing w:val="23"/>
          <w:w w:val="105"/>
        </w:rPr>
        <w:t> </w:t>
      </w:r>
      <w:r>
        <w:rPr>
          <w:w w:val="105"/>
        </w:rPr>
        <w:t>of</w:t>
      </w:r>
      <w:r>
        <w:rPr>
          <w:spacing w:val="23"/>
          <w:w w:val="105"/>
        </w:rPr>
        <w:t> </w:t>
      </w:r>
      <w:r>
        <w:rPr>
          <w:w w:val="105"/>
        </w:rPr>
        <w:t>the</w:t>
      </w:r>
      <w:r>
        <w:rPr>
          <w:spacing w:val="23"/>
          <w:w w:val="105"/>
        </w:rPr>
        <w:t> </w:t>
      </w:r>
      <w:r>
        <w:rPr>
          <w:w w:val="105"/>
        </w:rPr>
        <w:t>SEC</w:t>
      </w:r>
      <w:r>
        <w:rPr>
          <w:spacing w:val="23"/>
          <w:w w:val="105"/>
        </w:rPr>
        <w:t> </w:t>
      </w:r>
      <w:r>
        <w:rPr>
          <w:w w:val="105"/>
        </w:rPr>
        <w:t>and</w:t>
      </w:r>
      <w:r>
        <w:rPr>
          <w:spacing w:val="23"/>
          <w:w w:val="105"/>
        </w:rPr>
        <w:t> </w:t>
      </w:r>
      <w:r>
        <w:rPr>
          <w:w w:val="105"/>
        </w:rPr>
        <w:t>generally includes voting or investment power with respect to securities. Except as noted, each person has sole voting</w:t>
      </w:r>
      <w:r>
        <w:rPr>
          <w:spacing w:val="40"/>
          <w:w w:val="105"/>
        </w:rPr>
        <w:t> </w:t>
      </w:r>
      <w:r>
        <w:rPr>
          <w:w w:val="105"/>
        </w:rPr>
        <w:t>and</w:t>
      </w:r>
      <w:r>
        <w:rPr>
          <w:spacing w:val="22"/>
          <w:w w:val="105"/>
        </w:rPr>
        <w:t> </w:t>
      </w:r>
      <w:r>
        <w:rPr>
          <w:w w:val="105"/>
        </w:rPr>
        <w:t>investment</w:t>
      </w:r>
      <w:r>
        <w:rPr>
          <w:spacing w:val="22"/>
          <w:w w:val="105"/>
        </w:rPr>
        <w:t> </w:t>
      </w:r>
      <w:r>
        <w:rPr>
          <w:w w:val="105"/>
        </w:rPr>
        <w:t>power</w:t>
      </w:r>
      <w:r>
        <w:rPr>
          <w:spacing w:val="22"/>
          <w:w w:val="105"/>
        </w:rPr>
        <w:t> </w:t>
      </w:r>
      <w:r>
        <w:rPr>
          <w:w w:val="105"/>
        </w:rPr>
        <w:t>over</w:t>
      </w:r>
      <w:r>
        <w:rPr>
          <w:spacing w:val="22"/>
          <w:w w:val="105"/>
        </w:rPr>
        <w:t> </w:t>
      </w:r>
      <w:r>
        <w:rPr>
          <w:w w:val="105"/>
        </w:rPr>
        <w:t>the</w:t>
      </w:r>
      <w:r>
        <w:rPr>
          <w:spacing w:val="22"/>
          <w:w w:val="105"/>
        </w:rPr>
        <w:t> </w:t>
      </w:r>
      <w:r>
        <w:rPr>
          <w:w w:val="105"/>
        </w:rPr>
        <w:t>shares</w:t>
      </w:r>
      <w:r>
        <w:rPr>
          <w:spacing w:val="22"/>
          <w:w w:val="105"/>
        </w:rPr>
        <w:t> </w:t>
      </w:r>
      <w:r>
        <w:rPr>
          <w:w w:val="105"/>
        </w:rPr>
        <w:t>shown</w:t>
      </w:r>
      <w:r>
        <w:rPr>
          <w:spacing w:val="22"/>
          <w:w w:val="105"/>
        </w:rPr>
        <w:t> </w:t>
      </w:r>
      <w:r>
        <w:rPr>
          <w:w w:val="105"/>
        </w:rPr>
        <w:t>in</w:t>
      </w:r>
      <w:r>
        <w:rPr>
          <w:spacing w:val="22"/>
          <w:w w:val="105"/>
        </w:rPr>
        <w:t> </w:t>
      </w:r>
      <w:r>
        <w:rPr>
          <w:w w:val="105"/>
        </w:rPr>
        <w:t>this</w:t>
      </w:r>
      <w:r>
        <w:rPr>
          <w:spacing w:val="22"/>
          <w:w w:val="105"/>
        </w:rPr>
        <w:t> </w:t>
      </w:r>
      <w:r>
        <w:rPr>
          <w:w w:val="105"/>
        </w:rPr>
        <w:t>table.</w:t>
      </w:r>
      <w:r>
        <w:rPr>
          <w:spacing w:val="22"/>
          <w:w w:val="105"/>
        </w:rPr>
        <w:t> </w:t>
      </w:r>
      <w:r>
        <w:rPr>
          <w:w w:val="105"/>
        </w:rPr>
        <w:t>For</w:t>
      </w:r>
      <w:r>
        <w:rPr>
          <w:spacing w:val="22"/>
          <w:w w:val="105"/>
        </w:rPr>
        <w:t> </w:t>
      </w:r>
      <w:r>
        <w:rPr>
          <w:w w:val="105"/>
        </w:rPr>
        <w:t>each</w:t>
      </w:r>
      <w:r>
        <w:rPr>
          <w:spacing w:val="22"/>
          <w:w w:val="105"/>
        </w:rPr>
        <w:t> </w:t>
      </w:r>
      <w:r>
        <w:rPr>
          <w:w w:val="105"/>
        </w:rPr>
        <w:t>individual</w:t>
      </w:r>
      <w:r>
        <w:rPr>
          <w:spacing w:val="22"/>
          <w:w w:val="105"/>
        </w:rPr>
        <w:t> </w:t>
      </w:r>
      <w:r>
        <w:rPr>
          <w:w w:val="105"/>
        </w:rPr>
        <w:t>and</w:t>
      </w:r>
      <w:r>
        <w:rPr>
          <w:spacing w:val="22"/>
          <w:w w:val="105"/>
        </w:rPr>
        <w:t> </w:t>
      </w:r>
      <w:r>
        <w:rPr>
          <w:w w:val="105"/>
        </w:rPr>
        <w:t>group</w:t>
      </w:r>
      <w:r>
        <w:rPr>
          <w:spacing w:val="22"/>
          <w:w w:val="105"/>
        </w:rPr>
        <w:t> </w:t>
      </w:r>
      <w:r>
        <w:rPr>
          <w:w w:val="105"/>
        </w:rPr>
        <w:t>included</w:t>
      </w:r>
      <w:r>
        <w:rPr>
          <w:spacing w:val="22"/>
          <w:w w:val="105"/>
        </w:rPr>
        <w:t> </w:t>
      </w:r>
      <w:r>
        <w:rPr>
          <w:w w:val="105"/>
        </w:rPr>
        <w:t>in</w:t>
      </w:r>
      <w:r>
        <w:rPr>
          <w:spacing w:val="22"/>
          <w:w w:val="105"/>
        </w:rPr>
        <w:t> </w:t>
      </w:r>
      <w:r>
        <w:rPr>
          <w:w w:val="105"/>
        </w:rPr>
        <w:t>the table below, the percentage ownership is calculated by dividing the number of shares beneficially owned by</w:t>
      </w:r>
      <w:r>
        <w:rPr>
          <w:spacing w:val="40"/>
          <w:w w:val="105"/>
        </w:rPr>
        <w:t> </w:t>
      </w:r>
      <w:r>
        <w:rPr>
          <w:w w:val="105"/>
        </w:rPr>
        <w:t>the person or group, which includes the number of shares of common stock that the person or group had the</w:t>
      </w:r>
      <w:r>
        <w:rPr>
          <w:spacing w:val="40"/>
          <w:w w:val="105"/>
        </w:rPr>
        <w:t> </w:t>
      </w:r>
      <w:r>
        <w:rPr>
          <w:w w:val="105"/>
        </w:rPr>
        <w:t>right</w:t>
      </w:r>
      <w:r>
        <w:rPr>
          <w:spacing w:val="19"/>
          <w:w w:val="105"/>
        </w:rPr>
        <w:t> </w:t>
      </w:r>
      <w:r>
        <w:rPr>
          <w:w w:val="105"/>
        </w:rPr>
        <w:t>to</w:t>
      </w:r>
      <w:r>
        <w:rPr>
          <w:spacing w:val="19"/>
          <w:w w:val="105"/>
        </w:rPr>
        <w:t> </w:t>
      </w:r>
      <w:r>
        <w:rPr>
          <w:w w:val="105"/>
        </w:rPr>
        <w:t>acquire</w:t>
      </w:r>
      <w:r>
        <w:rPr>
          <w:spacing w:val="19"/>
          <w:w w:val="105"/>
        </w:rPr>
        <w:t> </w:t>
      </w:r>
      <w:r>
        <w:rPr>
          <w:w w:val="105"/>
        </w:rPr>
        <w:t>on</w:t>
      </w:r>
      <w:r>
        <w:rPr>
          <w:spacing w:val="19"/>
          <w:w w:val="105"/>
        </w:rPr>
        <w:t> </w:t>
      </w:r>
      <w:r>
        <w:rPr>
          <w:w w:val="105"/>
        </w:rPr>
        <w:t>or</w:t>
      </w:r>
      <w:r>
        <w:rPr>
          <w:spacing w:val="19"/>
          <w:w w:val="105"/>
        </w:rPr>
        <w:t> </w:t>
      </w:r>
      <w:r>
        <w:rPr>
          <w:w w:val="105"/>
        </w:rPr>
        <w:t>within</w:t>
      </w:r>
      <w:r>
        <w:rPr>
          <w:spacing w:val="19"/>
          <w:w w:val="105"/>
        </w:rPr>
        <w:t> </w:t>
      </w:r>
      <w:r>
        <w:rPr>
          <w:w w:val="105"/>
        </w:rPr>
        <w:t>60</w:t>
      </w:r>
      <w:r>
        <w:rPr>
          <w:spacing w:val="19"/>
          <w:w w:val="105"/>
        </w:rPr>
        <w:t> </w:t>
      </w:r>
      <w:r>
        <w:rPr>
          <w:w w:val="105"/>
        </w:rPr>
        <w:t>days</w:t>
      </w:r>
      <w:r>
        <w:rPr>
          <w:spacing w:val="19"/>
          <w:w w:val="105"/>
        </w:rPr>
        <w:t> </w:t>
      </w:r>
      <w:r>
        <w:rPr>
          <w:w w:val="105"/>
        </w:rPr>
        <w:t>after</w:t>
      </w:r>
      <w:r>
        <w:rPr>
          <w:spacing w:val="19"/>
          <w:w w:val="105"/>
        </w:rPr>
        <w:t> </w:t>
      </w:r>
      <w:r>
        <w:rPr>
          <w:w w:val="105"/>
        </w:rPr>
        <w:t>December</w:t>
      </w:r>
      <w:r>
        <w:rPr>
          <w:spacing w:val="19"/>
          <w:w w:val="105"/>
        </w:rPr>
        <w:t> </w:t>
      </w:r>
      <w:r>
        <w:rPr>
          <w:w w:val="105"/>
        </w:rPr>
        <w:t>2,</w:t>
      </w:r>
      <w:r>
        <w:rPr>
          <w:spacing w:val="19"/>
          <w:w w:val="105"/>
        </w:rPr>
        <w:t> </w:t>
      </w:r>
      <w:r>
        <w:rPr>
          <w:w w:val="105"/>
        </w:rPr>
        <w:t>2022</w:t>
      </w:r>
      <w:r>
        <w:rPr>
          <w:spacing w:val="19"/>
          <w:w w:val="105"/>
        </w:rPr>
        <w:t> </w:t>
      </w:r>
      <w:r>
        <w:rPr>
          <w:w w:val="105"/>
        </w:rPr>
        <w:t>by</w:t>
      </w:r>
      <w:r>
        <w:rPr>
          <w:spacing w:val="19"/>
          <w:w w:val="105"/>
        </w:rPr>
        <w:t> </w:t>
      </w:r>
      <w:r>
        <w:rPr>
          <w:w w:val="105"/>
        </w:rPr>
        <w:t>the</w:t>
      </w:r>
      <w:r>
        <w:rPr>
          <w:spacing w:val="19"/>
          <w:w w:val="105"/>
        </w:rPr>
        <w:t> </w:t>
      </w:r>
      <w:r>
        <w:rPr>
          <w:w w:val="105"/>
        </w:rPr>
        <w:t>sum</w:t>
      </w:r>
      <w:r>
        <w:rPr>
          <w:spacing w:val="19"/>
          <w:w w:val="105"/>
        </w:rPr>
        <w:t> </w:t>
      </w:r>
      <w:r>
        <w:rPr>
          <w:w w:val="105"/>
        </w:rPr>
        <w:t>of</w:t>
      </w:r>
      <w:r>
        <w:rPr>
          <w:spacing w:val="19"/>
          <w:w w:val="105"/>
        </w:rPr>
        <w:t> </w:t>
      </w:r>
      <w:r>
        <w:rPr>
          <w:w w:val="105"/>
        </w:rPr>
        <w:t>the</w:t>
      </w:r>
      <w:r>
        <w:rPr>
          <w:spacing w:val="19"/>
          <w:w w:val="105"/>
        </w:rPr>
        <w:t> </w:t>
      </w:r>
      <w:r>
        <w:rPr>
          <w:w w:val="105"/>
        </w:rPr>
        <w:t>40,087,100</w:t>
      </w:r>
      <w:r>
        <w:rPr>
          <w:spacing w:val="19"/>
          <w:w w:val="105"/>
        </w:rPr>
        <w:t> </w:t>
      </w:r>
      <w:r>
        <w:rPr>
          <w:w w:val="105"/>
        </w:rPr>
        <w:t>shares</w:t>
      </w:r>
      <w:r>
        <w:rPr>
          <w:spacing w:val="19"/>
          <w:w w:val="105"/>
        </w:rPr>
        <w:t> </w:t>
      </w:r>
      <w:r>
        <w:rPr>
          <w:w w:val="105"/>
        </w:rPr>
        <w:t>of common</w:t>
      </w:r>
      <w:r>
        <w:rPr>
          <w:spacing w:val="22"/>
          <w:w w:val="105"/>
        </w:rPr>
        <w:t> </w:t>
      </w:r>
      <w:r>
        <w:rPr>
          <w:w w:val="105"/>
        </w:rPr>
        <w:t>stock</w:t>
      </w:r>
      <w:r>
        <w:rPr>
          <w:spacing w:val="22"/>
          <w:w w:val="105"/>
        </w:rPr>
        <w:t> </w:t>
      </w:r>
      <w:r>
        <w:rPr>
          <w:w w:val="105"/>
        </w:rPr>
        <w:t>outstanding</w:t>
      </w:r>
      <w:r>
        <w:rPr>
          <w:spacing w:val="22"/>
          <w:w w:val="105"/>
        </w:rPr>
        <w:t> </w:t>
      </w:r>
      <w:r>
        <w:rPr>
          <w:w w:val="105"/>
        </w:rPr>
        <w:t>on</w:t>
      </w:r>
      <w:r>
        <w:rPr>
          <w:spacing w:val="22"/>
          <w:w w:val="105"/>
        </w:rPr>
        <w:t> </w:t>
      </w:r>
      <w:r>
        <w:rPr>
          <w:w w:val="105"/>
        </w:rPr>
        <w:t>December</w:t>
      </w:r>
      <w:r>
        <w:rPr>
          <w:spacing w:val="22"/>
          <w:w w:val="105"/>
        </w:rPr>
        <w:t> </w:t>
      </w:r>
      <w:r>
        <w:rPr>
          <w:w w:val="105"/>
        </w:rPr>
        <w:t>2,</w:t>
      </w:r>
      <w:r>
        <w:rPr>
          <w:spacing w:val="22"/>
          <w:w w:val="105"/>
        </w:rPr>
        <w:t> </w:t>
      </w:r>
      <w:r>
        <w:rPr>
          <w:w w:val="105"/>
        </w:rPr>
        <w:t>2022,</w:t>
      </w:r>
      <w:r>
        <w:rPr>
          <w:spacing w:val="22"/>
          <w:w w:val="105"/>
        </w:rPr>
        <w:t> </w:t>
      </w:r>
      <w:r>
        <w:rPr>
          <w:w w:val="105"/>
        </w:rPr>
        <w:t>plus</w:t>
      </w:r>
      <w:r>
        <w:rPr>
          <w:spacing w:val="22"/>
          <w:w w:val="105"/>
        </w:rPr>
        <w:t> </w:t>
      </w:r>
      <w:r>
        <w:rPr>
          <w:w w:val="105"/>
        </w:rPr>
        <w:t>the</w:t>
      </w:r>
      <w:r>
        <w:rPr>
          <w:spacing w:val="22"/>
          <w:w w:val="105"/>
        </w:rPr>
        <w:t> </w:t>
      </w:r>
      <w:r>
        <w:rPr>
          <w:w w:val="105"/>
        </w:rPr>
        <w:t>number</w:t>
      </w:r>
      <w:r>
        <w:rPr>
          <w:spacing w:val="22"/>
          <w:w w:val="105"/>
        </w:rPr>
        <w:t> </w:t>
      </w:r>
      <w:r>
        <w:rPr>
          <w:w w:val="105"/>
        </w:rPr>
        <w:t>of</w:t>
      </w:r>
      <w:r>
        <w:rPr>
          <w:spacing w:val="22"/>
          <w:w w:val="105"/>
        </w:rPr>
        <w:t> </w:t>
      </w:r>
      <w:r>
        <w:rPr>
          <w:w w:val="105"/>
        </w:rPr>
        <w:t>shares</w:t>
      </w:r>
      <w:r>
        <w:rPr>
          <w:spacing w:val="22"/>
          <w:w w:val="105"/>
        </w:rPr>
        <w:t> </w:t>
      </w:r>
      <w:r>
        <w:rPr>
          <w:w w:val="105"/>
        </w:rPr>
        <w:t>of</w:t>
      </w:r>
      <w:r>
        <w:rPr>
          <w:spacing w:val="22"/>
          <w:w w:val="105"/>
        </w:rPr>
        <w:t> </w:t>
      </w:r>
      <w:r>
        <w:rPr>
          <w:w w:val="105"/>
        </w:rPr>
        <w:t>common</w:t>
      </w:r>
      <w:r>
        <w:rPr>
          <w:spacing w:val="22"/>
          <w:w w:val="105"/>
        </w:rPr>
        <w:t> </w:t>
      </w:r>
      <w:r>
        <w:rPr>
          <w:w w:val="105"/>
        </w:rPr>
        <w:t>stock</w:t>
      </w:r>
      <w:r>
        <w:rPr>
          <w:spacing w:val="22"/>
          <w:w w:val="105"/>
        </w:rPr>
        <w:t> </w:t>
      </w:r>
      <w:r>
        <w:rPr>
          <w:w w:val="105"/>
        </w:rPr>
        <w:t>that</w:t>
      </w:r>
      <w:r>
        <w:rPr>
          <w:spacing w:val="22"/>
          <w:w w:val="105"/>
        </w:rPr>
        <w:t> </w:t>
      </w:r>
      <w:r>
        <w:rPr>
          <w:w w:val="105"/>
        </w:rPr>
        <w:t>the person or group had the right to acquire on or within 60 days after December 2, 2022.</w:t>
      </w:r>
    </w:p>
    <w:p>
      <w:pPr>
        <w:spacing w:line="232" w:lineRule="auto" w:before="174"/>
        <w:ind w:left="8148" w:right="1763" w:firstLine="0"/>
        <w:jc w:val="center"/>
        <w:rPr>
          <w:b/>
          <w:sz w:val="15"/>
        </w:rPr>
      </w:pPr>
      <w:r>
        <w:rPr/>
        <w:pict>
          <v:rect style="position:absolute;margin-left:412.746033pt;margin-top:36.461235pt;width:106.247005pt;height:.699pt;mso-position-horizontal-relative:page;mso-position-vertical-relative:paragraph;z-index:15758848" id="docshape226" filled="true" fillcolor="#000000" stroked="false">
            <v:fill type="solid"/>
            <w10:wrap type="none"/>
          </v:rect>
        </w:pict>
      </w:r>
      <w:r>
        <w:rPr>
          <w:b/>
          <w:spacing w:val="-4"/>
          <w:sz w:val="15"/>
        </w:rPr>
        <w:t>Amount</w:t>
      </w:r>
      <w:r>
        <w:rPr>
          <w:b/>
          <w:spacing w:val="-9"/>
          <w:sz w:val="15"/>
        </w:rPr>
        <w:t> </w:t>
      </w:r>
      <w:r>
        <w:rPr>
          <w:b/>
          <w:spacing w:val="-4"/>
          <w:sz w:val="15"/>
        </w:rPr>
        <w:t>and</w:t>
      </w:r>
      <w:r>
        <w:rPr>
          <w:b/>
          <w:spacing w:val="-7"/>
          <w:sz w:val="15"/>
        </w:rPr>
        <w:t> </w:t>
      </w:r>
      <w:r>
        <w:rPr>
          <w:b/>
          <w:spacing w:val="-4"/>
          <w:sz w:val="15"/>
        </w:rPr>
        <w:t>Nature</w:t>
      </w:r>
      <w:r>
        <w:rPr>
          <w:b/>
          <w:spacing w:val="-7"/>
          <w:sz w:val="15"/>
        </w:rPr>
        <w:t> </w:t>
      </w:r>
      <w:r>
        <w:rPr>
          <w:b/>
          <w:spacing w:val="-4"/>
          <w:sz w:val="15"/>
        </w:rPr>
        <w:t>of</w:t>
      </w:r>
      <w:r>
        <w:rPr>
          <w:b/>
          <w:spacing w:val="40"/>
          <w:sz w:val="15"/>
        </w:rPr>
        <w:t> </w:t>
      </w:r>
      <w:r>
        <w:rPr>
          <w:b/>
          <w:sz w:val="15"/>
        </w:rPr>
        <w:t>Common</w:t>
      </w:r>
      <w:r>
        <w:rPr>
          <w:b/>
          <w:spacing w:val="-10"/>
          <w:sz w:val="15"/>
        </w:rPr>
        <w:t> </w:t>
      </w:r>
      <w:r>
        <w:rPr>
          <w:b/>
          <w:sz w:val="15"/>
        </w:rPr>
        <w:t>Stock</w:t>
      </w:r>
      <w:r>
        <w:rPr>
          <w:b/>
          <w:spacing w:val="40"/>
          <w:sz w:val="15"/>
        </w:rPr>
        <w:t> </w:t>
      </w:r>
      <w:r>
        <w:rPr>
          <w:b/>
          <w:sz w:val="15"/>
        </w:rPr>
        <w:t>Beneficially</w:t>
      </w:r>
      <w:r>
        <w:rPr>
          <w:b/>
          <w:spacing w:val="-10"/>
          <w:sz w:val="15"/>
        </w:rPr>
        <w:t> </w:t>
      </w:r>
      <w:r>
        <w:rPr>
          <w:b/>
          <w:sz w:val="15"/>
        </w:rPr>
        <w:t>Owned</w:t>
      </w:r>
    </w:p>
    <w:p>
      <w:pPr>
        <w:spacing w:after="0" w:line="232" w:lineRule="auto"/>
        <w:jc w:val="center"/>
        <w:rPr>
          <w:sz w:val="15"/>
        </w:rPr>
        <w:sectPr>
          <w:headerReference w:type="default" r:id="rId103"/>
          <w:footerReference w:type="default" r:id="rId104"/>
          <w:pgSz w:w="12240" w:h="15840"/>
          <w:pgMar w:header="529" w:footer="0" w:top="720" w:bottom="280" w:left="480" w:right="460"/>
        </w:sectPr>
      </w:pPr>
    </w:p>
    <w:p>
      <w:pPr>
        <w:pStyle w:val="BodyText"/>
        <w:rPr>
          <w:b/>
          <w:sz w:val="20"/>
        </w:rPr>
      </w:pPr>
    </w:p>
    <w:p>
      <w:pPr>
        <w:pStyle w:val="BodyText"/>
        <w:spacing w:before="2"/>
        <w:rPr>
          <w:b/>
          <w:sz w:val="27"/>
        </w:rPr>
      </w:pPr>
    </w:p>
    <w:p>
      <w:pPr>
        <w:pStyle w:val="Heading2"/>
      </w:pPr>
      <w:r>
        <w:rPr/>
        <w:pict>
          <v:shape style="position:absolute;margin-left:412.746033pt;margin-top:-2.781732pt;width:69.9pt;height:.7pt;mso-position-horizontal-relative:page;mso-position-vertical-relative:paragraph;z-index:15759360" id="docshape227" coordorigin="8255,-56" coordsize="1398,14" path="m9653,-56l9331,-56,8576,-56,8255,-56,8255,-42,8576,-42,9331,-42,9653,-42,9653,-56xe" filled="true" fillcolor="#000000" stroked="false">
            <v:path arrowok="t"/>
            <v:fill type="solid"/>
            <w10:wrap type="none"/>
          </v:shape>
        </w:pict>
      </w:r>
      <w:r>
        <w:rPr>
          <w:spacing w:val="-4"/>
          <w:w w:val="105"/>
        </w:rPr>
        <w:t>Stockholders</w:t>
      </w:r>
    </w:p>
    <w:p>
      <w:pPr>
        <w:spacing w:line="232" w:lineRule="auto" w:before="99"/>
        <w:ind w:left="1400" w:right="-9" w:firstLine="112"/>
        <w:jc w:val="left"/>
        <w:rPr>
          <w:b/>
          <w:sz w:val="15"/>
        </w:rPr>
      </w:pPr>
      <w:r>
        <w:rPr/>
        <w:br w:type="column"/>
      </w:r>
      <w:r>
        <w:rPr>
          <w:b/>
          <w:sz w:val="15"/>
        </w:rPr>
        <w:t>Number of Shares</w:t>
      </w:r>
      <w:r>
        <w:rPr>
          <w:b/>
          <w:spacing w:val="40"/>
          <w:sz w:val="15"/>
        </w:rPr>
        <w:t> </w:t>
      </w:r>
      <w:r>
        <w:rPr>
          <w:b/>
          <w:spacing w:val="-4"/>
          <w:sz w:val="15"/>
        </w:rPr>
        <w:t>Beneficially</w:t>
      </w:r>
      <w:r>
        <w:rPr>
          <w:b/>
          <w:spacing w:val="-7"/>
          <w:sz w:val="15"/>
        </w:rPr>
        <w:t> </w:t>
      </w:r>
      <w:r>
        <w:rPr>
          <w:b/>
          <w:spacing w:val="-4"/>
          <w:sz w:val="15"/>
        </w:rPr>
        <w:t>Owned</w:t>
      </w:r>
      <w:r>
        <w:rPr>
          <w:b/>
          <w:spacing w:val="-4"/>
          <w:sz w:val="15"/>
          <w:vertAlign w:val="superscript"/>
        </w:rPr>
        <w:t>(16)</w:t>
      </w:r>
    </w:p>
    <w:p>
      <w:pPr>
        <w:spacing w:line="232" w:lineRule="auto" w:before="99"/>
        <w:ind w:left="225" w:right="1404" w:firstLine="6"/>
        <w:jc w:val="left"/>
        <w:rPr>
          <w:b/>
          <w:sz w:val="15"/>
        </w:rPr>
      </w:pPr>
      <w:r>
        <w:rPr/>
        <w:br w:type="column"/>
      </w:r>
      <w:r>
        <w:rPr>
          <w:b/>
          <w:spacing w:val="-4"/>
          <w:sz w:val="15"/>
        </w:rPr>
        <w:t>Percent</w:t>
      </w:r>
      <w:r>
        <w:rPr>
          <w:b/>
          <w:spacing w:val="40"/>
          <w:sz w:val="15"/>
        </w:rPr>
        <w:t> </w:t>
      </w:r>
      <w:r>
        <w:rPr>
          <w:b/>
          <w:spacing w:val="-2"/>
          <w:sz w:val="15"/>
        </w:rPr>
        <w:t>of</w:t>
      </w:r>
      <w:r>
        <w:rPr>
          <w:b/>
          <w:spacing w:val="-8"/>
          <w:sz w:val="15"/>
        </w:rPr>
        <w:t> </w:t>
      </w:r>
      <w:r>
        <w:rPr>
          <w:b/>
          <w:spacing w:val="-5"/>
          <w:sz w:val="15"/>
        </w:rPr>
        <w:t>Class</w:t>
      </w:r>
    </w:p>
    <w:p>
      <w:pPr>
        <w:pStyle w:val="BodyText"/>
        <w:spacing w:before="7"/>
        <w:rPr>
          <w:b/>
          <w:sz w:val="4"/>
        </w:rPr>
      </w:pPr>
    </w:p>
    <w:p>
      <w:pPr>
        <w:pStyle w:val="BodyText"/>
        <w:spacing w:line="20" w:lineRule="exact"/>
        <w:ind w:left="215"/>
        <w:rPr>
          <w:sz w:val="2"/>
        </w:rPr>
      </w:pPr>
      <w:r>
        <w:rPr>
          <w:sz w:val="2"/>
        </w:rPr>
        <w:pict>
          <v:group style="width:25.2pt;height:.7pt;mso-position-horizontal-relative:char;mso-position-vertical-relative:line" id="docshapegroup228" coordorigin="0,0" coordsize="504,14">
            <v:shape style="position:absolute;left:-1;top:0;width:504;height:14" id="docshape229" coordorigin="0,0" coordsize="504,14" path="m503,0l419,0,84,0,0,0,0,14,84,14,419,14,503,14,503,0xe" filled="true" fillcolor="#000000" stroked="false">
              <v:path arrowok="t"/>
              <v:fill type="solid"/>
            </v:shape>
          </v:group>
        </w:pict>
      </w:r>
      <w:r>
        <w:rPr>
          <w:sz w:val="2"/>
        </w:rPr>
      </w:r>
    </w:p>
    <w:p>
      <w:pPr>
        <w:pStyle w:val="BodyText"/>
        <w:spacing w:before="8"/>
        <w:rPr>
          <w:b/>
          <w:sz w:val="8"/>
        </w:rPr>
      </w:pPr>
    </w:p>
    <w:p>
      <w:pPr>
        <w:spacing w:after="0"/>
        <w:rPr>
          <w:sz w:val="8"/>
        </w:rPr>
        <w:sectPr>
          <w:type w:val="continuous"/>
          <w:pgSz w:w="12240" w:h="15840"/>
          <w:pgMar w:header="529" w:footer="0" w:top="600" w:bottom="960" w:left="480" w:right="460"/>
          <w:cols w:num="3" w:equalWidth="0">
            <w:col w:w="2435" w:space="3973"/>
            <w:col w:w="2733" w:space="40"/>
            <w:col w:w="2119"/>
          </w:cols>
        </w:sectPr>
      </w:pPr>
    </w:p>
    <w:p>
      <w:pPr>
        <w:pStyle w:val="BodyText"/>
        <w:spacing w:before="73"/>
        <w:ind w:left="1400"/>
      </w:pPr>
      <w:r>
        <w:rPr>
          <w:w w:val="105"/>
        </w:rPr>
        <w:t>Blackrock,</w:t>
      </w:r>
      <w:r>
        <w:rPr>
          <w:spacing w:val="18"/>
          <w:w w:val="105"/>
        </w:rPr>
        <w:t> </w:t>
      </w:r>
      <w:r>
        <w:rPr>
          <w:spacing w:val="-2"/>
          <w:w w:val="105"/>
        </w:rPr>
        <w:t>Inc.</w:t>
      </w:r>
      <w:r>
        <w:rPr>
          <w:spacing w:val="-2"/>
          <w:w w:val="105"/>
          <w:vertAlign w:val="superscript"/>
        </w:rPr>
        <w:t>(1)</w:t>
      </w:r>
    </w:p>
    <w:p>
      <w:pPr>
        <w:pStyle w:val="BodyText"/>
        <w:spacing w:line="357" w:lineRule="auto" w:before="100"/>
        <w:ind w:left="1400" w:right="1193" w:firstLine="186"/>
      </w:pPr>
      <w:r>
        <w:rPr>
          <w:w w:val="105"/>
        </w:rPr>
        <w:t>55 East 52</w:t>
      </w:r>
      <w:r>
        <w:rPr>
          <w:w w:val="105"/>
          <w:vertAlign w:val="superscript"/>
        </w:rPr>
        <w:t>n</w:t>
      </w:r>
      <w:r>
        <w:rPr>
          <w:w w:val="105"/>
          <w:vertAlign w:val="superscript"/>
        </w:rPr>
        <w:t>d</w:t>
      </w:r>
      <w:r>
        <w:rPr>
          <w:w w:val="105"/>
          <w:vertAlign w:val="baseline"/>
        </w:rPr>
        <w:t> Street, New</w:t>
      </w:r>
      <w:r>
        <w:rPr>
          <w:spacing w:val="-2"/>
          <w:w w:val="105"/>
          <w:vertAlign w:val="baseline"/>
        </w:rPr>
        <w:t> </w:t>
      </w:r>
      <w:r>
        <w:rPr>
          <w:w w:val="105"/>
          <w:vertAlign w:val="baseline"/>
        </w:rPr>
        <w:t>York, NY</w:t>
      </w:r>
      <w:r>
        <w:rPr>
          <w:spacing w:val="-2"/>
          <w:w w:val="105"/>
          <w:vertAlign w:val="baseline"/>
        </w:rPr>
        <w:t> </w:t>
      </w:r>
      <w:r>
        <w:rPr>
          <w:w w:val="105"/>
          <w:vertAlign w:val="baseline"/>
        </w:rPr>
        <w:t>10055 The Vanguard Group, Inc.</w:t>
      </w:r>
      <w:r>
        <w:rPr>
          <w:w w:val="105"/>
          <w:vertAlign w:val="superscript"/>
        </w:rPr>
        <w:t>(</w:t>
      </w:r>
      <w:r>
        <w:rPr>
          <w:w w:val="105"/>
          <w:vertAlign w:val="superscript"/>
        </w:rPr>
        <w:t>2</w:t>
      </w:r>
      <w:r>
        <w:rPr>
          <w:w w:val="105"/>
          <w:vertAlign w:val="superscript"/>
        </w:rPr>
        <w:t>)</w:t>
      </w:r>
    </w:p>
    <w:p>
      <w:pPr>
        <w:pStyle w:val="BodyText"/>
        <w:spacing w:line="324" w:lineRule="auto"/>
        <w:ind w:left="1400" w:right="1193" w:firstLine="186"/>
      </w:pPr>
      <w:r>
        <w:rPr>
          <w:w w:val="105"/>
        </w:rPr>
        <w:t>100</w:t>
      </w:r>
      <w:r>
        <w:rPr>
          <w:spacing w:val="-1"/>
          <w:w w:val="105"/>
        </w:rPr>
        <w:t> </w:t>
      </w:r>
      <w:r>
        <w:rPr>
          <w:w w:val="105"/>
        </w:rPr>
        <w:t>Vanguard Blvd., Malvern, PA</w:t>
      </w:r>
      <w:r>
        <w:rPr>
          <w:spacing w:val="-8"/>
          <w:w w:val="105"/>
        </w:rPr>
        <w:t> </w:t>
      </w:r>
      <w:r>
        <w:rPr>
          <w:w w:val="105"/>
        </w:rPr>
        <w:t>19355 Shapiro Capital Management LLC</w:t>
      </w:r>
      <w:r>
        <w:rPr>
          <w:w w:val="105"/>
          <w:vertAlign w:val="superscript"/>
        </w:rPr>
        <w:t>(</w:t>
      </w:r>
      <w:r>
        <w:rPr>
          <w:w w:val="105"/>
          <w:vertAlign w:val="superscript"/>
        </w:rPr>
        <w:t>3</w:t>
      </w:r>
      <w:r>
        <w:rPr>
          <w:w w:val="105"/>
          <w:vertAlign w:val="superscript"/>
        </w:rPr>
        <w:t>)</w:t>
      </w:r>
    </w:p>
    <w:p>
      <w:pPr>
        <w:pStyle w:val="BodyText"/>
        <w:spacing w:before="27"/>
        <w:ind w:left="1586"/>
      </w:pPr>
      <w:r>
        <w:rPr>
          <w:w w:val="105"/>
        </w:rPr>
        <w:t>3060</w:t>
      </w:r>
      <w:r>
        <w:rPr>
          <w:spacing w:val="8"/>
          <w:w w:val="105"/>
        </w:rPr>
        <w:t> </w:t>
      </w:r>
      <w:r>
        <w:rPr>
          <w:w w:val="105"/>
        </w:rPr>
        <w:t>Peachtree</w:t>
      </w:r>
      <w:r>
        <w:rPr>
          <w:spacing w:val="9"/>
          <w:w w:val="105"/>
        </w:rPr>
        <w:t> </w:t>
      </w:r>
      <w:r>
        <w:rPr>
          <w:w w:val="105"/>
        </w:rPr>
        <w:t>Road,</w:t>
      </w:r>
      <w:r>
        <w:rPr>
          <w:spacing w:val="9"/>
          <w:w w:val="105"/>
        </w:rPr>
        <w:t> </w:t>
      </w:r>
      <w:r>
        <w:rPr>
          <w:w w:val="105"/>
        </w:rPr>
        <w:t>Suite</w:t>
      </w:r>
      <w:r>
        <w:rPr>
          <w:spacing w:val="9"/>
          <w:w w:val="105"/>
        </w:rPr>
        <w:t> </w:t>
      </w:r>
      <w:r>
        <w:rPr>
          <w:w w:val="105"/>
        </w:rPr>
        <w:t>1555</w:t>
      </w:r>
      <w:r>
        <w:rPr>
          <w:spacing w:val="8"/>
          <w:w w:val="105"/>
        </w:rPr>
        <w:t> </w:t>
      </w:r>
      <w:r>
        <w:rPr>
          <w:w w:val="105"/>
        </w:rPr>
        <w:t>N.W.,</w:t>
      </w:r>
      <w:r>
        <w:rPr>
          <w:spacing w:val="-2"/>
          <w:w w:val="105"/>
        </w:rPr>
        <w:t> </w:t>
      </w:r>
      <w:r>
        <w:rPr>
          <w:w w:val="105"/>
        </w:rPr>
        <w:t>Atlanta,</w:t>
      </w:r>
      <w:r>
        <w:rPr>
          <w:spacing w:val="8"/>
          <w:w w:val="105"/>
        </w:rPr>
        <w:t> </w:t>
      </w:r>
      <w:r>
        <w:rPr>
          <w:w w:val="105"/>
        </w:rPr>
        <w:t>GA</w:t>
      </w:r>
      <w:r>
        <w:rPr>
          <w:spacing w:val="-2"/>
          <w:w w:val="105"/>
        </w:rPr>
        <w:t> 30305</w:t>
      </w:r>
    </w:p>
    <w:p>
      <w:pPr>
        <w:pStyle w:val="BodyText"/>
        <w:tabs>
          <w:tab w:pos="2779" w:val="left" w:leader="none"/>
        </w:tabs>
        <w:spacing w:before="101"/>
        <w:ind w:left="1400"/>
      </w:pPr>
      <w:r>
        <w:rPr/>
        <w:br w:type="column"/>
      </w:r>
      <w:r>
        <w:rPr>
          <w:spacing w:val="-2"/>
          <w:w w:val="105"/>
        </w:rPr>
        <w:t>6,676,255</w:t>
      </w:r>
      <w:r>
        <w:rPr/>
        <w:tab/>
      </w:r>
      <w:r>
        <w:rPr>
          <w:spacing w:val="-2"/>
          <w:w w:val="105"/>
        </w:rPr>
        <w:t>16.7%</w:t>
      </w:r>
    </w:p>
    <w:p>
      <w:pPr>
        <w:pStyle w:val="BodyText"/>
        <w:rPr>
          <w:sz w:val="20"/>
        </w:rPr>
      </w:pPr>
    </w:p>
    <w:p>
      <w:pPr>
        <w:pStyle w:val="BodyText"/>
        <w:tabs>
          <w:tab w:pos="2779" w:val="left" w:leader="none"/>
        </w:tabs>
        <w:spacing w:before="178"/>
        <w:ind w:left="1400"/>
      </w:pPr>
      <w:r>
        <w:rPr>
          <w:spacing w:val="-2"/>
          <w:w w:val="105"/>
        </w:rPr>
        <w:t>4,264,345</w:t>
      </w:r>
      <w:r>
        <w:rPr/>
        <w:tab/>
      </w:r>
      <w:r>
        <w:rPr>
          <w:spacing w:val="-2"/>
          <w:w w:val="105"/>
        </w:rPr>
        <w:t>10.6%</w:t>
      </w:r>
    </w:p>
    <w:p>
      <w:pPr>
        <w:pStyle w:val="BodyText"/>
        <w:rPr>
          <w:sz w:val="20"/>
        </w:rPr>
      </w:pPr>
    </w:p>
    <w:p>
      <w:pPr>
        <w:pStyle w:val="BodyText"/>
        <w:tabs>
          <w:tab w:pos="2872" w:val="left" w:leader="none"/>
        </w:tabs>
        <w:spacing w:before="150"/>
        <w:ind w:left="1400"/>
      </w:pPr>
      <w:r>
        <w:rPr>
          <w:spacing w:val="-2"/>
          <w:w w:val="105"/>
        </w:rPr>
        <w:t>2,977,970</w:t>
      </w:r>
      <w:r>
        <w:rPr/>
        <w:tab/>
      </w:r>
      <w:r>
        <w:rPr>
          <w:spacing w:val="-4"/>
          <w:w w:val="105"/>
        </w:rPr>
        <w:t>7.4%</w:t>
      </w:r>
    </w:p>
    <w:p>
      <w:pPr>
        <w:spacing w:after="0"/>
        <w:sectPr>
          <w:type w:val="continuous"/>
          <w:pgSz w:w="12240" w:h="15840"/>
          <w:pgMar w:header="529" w:footer="0" w:top="600" w:bottom="960" w:left="480" w:right="460"/>
          <w:cols w:num="2" w:equalWidth="0">
            <w:col w:w="6236" w:space="469"/>
            <w:col w:w="4595"/>
          </w:cols>
        </w:sectPr>
      </w:pPr>
    </w:p>
    <w:p>
      <w:pPr>
        <w:pStyle w:val="BodyText"/>
        <w:spacing w:before="5"/>
        <w:rPr>
          <w:sz w:val="6"/>
        </w:rPr>
      </w:pPr>
    </w:p>
    <w:tbl>
      <w:tblPr>
        <w:tblW w:w="0" w:type="auto"/>
        <w:jc w:val="left"/>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9"/>
        <w:gridCol w:w="1766"/>
        <w:gridCol w:w="802"/>
      </w:tblGrid>
      <w:tr>
        <w:trPr>
          <w:trHeight w:val="237" w:hRule="atLeast"/>
        </w:trPr>
        <w:tc>
          <w:tcPr>
            <w:tcW w:w="6099" w:type="dxa"/>
          </w:tcPr>
          <w:p>
            <w:pPr>
              <w:pStyle w:val="TableParagraph"/>
              <w:spacing w:line="205" w:lineRule="exact"/>
              <w:ind w:left="50"/>
              <w:rPr>
                <w:sz w:val="18"/>
              </w:rPr>
            </w:pPr>
            <w:r>
              <w:rPr>
                <w:w w:val="105"/>
                <w:sz w:val="18"/>
              </w:rPr>
              <w:t>Kathleen</w:t>
            </w:r>
            <w:r>
              <w:rPr>
                <w:spacing w:val="10"/>
                <w:w w:val="105"/>
                <w:sz w:val="18"/>
              </w:rPr>
              <w:t> </w:t>
            </w:r>
            <w:r>
              <w:rPr>
                <w:w w:val="105"/>
                <w:sz w:val="18"/>
              </w:rPr>
              <w:t>L.</w:t>
            </w:r>
            <w:r>
              <w:rPr>
                <w:spacing w:val="11"/>
                <w:w w:val="105"/>
                <w:sz w:val="18"/>
              </w:rPr>
              <w:t> </w:t>
            </w:r>
            <w:r>
              <w:rPr>
                <w:spacing w:val="-2"/>
                <w:w w:val="105"/>
                <w:sz w:val="18"/>
              </w:rPr>
              <w:t>Bardwell</w:t>
            </w:r>
          </w:p>
        </w:tc>
        <w:tc>
          <w:tcPr>
            <w:tcW w:w="1766" w:type="dxa"/>
          </w:tcPr>
          <w:p>
            <w:pPr>
              <w:pStyle w:val="TableParagraph"/>
              <w:spacing w:line="205" w:lineRule="exact"/>
              <w:ind w:right="362"/>
              <w:jc w:val="right"/>
              <w:rPr>
                <w:sz w:val="18"/>
              </w:rPr>
            </w:pPr>
            <w:r>
              <w:rPr>
                <w:w w:val="103"/>
                <w:sz w:val="18"/>
              </w:rPr>
              <w:t>—</w:t>
            </w:r>
          </w:p>
        </w:tc>
        <w:tc>
          <w:tcPr>
            <w:tcW w:w="802" w:type="dxa"/>
          </w:tcPr>
          <w:p>
            <w:pPr>
              <w:pStyle w:val="TableParagraph"/>
              <w:spacing w:line="205" w:lineRule="exact"/>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Jocelyn</w:t>
            </w:r>
            <w:r>
              <w:rPr>
                <w:spacing w:val="11"/>
                <w:w w:val="105"/>
                <w:sz w:val="18"/>
              </w:rPr>
              <w:t> </w:t>
            </w:r>
            <w:r>
              <w:rPr>
                <w:w w:val="105"/>
                <w:sz w:val="18"/>
              </w:rPr>
              <w:t>D.</w:t>
            </w:r>
            <w:r>
              <w:rPr>
                <w:spacing w:val="12"/>
                <w:w w:val="105"/>
                <w:sz w:val="18"/>
              </w:rPr>
              <w:t> </w:t>
            </w:r>
            <w:r>
              <w:rPr>
                <w:w w:val="105"/>
                <w:sz w:val="18"/>
              </w:rPr>
              <w:t>Chertoff,</w:t>
            </w:r>
            <w:r>
              <w:rPr>
                <w:spacing w:val="11"/>
                <w:w w:val="105"/>
                <w:sz w:val="18"/>
              </w:rPr>
              <w:t> </w:t>
            </w:r>
            <w:r>
              <w:rPr>
                <w:spacing w:val="-2"/>
                <w:w w:val="105"/>
                <w:sz w:val="18"/>
              </w:rPr>
              <w:t>M.D.</w:t>
            </w:r>
            <w:r>
              <w:rPr>
                <w:spacing w:val="-2"/>
                <w:w w:val="105"/>
                <w:sz w:val="18"/>
                <w:vertAlign w:val="superscript"/>
              </w:rPr>
              <w:t>(4)</w:t>
            </w:r>
          </w:p>
        </w:tc>
        <w:tc>
          <w:tcPr>
            <w:tcW w:w="1766" w:type="dxa"/>
          </w:tcPr>
          <w:p>
            <w:pPr>
              <w:pStyle w:val="TableParagraph"/>
              <w:spacing w:before="68"/>
              <w:ind w:right="362"/>
              <w:jc w:val="right"/>
              <w:rPr>
                <w:sz w:val="18"/>
              </w:rPr>
            </w:pPr>
            <w:r>
              <w:rPr>
                <w:spacing w:val="-2"/>
                <w:w w:val="105"/>
                <w:sz w:val="18"/>
              </w:rPr>
              <w:t>27,138</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Brian</w:t>
            </w:r>
            <w:r>
              <w:rPr>
                <w:spacing w:val="-5"/>
                <w:w w:val="105"/>
                <w:sz w:val="18"/>
              </w:rPr>
              <w:t> </w:t>
            </w:r>
            <w:r>
              <w:rPr>
                <w:w w:val="105"/>
                <w:sz w:val="18"/>
              </w:rPr>
              <w:t>W. </w:t>
            </w:r>
            <w:r>
              <w:rPr>
                <w:spacing w:val="-2"/>
                <w:w w:val="105"/>
                <w:sz w:val="18"/>
              </w:rPr>
              <w:t>Giambattista</w:t>
            </w:r>
            <w:r>
              <w:rPr>
                <w:spacing w:val="-2"/>
                <w:w w:val="105"/>
                <w:sz w:val="18"/>
                <w:vertAlign w:val="superscript"/>
              </w:rPr>
              <w:t>(5)</w:t>
            </w:r>
          </w:p>
        </w:tc>
        <w:tc>
          <w:tcPr>
            <w:tcW w:w="1766" w:type="dxa"/>
          </w:tcPr>
          <w:p>
            <w:pPr>
              <w:pStyle w:val="TableParagraph"/>
              <w:spacing w:before="68"/>
              <w:ind w:right="362"/>
              <w:jc w:val="right"/>
              <w:rPr>
                <w:sz w:val="18"/>
              </w:rPr>
            </w:pPr>
            <w:r>
              <w:rPr>
                <w:spacing w:val="-2"/>
                <w:w w:val="105"/>
                <w:sz w:val="18"/>
              </w:rPr>
              <w:t>117,401</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Timothy</w:t>
            </w:r>
            <w:r>
              <w:rPr>
                <w:spacing w:val="6"/>
                <w:w w:val="105"/>
                <w:sz w:val="18"/>
              </w:rPr>
              <w:t> </w:t>
            </w:r>
            <w:r>
              <w:rPr>
                <w:w w:val="105"/>
                <w:sz w:val="18"/>
              </w:rPr>
              <w:t>E.</w:t>
            </w:r>
            <w:r>
              <w:rPr>
                <w:spacing w:val="7"/>
                <w:w w:val="105"/>
                <w:sz w:val="18"/>
              </w:rPr>
              <w:t> </w:t>
            </w:r>
            <w:r>
              <w:rPr>
                <w:spacing w:val="-2"/>
                <w:w w:val="105"/>
                <w:sz w:val="18"/>
              </w:rPr>
              <w:t>Guertin</w:t>
            </w:r>
            <w:r>
              <w:rPr>
                <w:spacing w:val="-2"/>
                <w:w w:val="105"/>
                <w:sz w:val="18"/>
                <w:vertAlign w:val="superscript"/>
              </w:rPr>
              <w:t>(6)</w:t>
            </w:r>
          </w:p>
        </w:tc>
        <w:tc>
          <w:tcPr>
            <w:tcW w:w="1766" w:type="dxa"/>
          </w:tcPr>
          <w:p>
            <w:pPr>
              <w:pStyle w:val="TableParagraph"/>
              <w:spacing w:before="68"/>
              <w:ind w:right="362"/>
              <w:jc w:val="right"/>
              <w:rPr>
                <w:sz w:val="18"/>
              </w:rPr>
            </w:pPr>
            <w:r>
              <w:rPr>
                <w:spacing w:val="-2"/>
                <w:w w:val="105"/>
                <w:sz w:val="18"/>
              </w:rPr>
              <w:t>11,721</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r>
              <w:rPr>
                <w:spacing w:val="-2"/>
                <w:w w:val="105"/>
                <w:sz w:val="18"/>
                <w:vertAlign w:val="superscript"/>
              </w:rPr>
              <w:t>(7)</w:t>
            </w:r>
          </w:p>
        </w:tc>
        <w:tc>
          <w:tcPr>
            <w:tcW w:w="1766" w:type="dxa"/>
          </w:tcPr>
          <w:p>
            <w:pPr>
              <w:pStyle w:val="TableParagraph"/>
              <w:spacing w:before="68"/>
              <w:ind w:right="362"/>
              <w:jc w:val="right"/>
              <w:rPr>
                <w:sz w:val="18"/>
              </w:rPr>
            </w:pPr>
            <w:r>
              <w:rPr>
                <w:spacing w:val="-2"/>
                <w:w w:val="105"/>
                <w:sz w:val="18"/>
              </w:rPr>
              <w:t>110,555</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r>
              <w:rPr>
                <w:spacing w:val="-2"/>
                <w:w w:val="105"/>
                <w:sz w:val="18"/>
                <w:vertAlign w:val="superscript"/>
              </w:rPr>
              <w:t>(8)</w:t>
            </w:r>
          </w:p>
        </w:tc>
        <w:tc>
          <w:tcPr>
            <w:tcW w:w="1766" w:type="dxa"/>
          </w:tcPr>
          <w:p>
            <w:pPr>
              <w:pStyle w:val="TableParagraph"/>
              <w:spacing w:before="68"/>
              <w:ind w:right="362"/>
              <w:jc w:val="right"/>
              <w:rPr>
                <w:sz w:val="18"/>
              </w:rPr>
            </w:pPr>
            <w:r>
              <w:rPr>
                <w:spacing w:val="-2"/>
                <w:w w:val="105"/>
                <w:sz w:val="18"/>
              </w:rPr>
              <w:t>141,590</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Jay</w:t>
            </w:r>
            <w:r>
              <w:rPr>
                <w:spacing w:val="7"/>
                <w:w w:val="105"/>
                <w:sz w:val="18"/>
              </w:rPr>
              <w:t> </w:t>
            </w:r>
            <w:r>
              <w:rPr>
                <w:w w:val="105"/>
                <w:sz w:val="18"/>
              </w:rPr>
              <w:t>K.</w:t>
            </w:r>
            <w:r>
              <w:rPr>
                <w:spacing w:val="7"/>
                <w:w w:val="105"/>
                <w:sz w:val="18"/>
              </w:rPr>
              <w:t> </w:t>
            </w:r>
            <w:r>
              <w:rPr>
                <w:spacing w:val="-2"/>
                <w:w w:val="105"/>
                <w:sz w:val="18"/>
              </w:rPr>
              <w:t>Kunkel</w:t>
            </w:r>
            <w:r>
              <w:rPr>
                <w:spacing w:val="-2"/>
                <w:w w:val="105"/>
                <w:sz w:val="18"/>
                <w:vertAlign w:val="superscript"/>
              </w:rPr>
              <w:t>(9)</w:t>
            </w:r>
          </w:p>
        </w:tc>
        <w:tc>
          <w:tcPr>
            <w:tcW w:w="1766" w:type="dxa"/>
          </w:tcPr>
          <w:p>
            <w:pPr>
              <w:pStyle w:val="TableParagraph"/>
              <w:spacing w:before="68"/>
              <w:ind w:right="362"/>
              <w:jc w:val="right"/>
              <w:rPr>
                <w:sz w:val="18"/>
              </w:rPr>
            </w:pPr>
            <w:r>
              <w:rPr>
                <w:spacing w:val="-2"/>
                <w:w w:val="105"/>
                <w:sz w:val="18"/>
              </w:rPr>
              <w:t>27,599</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Shubham</w:t>
            </w:r>
            <w:r>
              <w:rPr>
                <w:spacing w:val="11"/>
                <w:w w:val="105"/>
                <w:sz w:val="18"/>
              </w:rPr>
              <w:t> </w:t>
            </w:r>
            <w:r>
              <w:rPr>
                <w:spacing w:val="-2"/>
                <w:w w:val="105"/>
                <w:sz w:val="18"/>
              </w:rPr>
              <w:t>Maheshwari</w:t>
            </w:r>
            <w:r>
              <w:rPr>
                <w:spacing w:val="-2"/>
                <w:w w:val="105"/>
                <w:sz w:val="18"/>
                <w:vertAlign w:val="superscript"/>
              </w:rPr>
              <w:t>(10)</w:t>
            </w:r>
          </w:p>
        </w:tc>
        <w:tc>
          <w:tcPr>
            <w:tcW w:w="1766" w:type="dxa"/>
          </w:tcPr>
          <w:p>
            <w:pPr>
              <w:pStyle w:val="TableParagraph"/>
              <w:spacing w:before="68"/>
              <w:ind w:right="362"/>
              <w:jc w:val="right"/>
              <w:rPr>
                <w:sz w:val="18"/>
              </w:rPr>
            </w:pPr>
            <w:r>
              <w:rPr>
                <w:spacing w:val="-2"/>
                <w:w w:val="105"/>
                <w:sz w:val="18"/>
              </w:rPr>
              <w:t>140,031</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sz w:val="18"/>
              </w:rPr>
              <w:t>Ruediger</w:t>
            </w:r>
            <w:r>
              <w:rPr>
                <w:spacing w:val="72"/>
                <w:sz w:val="18"/>
              </w:rPr>
              <w:t> </w:t>
            </w:r>
            <w:r>
              <w:rPr>
                <w:sz w:val="18"/>
              </w:rPr>
              <w:t>Naumann-Etienne,</w:t>
            </w:r>
            <w:r>
              <w:rPr>
                <w:spacing w:val="72"/>
                <w:sz w:val="18"/>
              </w:rPr>
              <w:t> </w:t>
            </w:r>
            <w:r>
              <w:rPr>
                <w:spacing w:val="-2"/>
                <w:sz w:val="18"/>
              </w:rPr>
              <w:t>PhD</w:t>
            </w:r>
            <w:r>
              <w:rPr>
                <w:spacing w:val="-2"/>
                <w:sz w:val="18"/>
                <w:vertAlign w:val="superscript"/>
              </w:rPr>
              <w:t>(11)</w:t>
            </w:r>
          </w:p>
        </w:tc>
        <w:tc>
          <w:tcPr>
            <w:tcW w:w="1766" w:type="dxa"/>
          </w:tcPr>
          <w:p>
            <w:pPr>
              <w:pStyle w:val="TableParagraph"/>
              <w:spacing w:before="68"/>
              <w:ind w:right="362"/>
              <w:jc w:val="right"/>
              <w:rPr>
                <w:sz w:val="18"/>
              </w:rPr>
            </w:pPr>
            <w:r>
              <w:rPr>
                <w:spacing w:val="-2"/>
                <w:w w:val="105"/>
                <w:sz w:val="18"/>
              </w:rPr>
              <w:t>39,308</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Walter</w:t>
            </w:r>
            <w:r>
              <w:rPr>
                <w:spacing w:val="6"/>
                <w:w w:val="105"/>
                <w:sz w:val="18"/>
              </w:rPr>
              <w:t> </w:t>
            </w:r>
            <w:r>
              <w:rPr>
                <w:w w:val="105"/>
                <w:sz w:val="18"/>
              </w:rPr>
              <w:t>M</w:t>
            </w:r>
            <w:r>
              <w:rPr>
                <w:spacing w:val="6"/>
                <w:w w:val="105"/>
                <w:sz w:val="18"/>
              </w:rPr>
              <w:t> </w:t>
            </w:r>
            <w:r>
              <w:rPr>
                <w:w w:val="105"/>
                <w:sz w:val="18"/>
              </w:rPr>
              <w:t>Rosebrough,</w:t>
            </w:r>
            <w:r>
              <w:rPr>
                <w:spacing w:val="6"/>
                <w:w w:val="105"/>
                <w:sz w:val="18"/>
              </w:rPr>
              <w:t> </w:t>
            </w:r>
            <w:r>
              <w:rPr>
                <w:spacing w:val="-2"/>
                <w:w w:val="105"/>
                <w:sz w:val="18"/>
              </w:rPr>
              <w:t>Jr.</w:t>
            </w:r>
            <w:r>
              <w:rPr>
                <w:spacing w:val="-2"/>
                <w:w w:val="105"/>
                <w:sz w:val="18"/>
                <w:vertAlign w:val="superscript"/>
              </w:rPr>
              <w:t>(12)</w:t>
            </w:r>
          </w:p>
        </w:tc>
        <w:tc>
          <w:tcPr>
            <w:tcW w:w="1766" w:type="dxa"/>
          </w:tcPr>
          <w:p>
            <w:pPr>
              <w:pStyle w:val="TableParagraph"/>
              <w:spacing w:before="68"/>
              <w:ind w:right="362"/>
              <w:jc w:val="right"/>
              <w:rPr>
                <w:sz w:val="18"/>
              </w:rPr>
            </w:pPr>
            <w:r>
              <w:rPr>
                <w:spacing w:val="-2"/>
                <w:w w:val="105"/>
                <w:sz w:val="18"/>
              </w:rPr>
              <w:t>35,742</w:t>
            </w:r>
          </w:p>
        </w:tc>
        <w:tc>
          <w:tcPr>
            <w:tcW w:w="802" w:type="dxa"/>
          </w:tcPr>
          <w:p>
            <w:pPr>
              <w:pStyle w:val="TableParagraph"/>
              <w:spacing w:before="68"/>
              <w:ind w:left="295"/>
              <w:jc w:val="center"/>
              <w:rPr>
                <w:sz w:val="18"/>
              </w:rPr>
            </w:pPr>
            <w:r>
              <w:rPr>
                <w:w w:val="103"/>
                <w:sz w:val="18"/>
              </w:rPr>
              <w:t>*</w:t>
            </w:r>
          </w:p>
        </w:tc>
      </w:tr>
      <w:tr>
        <w:trPr>
          <w:trHeight w:val="307" w:hRule="atLeast"/>
        </w:trPr>
        <w:tc>
          <w:tcPr>
            <w:tcW w:w="6099" w:type="dxa"/>
          </w:tcPr>
          <w:p>
            <w:pPr>
              <w:pStyle w:val="TableParagraph"/>
              <w:spacing w:before="40"/>
              <w:ind w:left="50"/>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r>
              <w:rPr>
                <w:spacing w:val="-2"/>
                <w:w w:val="105"/>
                <w:sz w:val="18"/>
                <w:vertAlign w:val="superscript"/>
              </w:rPr>
              <w:t>(13)</w:t>
            </w:r>
          </w:p>
        </w:tc>
        <w:tc>
          <w:tcPr>
            <w:tcW w:w="1766" w:type="dxa"/>
          </w:tcPr>
          <w:p>
            <w:pPr>
              <w:pStyle w:val="TableParagraph"/>
              <w:spacing w:before="68"/>
              <w:ind w:right="362"/>
              <w:jc w:val="right"/>
              <w:rPr>
                <w:sz w:val="18"/>
              </w:rPr>
            </w:pPr>
            <w:r>
              <w:rPr>
                <w:spacing w:val="-2"/>
                <w:w w:val="105"/>
                <w:sz w:val="18"/>
              </w:rPr>
              <w:t>1,088,007</w:t>
            </w:r>
          </w:p>
        </w:tc>
        <w:tc>
          <w:tcPr>
            <w:tcW w:w="802" w:type="dxa"/>
          </w:tcPr>
          <w:p>
            <w:pPr>
              <w:pStyle w:val="TableParagraph"/>
              <w:spacing w:before="68"/>
              <w:ind w:left="347" w:right="37"/>
              <w:jc w:val="center"/>
              <w:rPr>
                <w:sz w:val="18"/>
              </w:rPr>
            </w:pPr>
            <w:r>
              <w:rPr>
                <w:spacing w:val="-4"/>
                <w:w w:val="105"/>
                <w:sz w:val="18"/>
              </w:rPr>
              <w:t>2.6%</w:t>
            </w:r>
          </w:p>
        </w:tc>
      </w:tr>
      <w:tr>
        <w:trPr>
          <w:trHeight w:val="306" w:hRule="atLeast"/>
        </w:trPr>
        <w:tc>
          <w:tcPr>
            <w:tcW w:w="6099" w:type="dxa"/>
          </w:tcPr>
          <w:p>
            <w:pPr>
              <w:pStyle w:val="TableParagraph"/>
              <w:spacing w:before="40"/>
              <w:ind w:left="50"/>
              <w:rPr>
                <w:sz w:val="18"/>
              </w:rPr>
            </w:pPr>
            <w:r>
              <w:rPr>
                <w:w w:val="105"/>
                <w:sz w:val="18"/>
              </w:rPr>
              <w:t>Christine A.</w:t>
            </w:r>
            <w:r>
              <w:rPr>
                <w:spacing w:val="8"/>
                <w:w w:val="105"/>
                <w:sz w:val="18"/>
              </w:rPr>
              <w:t> </w:t>
            </w:r>
            <w:r>
              <w:rPr>
                <w:spacing w:val="-2"/>
                <w:w w:val="105"/>
                <w:sz w:val="18"/>
              </w:rPr>
              <w:t>Tsingos</w:t>
            </w:r>
            <w:r>
              <w:rPr>
                <w:spacing w:val="-2"/>
                <w:w w:val="105"/>
                <w:sz w:val="18"/>
                <w:vertAlign w:val="superscript"/>
              </w:rPr>
              <w:t>(14)</w:t>
            </w:r>
          </w:p>
        </w:tc>
        <w:tc>
          <w:tcPr>
            <w:tcW w:w="1766" w:type="dxa"/>
          </w:tcPr>
          <w:p>
            <w:pPr>
              <w:pStyle w:val="TableParagraph"/>
              <w:spacing w:before="68"/>
              <w:ind w:right="362"/>
              <w:jc w:val="right"/>
              <w:rPr>
                <w:sz w:val="18"/>
              </w:rPr>
            </w:pPr>
            <w:r>
              <w:rPr>
                <w:spacing w:val="-2"/>
                <w:w w:val="105"/>
                <w:sz w:val="18"/>
              </w:rPr>
              <w:t>27,599</w:t>
            </w:r>
          </w:p>
        </w:tc>
        <w:tc>
          <w:tcPr>
            <w:tcW w:w="802" w:type="dxa"/>
          </w:tcPr>
          <w:p>
            <w:pPr>
              <w:pStyle w:val="TableParagraph"/>
              <w:spacing w:before="68"/>
              <w:ind w:left="295"/>
              <w:jc w:val="center"/>
              <w:rPr>
                <w:sz w:val="18"/>
              </w:rPr>
            </w:pPr>
            <w:r>
              <w:rPr>
                <w:w w:val="103"/>
                <w:sz w:val="18"/>
              </w:rPr>
              <w:t>*</w:t>
            </w:r>
          </w:p>
        </w:tc>
      </w:tr>
      <w:tr>
        <w:trPr>
          <w:trHeight w:val="459" w:hRule="atLeast"/>
        </w:trPr>
        <w:tc>
          <w:tcPr>
            <w:tcW w:w="6099" w:type="dxa"/>
          </w:tcPr>
          <w:p>
            <w:pPr>
              <w:pStyle w:val="TableParagraph"/>
              <w:spacing w:line="220" w:lineRule="atLeast"/>
              <w:ind w:left="236" w:right="606" w:hanging="187"/>
              <w:rPr>
                <w:sz w:val="18"/>
              </w:rPr>
            </w:pPr>
            <w:r>
              <w:rPr>
                <w:w w:val="105"/>
                <w:sz w:val="18"/>
              </w:rPr>
              <w:t>All directors, nominees for director and executive officers as a group (12 persons)</w:t>
            </w:r>
          </w:p>
        </w:tc>
        <w:tc>
          <w:tcPr>
            <w:tcW w:w="1766" w:type="dxa"/>
          </w:tcPr>
          <w:p>
            <w:pPr>
              <w:pStyle w:val="TableParagraph"/>
              <w:spacing w:before="9"/>
              <w:rPr>
                <w:sz w:val="21"/>
              </w:rPr>
            </w:pPr>
          </w:p>
          <w:p>
            <w:pPr>
              <w:pStyle w:val="TableParagraph"/>
              <w:spacing w:line="188" w:lineRule="exact" w:before="1"/>
              <w:ind w:right="362"/>
              <w:jc w:val="right"/>
              <w:rPr>
                <w:sz w:val="18"/>
              </w:rPr>
            </w:pPr>
            <w:r>
              <w:rPr>
                <w:spacing w:val="-2"/>
                <w:w w:val="105"/>
                <w:sz w:val="18"/>
              </w:rPr>
              <w:t>1,766,691</w:t>
            </w:r>
          </w:p>
        </w:tc>
        <w:tc>
          <w:tcPr>
            <w:tcW w:w="802" w:type="dxa"/>
          </w:tcPr>
          <w:p>
            <w:pPr>
              <w:pStyle w:val="TableParagraph"/>
              <w:spacing w:before="9"/>
              <w:rPr>
                <w:sz w:val="21"/>
              </w:rPr>
            </w:pPr>
          </w:p>
          <w:p>
            <w:pPr>
              <w:pStyle w:val="TableParagraph"/>
              <w:spacing w:line="188" w:lineRule="exact" w:before="1"/>
              <w:ind w:left="347" w:right="37"/>
              <w:jc w:val="center"/>
              <w:rPr>
                <w:sz w:val="18"/>
              </w:rPr>
            </w:pPr>
            <w:r>
              <w:rPr>
                <w:spacing w:val="-4"/>
                <w:w w:val="105"/>
                <w:sz w:val="18"/>
              </w:rPr>
              <w:t>4.2%</w:t>
            </w:r>
          </w:p>
        </w:tc>
      </w:tr>
    </w:tbl>
    <w:p>
      <w:pPr>
        <w:pStyle w:val="BodyText"/>
        <w:rPr>
          <w:sz w:val="23"/>
        </w:rPr>
      </w:pPr>
      <w:r>
        <w:rPr/>
        <w:pict>
          <v:rect style="position:absolute;margin-left:94.006287pt;margin-top:14.434729pt;width:100.654902pt;height:.698992pt;mso-position-horizontal-relative:page;mso-position-vertical-relative:paragraph;z-index:-15698944;mso-wrap-distance-left:0;mso-wrap-distance-right:0" id="docshape230" filled="true" fillcolor="#000000" stroked="false">
            <v:fill type="solid"/>
            <w10:wrap type="topAndBottom"/>
          </v:rect>
        </w:pict>
      </w:r>
    </w:p>
    <w:p>
      <w:pPr>
        <w:pStyle w:val="BodyText"/>
        <w:spacing w:before="10"/>
        <w:rPr>
          <w:sz w:val="10"/>
        </w:rPr>
      </w:pPr>
    </w:p>
    <w:p>
      <w:pPr>
        <w:spacing w:after="0"/>
        <w:rPr>
          <w:sz w:val="10"/>
        </w:rPr>
        <w:sectPr>
          <w:type w:val="continuous"/>
          <w:pgSz w:w="12240" w:h="15840"/>
          <w:pgMar w:header="529" w:footer="0" w:top="600" w:bottom="960" w:left="480" w:right="460"/>
        </w:sectPr>
      </w:pPr>
    </w:p>
    <w:p>
      <w:pPr>
        <w:pStyle w:val="BodyText"/>
        <w:spacing w:line="696" w:lineRule="auto" w:before="98"/>
        <w:ind w:left="1400"/>
      </w:pPr>
      <w:r>
        <w:rPr>
          <w:spacing w:val="-10"/>
          <w:w w:val="105"/>
        </w:rPr>
        <w:t>*</w:t>
      </w:r>
      <w:r>
        <w:rPr>
          <w:spacing w:val="-5"/>
          <w:w w:val="105"/>
        </w:rPr>
        <w:t> </w:t>
      </w:r>
      <w:r>
        <w:rPr>
          <w:spacing w:val="-5"/>
        </w:rPr>
        <w:t>(1)</w:t>
      </w:r>
    </w:p>
    <w:p>
      <w:pPr>
        <w:pStyle w:val="BodyText"/>
        <w:spacing w:line="195" w:lineRule="exact"/>
        <w:ind w:left="1400"/>
      </w:pPr>
      <w:r>
        <w:rPr>
          <w:spacing w:val="-5"/>
        </w:rPr>
        <w:t>(2)</w:t>
      </w:r>
    </w:p>
    <w:p>
      <w:pPr>
        <w:pStyle w:val="BodyText"/>
        <w:spacing w:line="259" w:lineRule="auto" w:before="98"/>
        <w:ind w:left="107" w:right="1695"/>
      </w:pPr>
      <w:r>
        <w:rPr/>
        <w:br w:type="column"/>
      </w:r>
      <w:r>
        <w:rPr>
          <w:w w:val="105"/>
        </w:rPr>
        <w:t>The percentage of shares of common stock beneficially owned does not exceed one percent of the shares of common stock outstanding at December 2, 2022.</w:t>
      </w:r>
    </w:p>
    <w:p>
      <w:pPr>
        <w:pStyle w:val="BodyText"/>
        <w:spacing w:line="259" w:lineRule="auto" w:before="154"/>
        <w:ind w:left="107" w:right="1695"/>
      </w:pPr>
      <w:r>
        <w:rPr>
          <w:w w:val="105"/>
        </w:rPr>
        <w:t>Based on a Schedule 13G/A filed on February 7, 2022, Blackrock, Inc. has sole power to vote 6,516,279 of these shares and sole power to dispose of 6,676,255 of these shares.</w:t>
      </w:r>
    </w:p>
    <w:p>
      <w:pPr>
        <w:pStyle w:val="BodyText"/>
        <w:spacing w:before="140"/>
        <w:ind w:left="107"/>
      </w:pPr>
      <w:r>
        <w:rPr>
          <w:w w:val="105"/>
        </w:rPr>
        <w:t>Based</w:t>
      </w:r>
      <w:r>
        <w:rPr>
          <w:spacing w:val="8"/>
          <w:w w:val="105"/>
        </w:rPr>
        <w:t> </w:t>
      </w:r>
      <w:r>
        <w:rPr>
          <w:w w:val="105"/>
        </w:rPr>
        <w:t>on</w:t>
      </w:r>
      <w:r>
        <w:rPr>
          <w:spacing w:val="9"/>
          <w:w w:val="105"/>
        </w:rPr>
        <w:t> </w:t>
      </w:r>
      <w:r>
        <w:rPr>
          <w:w w:val="105"/>
        </w:rPr>
        <w:t>a</w:t>
      </w:r>
      <w:r>
        <w:rPr>
          <w:spacing w:val="9"/>
          <w:w w:val="105"/>
        </w:rPr>
        <w:t> </w:t>
      </w:r>
      <w:r>
        <w:rPr>
          <w:w w:val="105"/>
        </w:rPr>
        <w:t>Schedule</w:t>
      </w:r>
      <w:r>
        <w:rPr>
          <w:spacing w:val="8"/>
          <w:w w:val="105"/>
        </w:rPr>
        <w:t> </w:t>
      </w:r>
      <w:r>
        <w:rPr>
          <w:w w:val="105"/>
        </w:rPr>
        <w:t>13G/A</w:t>
      </w:r>
      <w:r>
        <w:rPr>
          <w:spacing w:val="-2"/>
          <w:w w:val="105"/>
        </w:rPr>
        <w:t> </w:t>
      </w:r>
      <w:r>
        <w:rPr>
          <w:w w:val="105"/>
        </w:rPr>
        <w:t>filed</w:t>
      </w:r>
      <w:r>
        <w:rPr>
          <w:spacing w:val="8"/>
          <w:w w:val="105"/>
        </w:rPr>
        <w:t> </w:t>
      </w:r>
      <w:r>
        <w:rPr>
          <w:w w:val="105"/>
        </w:rPr>
        <w:t>on</w:t>
      </w:r>
      <w:r>
        <w:rPr>
          <w:spacing w:val="9"/>
          <w:w w:val="105"/>
        </w:rPr>
        <w:t> </w:t>
      </w:r>
      <w:r>
        <w:rPr>
          <w:w w:val="105"/>
        </w:rPr>
        <w:t>February</w:t>
      </w:r>
      <w:r>
        <w:rPr>
          <w:spacing w:val="9"/>
          <w:w w:val="105"/>
        </w:rPr>
        <w:t> </w:t>
      </w:r>
      <w:r>
        <w:rPr>
          <w:w w:val="105"/>
        </w:rPr>
        <w:t>10,</w:t>
      </w:r>
      <w:r>
        <w:rPr>
          <w:spacing w:val="8"/>
          <w:w w:val="105"/>
        </w:rPr>
        <w:t> </w:t>
      </w:r>
      <w:r>
        <w:rPr>
          <w:w w:val="105"/>
        </w:rPr>
        <w:t>2022,</w:t>
      </w:r>
      <w:r>
        <w:rPr>
          <w:spacing w:val="5"/>
          <w:w w:val="105"/>
        </w:rPr>
        <w:t> </w:t>
      </w:r>
      <w:r>
        <w:rPr>
          <w:w w:val="105"/>
        </w:rPr>
        <w:t>The</w:t>
      </w:r>
      <w:r>
        <w:rPr>
          <w:spacing w:val="4"/>
          <w:w w:val="105"/>
        </w:rPr>
        <w:t> </w:t>
      </w:r>
      <w:r>
        <w:rPr>
          <w:w w:val="105"/>
        </w:rPr>
        <w:t>Vanguard</w:t>
      </w:r>
      <w:r>
        <w:rPr>
          <w:spacing w:val="9"/>
          <w:w w:val="105"/>
        </w:rPr>
        <w:t> </w:t>
      </w:r>
      <w:r>
        <w:rPr>
          <w:w w:val="105"/>
        </w:rPr>
        <w:t>Group,</w:t>
      </w:r>
      <w:r>
        <w:rPr>
          <w:spacing w:val="9"/>
          <w:w w:val="105"/>
        </w:rPr>
        <w:t> </w:t>
      </w:r>
      <w:r>
        <w:rPr>
          <w:w w:val="105"/>
        </w:rPr>
        <w:t>Inc.</w:t>
      </w:r>
      <w:r>
        <w:rPr>
          <w:spacing w:val="8"/>
          <w:w w:val="105"/>
        </w:rPr>
        <w:t> </w:t>
      </w:r>
      <w:r>
        <w:rPr>
          <w:w w:val="105"/>
        </w:rPr>
        <w:t>has</w:t>
      </w:r>
      <w:r>
        <w:rPr>
          <w:spacing w:val="9"/>
          <w:w w:val="105"/>
        </w:rPr>
        <w:t> </w:t>
      </w:r>
      <w:r>
        <w:rPr>
          <w:w w:val="105"/>
        </w:rPr>
        <w:t>sole</w:t>
      </w:r>
      <w:r>
        <w:rPr>
          <w:spacing w:val="9"/>
          <w:w w:val="105"/>
        </w:rPr>
        <w:t> </w:t>
      </w:r>
      <w:r>
        <w:rPr>
          <w:w w:val="105"/>
        </w:rPr>
        <w:t>power</w:t>
      </w:r>
      <w:r>
        <w:rPr>
          <w:spacing w:val="8"/>
          <w:w w:val="105"/>
        </w:rPr>
        <w:t> </w:t>
      </w:r>
      <w:r>
        <w:rPr>
          <w:spacing w:val="-5"/>
          <w:w w:val="105"/>
        </w:rPr>
        <w:t>to</w:t>
      </w:r>
    </w:p>
    <w:p>
      <w:pPr>
        <w:pStyle w:val="BodyText"/>
        <w:rPr>
          <w:sz w:val="20"/>
        </w:rPr>
      </w:pPr>
    </w:p>
    <w:p>
      <w:pPr>
        <w:pStyle w:val="BodyText"/>
        <w:spacing w:before="11"/>
        <w:rPr>
          <w:sz w:val="17"/>
        </w:rPr>
      </w:pPr>
    </w:p>
    <w:p>
      <w:pPr>
        <w:pStyle w:val="BodyText"/>
        <w:ind w:left="3875" w:right="5541"/>
        <w:jc w:val="center"/>
      </w:pPr>
      <w:r>
        <w:rPr>
          <w:spacing w:val="-5"/>
          <w:w w:val="105"/>
        </w:rPr>
        <w:t>33</w:t>
      </w:r>
    </w:p>
    <w:p>
      <w:pPr>
        <w:spacing w:after="0"/>
        <w:jc w:val="center"/>
        <w:sectPr>
          <w:type w:val="continuous"/>
          <w:pgSz w:w="12240" w:h="15840"/>
          <w:pgMar w:header="529" w:footer="0" w:top="600" w:bottom="960" w:left="480" w:right="460"/>
          <w:cols w:num="2" w:equalWidth="0">
            <w:col w:w="1625" w:space="40"/>
            <w:col w:w="9635"/>
          </w:cols>
        </w:sectPr>
      </w:pPr>
    </w:p>
    <w:p>
      <w:pPr>
        <w:pStyle w:val="BodyText"/>
        <w:spacing w:line="27" w:lineRule="exact"/>
        <w:ind w:left="100"/>
        <w:rPr>
          <w:sz w:val="2"/>
        </w:rPr>
      </w:pPr>
      <w:r>
        <w:rPr>
          <w:position w:val="0"/>
          <w:sz w:val="2"/>
        </w:rPr>
        <w:pict>
          <v:group style="width:555pt;height:1.4pt;mso-position-horizontal-relative:char;mso-position-vertical-relative:line" id="docshapegroup231" coordorigin="0,0" coordsize="11100,28">
            <v:rect style="position:absolute;left:0;top:0;width:11100;height:14" id="docshape232" filled="true" fillcolor="#999999" stroked="false">
              <v:fill type="solid"/>
            </v:rect>
            <v:shape style="position:absolute;left:-1;top:0;width:11100;height:28" id="docshape233" coordorigin="0,0" coordsize="11100,28" path="m11100,0l11086,14,0,14,0,28,11086,28,11100,28,11100,14,11100,0xe" filled="true" fillcolor="#ededed" stroked="false">
              <v:path arrowok="t"/>
              <v:fill type="solid"/>
            </v:shape>
            <v:shape style="position:absolute;left:0;top:0;width:14;height:28" id="docshape234"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105"/>
          <w:footerReference w:type="default" r:id="rId106"/>
          <w:pgSz w:w="12240" w:h="15840"/>
          <w:pgMar w:header="0" w:footer="0" w:top="580" w:bottom="280" w:left="480" w:right="460"/>
        </w:sectPr>
      </w:pPr>
    </w:p>
    <w:p>
      <w:pPr>
        <w:pStyle w:val="BodyText"/>
        <w:rPr>
          <w:sz w:val="20"/>
        </w:rPr>
      </w:pPr>
      <w:r>
        <w:rPr/>
        <w:pict>
          <v:group style="position:absolute;margin-left:28.999998pt;margin-top:739.871033pt;width:555pt;height:1.4pt;mso-position-horizontal-relative:page;mso-position-vertical-relative:page;z-index:15760384" id="docshapegroup237" coordorigin="580,14797" coordsize="11100,28">
            <v:rect style="position:absolute;left:580;top:14797;width:11100;height:14" id="docshape238" filled="true" fillcolor="#999999" stroked="false">
              <v:fill type="solid"/>
            </v:rect>
            <v:shape style="position:absolute;left:579;top:14797;width:11100;height:28" id="docshape239" coordorigin="580,14797" coordsize="11100,28" path="m11680,14797l11666,14811,580,14811,580,14825,11666,14825,11680,14825,11680,14811,11680,14797xe" filled="true" fillcolor="#ededed" stroked="false">
              <v:path arrowok="t"/>
              <v:fill type="solid"/>
            </v:shape>
            <v:shape style="position:absolute;left:580;top:14797;width:14;height:28" id="docshape240" coordorigin="580,14797" coordsize="14,28" path="m580,14825l580,14797,594,14797,594,14811,580,14825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772" w:right="1423"/>
      </w:pPr>
      <w:r>
        <w:rPr>
          <w:w w:val="105"/>
        </w:rPr>
        <w:t>vote</w:t>
      </w:r>
      <w:r>
        <w:rPr>
          <w:spacing w:val="13"/>
          <w:w w:val="105"/>
        </w:rPr>
        <w:t> </w:t>
      </w:r>
      <w:r>
        <w:rPr>
          <w:w w:val="105"/>
        </w:rPr>
        <w:t>0</w:t>
      </w:r>
      <w:r>
        <w:rPr>
          <w:spacing w:val="13"/>
          <w:w w:val="105"/>
        </w:rPr>
        <w:t> </w:t>
      </w:r>
      <w:r>
        <w:rPr>
          <w:w w:val="105"/>
        </w:rPr>
        <w:t>of</w:t>
      </w:r>
      <w:r>
        <w:rPr>
          <w:spacing w:val="13"/>
          <w:w w:val="105"/>
        </w:rPr>
        <w:t> </w:t>
      </w:r>
      <w:r>
        <w:rPr>
          <w:w w:val="105"/>
        </w:rPr>
        <w:t>these</w:t>
      </w:r>
      <w:r>
        <w:rPr>
          <w:spacing w:val="13"/>
          <w:w w:val="105"/>
        </w:rPr>
        <w:t> </w:t>
      </w:r>
      <w:r>
        <w:rPr>
          <w:w w:val="105"/>
        </w:rPr>
        <w:t>shares,</w:t>
      </w:r>
      <w:r>
        <w:rPr>
          <w:spacing w:val="13"/>
          <w:w w:val="105"/>
        </w:rPr>
        <w:t> </w:t>
      </w:r>
      <w:r>
        <w:rPr>
          <w:w w:val="105"/>
        </w:rPr>
        <w:t>shared</w:t>
      </w:r>
      <w:r>
        <w:rPr>
          <w:spacing w:val="13"/>
          <w:w w:val="105"/>
        </w:rPr>
        <w:t> </w:t>
      </w:r>
      <w:r>
        <w:rPr>
          <w:w w:val="105"/>
        </w:rPr>
        <w:t>power</w:t>
      </w:r>
      <w:r>
        <w:rPr>
          <w:spacing w:val="13"/>
          <w:w w:val="105"/>
        </w:rPr>
        <w:t> </w:t>
      </w:r>
      <w:r>
        <w:rPr>
          <w:w w:val="105"/>
        </w:rPr>
        <w:t>to</w:t>
      </w:r>
      <w:r>
        <w:rPr>
          <w:spacing w:val="13"/>
          <w:w w:val="105"/>
        </w:rPr>
        <w:t> </w:t>
      </w:r>
      <w:r>
        <w:rPr>
          <w:w w:val="105"/>
        </w:rPr>
        <w:t>vote</w:t>
      </w:r>
      <w:r>
        <w:rPr>
          <w:spacing w:val="13"/>
          <w:w w:val="105"/>
        </w:rPr>
        <w:t> </w:t>
      </w:r>
      <w:r>
        <w:rPr>
          <w:w w:val="105"/>
        </w:rPr>
        <w:t>38,000</w:t>
      </w:r>
      <w:r>
        <w:rPr>
          <w:spacing w:val="13"/>
          <w:w w:val="105"/>
        </w:rPr>
        <w:t> </w:t>
      </w:r>
      <w:r>
        <w:rPr>
          <w:w w:val="105"/>
        </w:rPr>
        <w:t>of</w:t>
      </w:r>
      <w:r>
        <w:rPr>
          <w:spacing w:val="13"/>
          <w:w w:val="105"/>
        </w:rPr>
        <w:t> </w:t>
      </w:r>
      <w:r>
        <w:rPr>
          <w:w w:val="105"/>
        </w:rPr>
        <w:t>these</w:t>
      </w:r>
      <w:r>
        <w:rPr>
          <w:spacing w:val="13"/>
          <w:w w:val="105"/>
        </w:rPr>
        <w:t> </w:t>
      </w:r>
      <w:r>
        <w:rPr>
          <w:w w:val="105"/>
        </w:rPr>
        <w:t>shares,</w:t>
      </w:r>
      <w:r>
        <w:rPr>
          <w:spacing w:val="13"/>
          <w:w w:val="105"/>
        </w:rPr>
        <w:t> </w:t>
      </w:r>
      <w:r>
        <w:rPr>
          <w:w w:val="105"/>
        </w:rPr>
        <w:t>sole</w:t>
      </w:r>
      <w:r>
        <w:rPr>
          <w:spacing w:val="13"/>
          <w:w w:val="105"/>
        </w:rPr>
        <w:t> </w:t>
      </w:r>
      <w:r>
        <w:rPr>
          <w:w w:val="105"/>
        </w:rPr>
        <w:t>power</w:t>
      </w:r>
      <w:r>
        <w:rPr>
          <w:spacing w:val="13"/>
          <w:w w:val="105"/>
        </w:rPr>
        <w:t> </w:t>
      </w:r>
      <w:r>
        <w:rPr>
          <w:w w:val="105"/>
        </w:rPr>
        <w:t>to</w:t>
      </w:r>
      <w:r>
        <w:rPr>
          <w:spacing w:val="13"/>
          <w:w w:val="105"/>
        </w:rPr>
        <w:t> </w:t>
      </w:r>
      <w:r>
        <w:rPr>
          <w:w w:val="105"/>
        </w:rPr>
        <w:t>dispose</w:t>
      </w:r>
      <w:r>
        <w:rPr>
          <w:spacing w:val="13"/>
          <w:w w:val="105"/>
        </w:rPr>
        <w:t> </w:t>
      </w:r>
      <w:r>
        <w:rPr>
          <w:w w:val="105"/>
        </w:rPr>
        <w:t>of</w:t>
      </w:r>
      <w:r>
        <w:rPr>
          <w:spacing w:val="13"/>
          <w:w w:val="105"/>
        </w:rPr>
        <w:t> </w:t>
      </w:r>
      <w:r>
        <w:rPr>
          <w:w w:val="105"/>
        </w:rPr>
        <w:t>4,192,608 of these shares, and shared power to dispose of 71,737 of these shares.</w:t>
      </w:r>
    </w:p>
    <w:p>
      <w:pPr>
        <w:pStyle w:val="ListParagraph"/>
        <w:numPr>
          <w:ilvl w:val="0"/>
          <w:numId w:val="23"/>
        </w:numPr>
        <w:tabs>
          <w:tab w:pos="1773" w:val="left" w:leader="none"/>
        </w:tabs>
        <w:spacing w:line="259" w:lineRule="auto" w:before="154" w:after="0"/>
        <w:ind w:left="1772" w:right="1524" w:hanging="373"/>
        <w:jc w:val="left"/>
        <w:rPr>
          <w:sz w:val="18"/>
        </w:rPr>
      </w:pPr>
      <w:r>
        <w:rPr>
          <w:w w:val="105"/>
          <w:sz w:val="18"/>
        </w:rPr>
        <w:t>Based</w:t>
      </w:r>
      <w:r>
        <w:rPr>
          <w:spacing w:val="23"/>
          <w:w w:val="105"/>
          <w:sz w:val="18"/>
        </w:rPr>
        <w:t> </w:t>
      </w:r>
      <w:r>
        <w:rPr>
          <w:w w:val="105"/>
          <w:sz w:val="18"/>
        </w:rPr>
        <w:t>on</w:t>
      </w:r>
      <w:r>
        <w:rPr>
          <w:spacing w:val="23"/>
          <w:w w:val="105"/>
          <w:sz w:val="18"/>
        </w:rPr>
        <w:t> </w:t>
      </w:r>
      <w:r>
        <w:rPr>
          <w:w w:val="105"/>
          <w:sz w:val="18"/>
        </w:rPr>
        <w:t>a</w:t>
      </w:r>
      <w:r>
        <w:rPr>
          <w:spacing w:val="23"/>
          <w:w w:val="105"/>
          <w:sz w:val="18"/>
        </w:rPr>
        <w:t> </w:t>
      </w:r>
      <w:r>
        <w:rPr>
          <w:w w:val="105"/>
          <w:sz w:val="18"/>
        </w:rPr>
        <w:t>Schedule</w:t>
      </w:r>
      <w:r>
        <w:rPr>
          <w:spacing w:val="23"/>
          <w:w w:val="105"/>
          <w:sz w:val="18"/>
        </w:rPr>
        <w:t> </w:t>
      </w:r>
      <w:r>
        <w:rPr>
          <w:w w:val="105"/>
          <w:sz w:val="18"/>
        </w:rPr>
        <w:t>13G</w:t>
      </w:r>
      <w:r>
        <w:rPr>
          <w:spacing w:val="23"/>
          <w:w w:val="105"/>
          <w:sz w:val="18"/>
        </w:rPr>
        <w:t> </w:t>
      </w:r>
      <w:r>
        <w:rPr>
          <w:w w:val="105"/>
          <w:sz w:val="18"/>
        </w:rPr>
        <w:t>filed</w:t>
      </w:r>
      <w:r>
        <w:rPr>
          <w:spacing w:val="23"/>
          <w:w w:val="105"/>
          <w:sz w:val="18"/>
        </w:rPr>
        <w:t> </w:t>
      </w:r>
      <w:r>
        <w:rPr>
          <w:w w:val="105"/>
          <w:sz w:val="18"/>
        </w:rPr>
        <w:t>on</w:t>
      </w:r>
      <w:r>
        <w:rPr>
          <w:spacing w:val="23"/>
          <w:w w:val="105"/>
          <w:sz w:val="18"/>
        </w:rPr>
        <w:t> </w:t>
      </w:r>
      <w:r>
        <w:rPr>
          <w:w w:val="105"/>
          <w:sz w:val="18"/>
        </w:rPr>
        <w:t>February</w:t>
      </w:r>
      <w:r>
        <w:rPr>
          <w:spacing w:val="23"/>
          <w:w w:val="105"/>
          <w:sz w:val="18"/>
        </w:rPr>
        <w:t> </w:t>
      </w:r>
      <w:r>
        <w:rPr>
          <w:w w:val="105"/>
          <w:sz w:val="18"/>
        </w:rPr>
        <w:t>10,</w:t>
      </w:r>
      <w:r>
        <w:rPr>
          <w:spacing w:val="23"/>
          <w:w w:val="105"/>
          <w:sz w:val="18"/>
        </w:rPr>
        <w:t> </w:t>
      </w:r>
      <w:r>
        <w:rPr>
          <w:w w:val="105"/>
          <w:sz w:val="18"/>
        </w:rPr>
        <w:t>2022,</w:t>
      </w:r>
      <w:r>
        <w:rPr>
          <w:spacing w:val="23"/>
          <w:w w:val="105"/>
          <w:sz w:val="18"/>
        </w:rPr>
        <w:t> </w:t>
      </w:r>
      <w:r>
        <w:rPr>
          <w:w w:val="105"/>
          <w:sz w:val="18"/>
        </w:rPr>
        <w:t>Shapiro</w:t>
      </w:r>
      <w:r>
        <w:rPr>
          <w:spacing w:val="23"/>
          <w:w w:val="105"/>
          <w:sz w:val="18"/>
        </w:rPr>
        <w:t> </w:t>
      </w:r>
      <w:r>
        <w:rPr>
          <w:w w:val="105"/>
          <w:sz w:val="18"/>
        </w:rPr>
        <w:t>Capital</w:t>
      </w:r>
      <w:r>
        <w:rPr>
          <w:spacing w:val="23"/>
          <w:w w:val="105"/>
          <w:sz w:val="18"/>
        </w:rPr>
        <w:t> </w:t>
      </w:r>
      <w:r>
        <w:rPr>
          <w:w w:val="105"/>
          <w:sz w:val="18"/>
        </w:rPr>
        <w:t>Management</w:t>
      </w:r>
      <w:r>
        <w:rPr>
          <w:spacing w:val="23"/>
          <w:w w:val="105"/>
          <w:sz w:val="18"/>
        </w:rPr>
        <w:t> </w:t>
      </w:r>
      <w:r>
        <w:rPr>
          <w:w w:val="105"/>
          <w:sz w:val="18"/>
        </w:rPr>
        <w:t>LLC</w:t>
      </w:r>
      <w:r>
        <w:rPr>
          <w:spacing w:val="23"/>
          <w:w w:val="105"/>
          <w:sz w:val="18"/>
        </w:rPr>
        <w:t> </w:t>
      </w:r>
      <w:r>
        <w:rPr>
          <w:w w:val="105"/>
          <w:sz w:val="18"/>
        </w:rPr>
        <w:t>has</w:t>
      </w:r>
      <w:r>
        <w:rPr>
          <w:spacing w:val="23"/>
          <w:w w:val="105"/>
          <w:sz w:val="18"/>
        </w:rPr>
        <w:t> </w:t>
      </w:r>
      <w:r>
        <w:rPr>
          <w:w w:val="105"/>
          <w:sz w:val="18"/>
        </w:rPr>
        <w:t>sole power</w:t>
      </w:r>
      <w:r>
        <w:rPr>
          <w:spacing w:val="13"/>
          <w:w w:val="105"/>
          <w:sz w:val="18"/>
        </w:rPr>
        <w:t> </w:t>
      </w:r>
      <w:r>
        <w:rPr>
          <w:w w:val="105"/>
          <w:sz w:val="18"/>
        </w:rPr>
        <w:t>to</w:t>
      </w:r>
      <w:r>
        <w:rPr>
          <w:spacing w:val="13"/>
          <w:w w:val="105"/>
          <w:sz w:val="18"/>
        </w:rPr>
        <w:t> </w:t>
      </w:r>
      <w:r>
        <w:rPr>
          <w:w w:val="105"/>
          <w:sz w:val="18"/>
        </w:rPr>
        <w:t>vote</w:t>
      </w:r>
      <w:r>
        <w:rPr>
          <w:spacing w:val="13"/>
          <w:w w:val="105"/>
          <w:sz w:val="18"/>
        </w:rPr>
        <w:t> </w:t>
      </w:r>
      <w:r>
        <w:rPr>
          <w:w w:val="105"/>
          <w:sz w:val="18"/>
        </w:rPr>
        <w:t>2,731,255</w:t>
      </w:r>
      <w:r>
        <w:rPr>
          <w:spacing w:val="13"/>
          <w:w w:val="105"/>
          <w:sz w:val="18"/>
        </w:rPr>
        <w:t> </w:t>
      </w:r>
      <w:r>
        <w:rPr>
          <w:w w:val="105"/>
          <w:sz w:val="18"/>
        </w:rPr>
        <w:t>of</w:t>
      </w:r>
      <w:r>
        <w:rPr>
          <w:spacing w:val="13"/>
          <w:w w:val="105"/>
          <w:sz w:val="18"/>
        </w:rPr>
        <w:t> </w:t>
      </w:r>
      <w:r>
        <w:rPr>
          <w:w w:val="105"/>
          <w:sz w:val="18"/>
        </w:rPr>
        <w:t>these</w:t>
      </w:r>
      <w:r>
        <w:rPr>
          <w:spacing w:val="13"/>
          <w:w w:val="105"/>
          <w:sz w:val="18"/>
        </w:rPr>
        <w:t> </w:t>
      </w:r>
      <w:r>
        <w:rPr>
          <w:w w:val="105"/>
          <w:sz w:val="18"/>
        </w:rPr>
        <w:t>shares,</w:t>
      </w:r>
      <w:r>
        <w:rPr>
          <w:spacing w:val="13"/>
          <w:w w:val="105"/>
          <w:sz w:val="18"/>
        </w:rPr>
        <w:t> </w:t>
      </w:r>
      <w:r>
        <w:rPr>
          <w:w w:val="105"/>
          <w:sz w:val="18"/>
        </w:rPr>
        <w:t>shared</w:t>
      </w:r>
      <w:r>
        <w:rPr>
          <w:spacing w:val="13"/>
          <w:w w:val="105"/>
          <w:sz w:val="18"/>
        </w:rPr>
        <w:t> </w:t>
      </w:r>
      <w:r>
        <w:rPr>
          <w:w w:val="105"/>
          <w:sz w:val="18"/>
        </w:rPr>
        <w:t>power</w:t>
      </w:r>
      <w:r>
        <w:rPr>
          <w:spacing w:val="13"/>
          <w:w w:val="105"/>
          <w:sz w:val="18"/>
        </w:rPr>
        <w:t> </w:t>
      </w:r>
      <w:r>
        <w:rPr>
          <w:w w:val="105"/>
          <w:sz w:val="18"/>
        </w:rPr>
        <w:t>to</w:t>
      </w:r>
      <w:r>
        <w:rPr>
          <w:spacing w:val="13"/>
          <w:w w:val="105"/>
          <w:sz w:val="18"/>
        </w:rPr>
        <w:t> </w:t>
      </w:r>
      <w:r>
        <w:rPr>
          <w:w w:val="105"/>
          <w:sz w:val="18"/>
        </w:rPr>
        <w:t>vote</w:t>
      </w:r>
      <w:r>
        <w:rPr>
          <w:spacing w:val="13"/>
          <w:w w:val="105"/>
          <w:sz w:val="18"/>
        </w:rPr>
        <w:t> </w:t>
      </w:r>
      <w:r>
        <w:rPr>
          <w:w w:val="105"/>
          <w:sz w:val="18"/>
        </w:rPr>
        <w:t>246,715</w:t>
      </w:r>
      <w:r>
        <w:rPr>
          <w:spacing w:val="13"/>
          <w:w w:val="105"/>
          <w:sz w:val="18"/>
        </w:rPr>
        <w:t> </w:t>
      </w:r>
      <w:r>
        <w:rPr>
          <w:w w:val="105"/>
          <w:sz w:val="18"/>
        </w:rPr>
        <w:t>of</w:t>
      </w:r>
      <w:r>
        <w:rPr>
          <w:spacing w:val="13"/>
          <w:w w:val="105"/>
          <w:sz w:val="18"/>
        </w:rPr>
        <w:t> </w:t>
      </w:r>
      <w:r>
        <w:rPr>
          <w:w w:val="105"/>
          <w:sz w:val="18"/>
        </w:rPr>
        <w:t>these</w:t>
      </w:r>
      <w:r>
        <w:rPr>
          <w:spacing w:val="13"/>
          <w:w w:val="105"/>
          <w:sz w:val="18"/>
        </w:rPr>
        <w:t> </w:t>
      </w:r>
      <w:r>
        <w:rPr>
          <w:w w:val="105"/>
          <w:sz w:val="18"/>
        </w:rPr>
        <w:t>shares,</w:t>
      </w:r>
      <w:r>
        <w:rPr>
          <w:spacing w:val="13"/>
          <w:w w:val="105"/>
          <w:sz w:val="18"/>
        </w:rPr>
        <w:t> </w:t>
      </w:r>
      <w:r>
        <w:rPr>
          <w:w w:val="105"/>
          <w:sz w:val="18"/>
        </w:rPr>
        <w:t>and</w:t>
      </w:r>
      <w:r>
        <w:rPr>
          <w:spacing w:val="13"/>
          <w:w w:val="105"/>
          <w:sz w:val="18"/>
        </w:rPr>
        <w:t> </w:t>
      </w:r>
      <w:r>
        <w:rPr>
          <w:w w:val="105"/>
          <w:sz w:val="18"/>
        </w:rPr>
        <w:t>sole</w:t>
      </w:r>
      <w:r>
        <w:rPr>
          <w:spacing w:val="13"/>
          <w:w w:val="105"/>
          <w:sz w:val="18"/>
        </w:rPr>
        <w:t> </w:t>
      </w:r>
      <w:r>
        <w:rPr>
          <w:w w:val="105"/>
          <w:sz w:val="18"/>
        </w:rPr>
        <w:t>power to dispose of 2,977,970 of these shares.</w:t>
      </w:r>
    </w:p>
    <w:p>
      <w:pPr>
        <w:pStyle w:val="ListParagraph"/>
        <w:numPr>
          <w:ilvl w:val="0"/>
          <w:numId w:val="23"/>
        </w:numPr>
        <w:tabs>
          <w:tab w:pos="1773" w:val="left" w:leader="none"/>
        </w:tabs>
        <w:spacing w:line="259" w:lineRule="auto" w:before="155" w:after="0"/>
        <w:ind w:left="1772" w:right="1623" w:hanging="373"/>
        <w:jc w:val="left"/>
        <w:rPr>
          <w:sz w:val="18"/>
        </w:rPr>
      </w:pPr>
      <w:r>
        <w:rPr>
          <w:w w:val="105"/>
          <w:sz w:val="18"/>
        </w:rPr>
        <w:t>Amount shown includes 13,041 deferred stock units (“</w:t>
      </w:r>
      <w:r>
        <w:rPr>
          <w:b/>
          <w:w w:val="105"/>
          <w:sz w:val="18"/>
        </w:rPr>
        <w:t>DSUs</w:t>
      </w:r>
      <w:r>
        <w:rPr>
          <w:w w:val="105"/>
          <w:sz w:val="18"/>
        </w:rPr>
        <w:t>”) that have vested but that are subject to deferred distribution.</w:t>
      </w:r>
    </w:p>
    <w:p>
      <w:pPr>
        <w:pStyle w:val="ListParagraph"/>
        <w:numPr>
          <w:ilvl w:val="0"/>
          <w:numId w:val="23"/>
        </w:numPr>
        <w:tabs>
          <w:tab w:pos="1773" w:val="left" w:leader="none"/>
        </w:tabs>
        <w:spacing w:line="259" w:lineRule="auto" w:before="140" w:after="0"/>
        <w:ind w:left="1772" w:right="1684" w:hanging="373"/>
        <w:jc w:val="left"/>
        <w:rPr>
          <w:sz w:val="18"/>
        </w:rPr>
      </w:pPr>
      <w:r>
        <w:rPr>
          <w:w w:val="105"/>
          <w:sz w:val="18"/>
        </w:rPr>
        <w:t>Amount shown includes 110,479 shares that may be acquired under stock options exercisable within</w:t>
      </w:r>
      <w:r>
        <w:rPr>
          <w:spacing w:val="80"/>
          <w:w w:val="105"/>
          <w:sz w:val="18"/>
        </w:rPr>
        <w:t> </w:t>
      </w:r>
      <w:r>
        <w:rPr>
          <w:w w:val="105"/>
          <w:sz w:val="18"/>
        </w:rPr>
        <w:t>60 days of December 2, 2022.</w:t>
      </w:r>
    </w:p>
    <w:p>
      <w:pPr>
        <w:pStyle w:val="ListParagraph"/>
        <w:numPr>
          <w:ilvl w:val="0"/>
          <w:numId w:val="23"/>
        </w:numPr>
        <w:tabs>
          <w:tab w:pos="1773" w:val="left" w:leader="none"/>
        </w:tabs>
        <w:spacing w:line="240" w:lineRule="auto" w:before="154" w:after="0"/>
        <w:ind w:left="1772" w:right="0" w:hanging="373"/>
        <w:jc w:val="left"/>
        <w:rPr>
          <w:sz w:val="18"/>
        </w:rPr>
      </w:pPr>
      <w:r>
        <w:rPr>
          <w:w w:val="105"/>
          <w:sz w:val="18"/>
        </w:rPr>
        <w:t>Amount</w:t>
      </w:r>
      <w:r>
        <w:rPr>
          <w:spacing w:val="10"/>
          <w:w w:val="105"/>
          <w:sz w:val="18"/>
        </w:rPr>
        <w:t> </w:t>
      </w:r>
      <w:r>
        <w:rPr>
          <w:w w:val="105"/>
          <w:sz w:val="18"/>
        </w:rPr>
        <w:t>shown</w:t>
      </w:r>
      <w:r>
        <w:rPr>
          <w:spacing w:val="10"/>
          <w:w w:val="105"/>
          <w:sz w:val="18"/>
        </w:rPr>
        <w:t> </w:t>
      </w:r>
      <w:r>
        <w:rPr>
          <w:w w:val="105"/>
          <w:sz w:val="18"/>
        </w:rPr>
        <w:t>includes</w:t>
      </w:r>
      <w:r>
        <w:rPr>
          <w:spacing w:val="10"/>
          <w:w w:val="105"/>
          <w:sz w:val="18"/>
        </w:rPr>
        <w:t> </w:t>
      </w:r>
      <w:r>
        <w:rPr>
          <w:w w:val="105"/>
          <w:sz w:val="18"/>
        </w:rPr>
        <w:t>11,721</w:t>
      </w:r>
      <w:r>
        <w:rPr>
          <w:spacing w:val="10"/>
          <w:w w:val="105"/>
          <w:sz w:val="18"/>
        </w:rPr>
        <w:t> </w:t>
      </w:r>
      <w:r>
        <w:rPr>
          <w:w w:val="105"/>
          <w:sz w:val="18"/>
        </w:rPr>
        <w:t>DSUs</w:t>
      </w:r>
      <w:r>
        <w:rPr>
          <w:spacing w:val="11"/>
          <w:w w:val="105"/>
          <w:sz w:val="18"/>
        </w:rPr>
        <w:t> </w:t>
      </w:r>
      <w:r>
        <w:rPr>
          <w:w w:val="105"/>
          <w:sz w:val="18"/>
        </w:rPr>
        <w:t>that</w:t>
      </w:r>
      <w:r>
        <w:rPr>
          <w:spacing w:val="10"/>
          <w:w w:val="105"/>
          <w:sz w:val="18"/>
        </w:rPr>
        <w:t> </w:t>
      </w:r>
      <w:r>
        <w:rPr>
          <w:w w:val="105"/>
          <w:sz w:val="18"/>
        </w:rPr>
        <w:t>have</w:t>
      </w:r>
      <w:r>
        <w:rPr>
          <w:spacing w:val="10"/>
          <w:w w:val="105"/>
          <w:sz w:val="18"/>
        </w:rPr>
        <w:t> </w:t>
      </w:r>
      <w:r>
        <w:rPr>
          <w:w w:val="105"/>
          <w:sz w:val="18"/>
        </w:rPr>
        <w:t>vested</w:t>
      </w:r>
      <w:r>
        <w:rPr>
          <w:spacing w:val="10"/>
          <w:w w:val="105"/>
          <w:sz w:val="18"/>
        </w:rPr>
        <w:t> </w:t>
      </w:r>
      <w:r>
        <w:rPr>
          <w:w w:val="105"/>
          <w:sz w:val="18"/>
        </w:rPr>
        <w:t>but</w:t>
      </w:r>
      <w:r>
        <w:rPr>
          <w:spacing w:val="10"/>
          <w:w w:val="105"/>
          <w:sz w:val="18"/>
        </w:rPr>
        <w:t> </w:t>
      </w:r>
      <w:r>
        <w:rPr>
          <w:w w:val="105"/>
          <w:sz w:val="18"/>
        </w:rPr>
        <w:t>that</w:t>
      </w:r>
      <w:r>
        <w:rPr>
          <w:spacing w:val="11"/>
          <w:w w:val="105"/>
          <w:sz w:val="18"/>
        </w:rPr>
        <w:t> </w:t>
      </w:r>
      <w:r>
        <w:rPr>
          <w:w w:val="105"/>
          <w:sz w:val="18"/>
        </w:rPr>
        <w:t>are</w:t>
      </w:r>
      <w:r>
        <w:rPr>
          <w:spacing w:val="10"/>
          <w:w w:val="105"/>
          <w:sz w:val="18"/>
        </w:rPr>
        <w:t> </w:t>
      </w:r>
      <w:r>
        <w:rPr>
          <w:w w:val="105"/>
          <w:sz w:val="18"/>
        </w:rPr>
        <w:t>subject</w:t>
      </w:r>
      <w:r>
        <w:rPr>
          <w:spacing w:val="10"/>
          <w:w w:val="105"/>
          <w:sz w:val="18"/>
        </w:rPr>
        <w:t> </w:t>
      </w:r>
      <w:r>
        <w:rPr>
          <w:w w:val="105"/>
          <w:sz w:val="18"/>
        </w:rPr>
        <w:t>to</w:t>
      </w:r>
      <w:r>
        <w:rPr>
          <w:spacing w:val="10"/>
          <w:w w:val="105"/>
          <w:sz w:val="18"/>
        </w:rPr>
        <w:t> </w:t>
      </w:r>
      <w:r>
        <w:rPr>
          <w:w w:val="105"/>
          <w:sz w:val="18"/>
        </w:rPr>
        <w:t>deferred</w:t>
      </w:r>
      <w:r>
        <w:rPr>
          <w:spacing w:val="11"/>
          <w:w w:val="105"/>
          <w:sz w:val="18"/>
        </w:rPr>
        <w:t> </w:t>
      </w:r>
      <w:r>
        <w:rPr>
          <w:spacing w:val="-2"/>
          <w:w w:val="105"/>
          <w:sz w:val="18"/>
        </w:rPr>
        <w:t>distribution.</w:t>
      </w:r>
    </w:p>
    <w:p>
      <w:pPr>
        <w:pStyle w:val="ListParagraph"/>
        <w:numPr>
          <w:ilvl w:val="0"/>
          <w:numId w:val="23"/>
        </w:numPr>
        <w:tabs>
          <w:tab w:pos="1773" w:val="left" w:leader="none"/>
        </w:tabs>
        <w:spacing w:line="259" w:lineRule="auto" w:before="170" w:after="0"/>
        <w:ind w:left="1772" w:right="1677" w:hanging="373"/>
        <w:jc w:val="left"/>
        <w:rPr>
          <w:sz w:val="18"/>
        </w:rPr>
      </w:pPr>
      <w:r>
        <w:rPr>
          <w:w w:val="105"/>
          <w:sz w:val="18"/>
        </w:rPr>
        <w:t>Amount shown includes 100,496 shares that may be acquired under stock options exercisable within</w:t>
      </w:r>
      <w:r>
        <w:rPr>
          <w:spacing w:val="80"/>
          <w:w w:val="105"/>
          <w:sz w:val="18"/>
        </w:rPr>
        <w:t> </w:t>
      </w:r>
      <w:r>
        <w:rPr>
          <w:w w:val="105"/>
          <w:sz w:val="18"/>
        </w:rPr>
        <w:t>60 days of December 2, 2022.</w:t>
      </w:r>
    </w:p>
    <w:p>
      <w:pPr>
        <w:pStyle w:val="ListParagraph"/>
        <w:numPr>
          <w:ilvl w:val="0"/>
          <w:numId w:val="23"/>
        </w:numPr>
        <w:tabs>
          <w:tab w:pos="1773" w:val="left" w:leader="none"/>
        </w:tabs>
        <w:spacing w:line="259" w:lineRule="auto" w:before="140" w:after="0"/>
        <w:ind w:left="1772" w:right="1416" w:hanging="373"/>
        <w:jc w:val="left"/>
        <w:rPr>
          <w:sz w:val="18"/>
        </w:rPr>
      </w:pPr>
      <w:r>
        <w:rPr>
          <w:w w:val="105"/>
          <w:sz w:val="18"/>
        </w:rPr>
        <w:t>Amount</w:t>
      </w:r>
      <w:r>
        <w:rPr>
          <w:spacing w:val="29"/>
          <w:w w:val="105"/>
          <w:sz w:val="18"/>
        </w:rPr>
        <w:t> </w:t>
      </w:r>
      <w:r>
        <w:rPr>
          <w:w w:val="105"/>
          <w:sz w:val="18"/>
        </w:rPr>
        <w:t>shown</w:t>
      </w:r>
      <w:r>
        <w:rPr>
          <w:spacing w:val="29"/>
          <w:w w:val="105"/>
          <w:sz w:val="18"/>
        </w:rPr>
        <w:t> </w:t>
      </w:r>
      <w:r>
        <w:rPr>
          <w:w w:val="105"/>
          <w:sz w:val="18"/>
        </w:rPr>
        <w:t>includes</w:t>
      </w:r>
      <w:r>
        <w:rPr>
          <w:spacing w:val="29"/>
          <w:w w:val="105"/>
          <w:sz w:val="18"/>
        </w:rPr>
        <w:t> </w:t>
      </w:r>
      <w:r>
        <w:rPr>
          <w:w w:val="105"/>
          <w:sz w:val="18"/>
        </w:rPr>
        <w:t>136,503</w:t>
      </w:r>
      <w:r>
        <w:rPr>
          <w:spacing w:val="29"/>
          <w:w w:val="105"/>
          <w:sz w:val="18"/>
        </w:rPr>
        <w:t> </w:t>
      </w:r>
      <w:r>
        <w:rPr>
          <w:w w:val="105"/>
          <w:sz w:val="18"/>
        </w:rPr>
        <w:t>shares</w:t>
      </w:r>
      <w:r>
        <w:rPr>
          <w:spacing w:val="29"/>
          <w:w w:val="105"/>
          <w:sz w:val="18"/>
        </w:rPr>
        <w:t> </w:t>
      </w:r>
      <w:r>
        <w:rPr>
          <w:w w:val="105"/>
          <w:sz w:val="18"/>
        </w:rPr>
        <w:t>that</w:t>
      </w:r>
      <w:r>
        <w:rPr>
          <w:spacing w:val="29"/>
          <w:w w:val="105"/>
          <w:sz w:val="18"/>
        </w:rPr>
        <w:t> </w:t>
      </w:r>
      <w:r>
        <w:rPr>
          <w:w w:val="105"/>
          <w:sz w:val="18"/>
        </w:rPr>
        <w:t>may</w:t>
      </w:r>
      <w:r>
        <w:rPr>
          <w:spacing w:val="29"/>
          <w:w w:val="105"/>
          <w:sz w:val="18"/>
        </w:rPr>
        <w:t> </w:t>
      </w:r>
      <w:r>
        <w:rPr>
          <w:w w:val="105"/>
          <w:sz w:val="18"/>
        </w:rPr>
        <w:t>be</w:t>
      </w:r>
      <w:r>
        <w:rPr>
          <w:spacing w:val="29"/>
          <w:w w:val="105"/>
          <w:sz w:val="18"/>
        </w:rPr>
        <w:t> </w:t>
      </w:r>
      <w:r>
        <w:rPr>
          <w:w w:val="105"/>
          <w:sz w:val="18"/>
        </w:rPr>
        <w:t>acquired</w:t>
      </w:r>
      <w:r>
        <w:rPr>
          <w:spacing w:val="29"/>
          <w:w w:val="105"/>
          <w:sz w:val="18"/>
        </w:rPr>
        <w:t> </w:t>
      </w:r>
      <w:r>
        <w:rPr>
          <w:w w:val="105"/>
          <w:sz w:val="18"/>
        </w:rPr>
        <w:t>exercisable</w:t>
      </w:r>
      <w:r>
        <w:rPr>
          <w:spacing w:val="29"/>
          <w:w w:val="105"/>
          <w:sz w:val="18"/>
        </w:rPr>
        <w:t> </w:t>
      </w:r>
      <w:r>
        <w:rPr>
          <w:w w:val="105"/>
          <w:sz w:val="18"/>
        </w:rPr>
        <w:t>stock</w:t>
      </w:r>
      <w:r>
        <w:rPr>
          <w:spacing w:val="29"/>
          <w:w w:val="105"/>
          <w:sz w:val="18"/>
        </w:rPr>
        <w:t> </w:t>
      </w:r>
      <w:r>
        <w:rPr>
          <w:w w:val="105"/>
          <w:sz w:val="18"/>
        </w:rPr>
        <w:t>options</w:t>
      </w:r>
      <w:r>
        <w:rPr>
          <w:spacing w:val="29"/>
          <w:w w:val="105"/>
          <w:sz w:val="18"/>
        </w:rPr>
        <w:t> </w:t>
      </w:r>
      <w:r>
        <w:rPr>
          <w:w w:val="105"/>
          <w:sz w:val="18"/>
        </w:rPr>
        <w:t>exercisable within 60 days of December 2, 2022. Also includes 195 shares held in a trust of which Ms. Honeysett is</w:t>
      </w:r>
      <w:r>
        <w:rPr>
          <w:spacing w:val="40"/>
          <w:w w:val="105"/>
          <w:sz w:val="18"/>
        </w:rPr>
        <w:t> </w:t>
      </w:r>
      <w:r>
        <w:rPr>
          <w:w w:val="105"/>
          <w:sz w:val="18"/>
        </w:rPr>
        <w:t>the trustee.</w:t>
      </w:r>
    </w:p>
    <w:p>
      <w:pPr>
        <w:pStyle w:val="ListParagraph"/>
        <w:numPr>
          <w:ilvl w:val="0"/>
          <w:numId w:val="23"/>
        </w:numPr>
        <w:tabs>
          <w:tab w:pos="1773" w:val="left" w:leader="none"/>
        </w:tabs>
        <w:spacing w:line="240" w:lineRule="auto" w:before="155" w:after="0"/>
        <w:ind w:left="1772" w:right="0" w:hanging="373"/>
        <w:jc w:val="left"/>
        <w:rPr>
          <w:sz w:val="18"/>
        </w:rPr>
      </w:pPr>
      <w:r>
        <w:rPr>
          <w:w w:val="105"/>
          <w:sz w:val="18"/>
        </w:rPr>
        <w:t>Amount</w:t>
      </w:r>
      <w:r>
        <w:rPr>
          <w:spacing w:val="10"/>
          <w:w w:val="105"/>
          <w:sz w:val="18"/>
        </w:rPr>
        <w:t> </w:t>
      </w:r>
      <w:r>
        <w:rPr>
          <w:w w:val="105"/>
          <w:sz w:val="18"/>
        </w:rPr>
        <w:t>shown</w:t>
      </w:r>
      <w:r>
        <w:rPr>
          <w:spacing w:val="11"/>
          <w:w w:val="105"/>
          <w:sz w:val="18"/>
        </w:rPr>
        <w:t> </w:t>
      </w:r>
      <w:r>
        <w:rPr>
          <w:w w:val="105"/>
          <w:sz w:val="18"/>
        </w:rPr>
        <w:t>includes</w:t>
      </w:r>
      <w:r>
        <w:rPr>
          <w:spacing w:val="11"/>
          <w:w w:val="105"/>
          <w:sz w:val="18"/>
        </w:rPr>
        <w:t> </w:t>
      </w:r>
      <w:r>
        <w:rPr>
          <w:w w:val="105"/>
          <w:sz w:val="18"/>
        </w:rPr>
        <w:t>13,041</w:t>
      </w:r>
      <w:r>
        <w:rPr>
          <w:spacing w:val="10"/>
          <w:w w:val="105"/>
          <w:sz w:val="18"/>
        </w:rPr>
        <w:t> </w:t>
      </w:r>
      <w:r>
        <w:rPr>
          <w:w w:val="105"/>
          <w:sz w:val="18"/>
        </w:rPr>
        <w:t>DSUs</w:t>
      </w:r>
      <w:r>
        <w:rPr>
          <w:spacing w:val="11"/>
          <w:w w:val="105"/>
          <w:sz w:val="18"/>
        </w:rPr>
        <w:t> </w:t>
      </w:r>
      <w:r>
        <w:rPr>
          <w:w w:val="105"/>
          <w:sz w:val="18"/>
        </w:rPr>
        <w:t>that</w:t>
      </w:r>
      <w:r>
        <w:rPr>
          <w:spacing w:val="11"/>
          <w:w w:val="105"/>
          <w:sz w:val="18"/>
        </w:rPr>
        <w:t> </w:t>
      </w:r>
      <w:r>
        <w:rPr>
          <w:w w:val="105"/>
          <w:sz w:val="18"/>
        </w:rPr>
        <w:t>have</w:t>
      </w:r>
      <w:r>
        <w:rPr>
          <w:spacing w:val="11"/>
          <w:w w:val="105"/>
          <w:sz w:val="18"/>
        </w:rPr>
        <w:t> </w:t>
      </w:r>
      <w:r>
        <w:rPr>
          <w:w w:val="105"/>
          <w:sz w:val="18"/>
        </w:rPr>
        <w:t>vested</w:t>
      </w:r>
      <w:r>
        <w:rPr>
          <w:spacing w:val="10"/>
          <w:w w:val="105"/>
          <w:sz w:val="18"/>
        </w:rPr>
        <w:t> </w:t>
      </w:r>
      <w:r>
        <w:rPr>
          <w:w w:val="105"/>
          <w:sz w:val="18"/>
        </w:rPr>
        <w:t>but</w:t>
      </w:r>
      <w:r>
        <w:rPr>
          <w:spacing w:val="11"/>
          <w:w w:val="105"/>
          <w:sz w:val="18"/>
        </w:rPr>
        <w:t> </w:t>
      </w:r>
      <w:r>
        <w:rPr>
          <w:w w:val="105"/>
          <w:sz w:val="18"/>
        </w:rPr>
        <w:t>that</w:t>
      </w:r>
      <w:r>
        <w:rPr>
          <w:spacing w:val="11"/>
          <w:w w:val="105"/>
          <w:sz w:val="18"/>
        </w:rPr>
        <w:t> </w:t>
      </w:r>
      <w:r>
        <w:rPr>
          <w:w w:val="105"/>
          <w:sz w:val="18"/>
        </w:rPr>
        <w:t>are</w:t>
      </w:r>
      <w:r>
        <w:rPr>
          <w:spacing w:val="10"/>
          <w:w w:val="105"/>
          <w:sz w:val="18"/>
        </w:rPr>
        <w:t> </w:t>
      </w:r>
      <w:r>
        <w:rPr>
          <w:w w:val="105"/>
          <w:sz w:val="18"/>
        </w:rPr>
        <w:t>subject</w:t>
      </w:r>
      <w:r>
        <w:rPr>
          <w:spacing w:val="11"/>
          <w:w w:val="105"/>
          <w:sz w:val="18"/>
        </w:rPr>
        <w:t> </w:t>
      </w:r>
      <w:r>
        <w:rPr>
          <w:w w:val="105"/>
          <w:sz w:val="18"/>
        </w:rPr>
        <w:t>to</w:t>
      </w:r>
      <w:r>
        <w:rPr>
          <w:spacing w:val="11"/>
          <w:w w:val="105"/>
          <w:sz w:val="18"/>
        </w:rPr>
        <w:t> </w:t>
      </w:r>
      <w:r>
        <w:rPr>
          <w:w w:val="105"/>
          <w:sz w:val="18"/>
        </w:rPr>
        <w:t>deferred</w:t>
      </w:r>
      <w:r>
        <w:rPr>
          <w:spacing w:val="11"/>
          <w:w w:val="105"/>
          <w:sz w:val="18"/>
        </w:rPr>
        <w:t> </w:t>
      </w:r>
      <w:r>
        <w:rPr>
          <w:spacing w:val="-2"/>
          <w:w w:val="105"/>
          <w:sz w:val="18"/>
        </w:rPr>
        <w:t>distribution.</w:t>
      </w:r>
    </w:p>
    <w:p>
      <w:pPr>
        <w:pStyle w:val="ListParagraph"/>
        <w:numPr>
          <w:ilvl w:val="0"/>
          <w:numId w:val="23"/>
        </w:numPr>
        <w:tabs>
          <w:tab w:pos="1773" w:val="left" w:leader="none"/>
        </w:tabs>
        <w:spacing w:line="259" w:lineRule="auto" w:before="170" w:after="0"/>
        <w:ind w:left="1772" w:right="1684" w:hanging="373"/>
        <w:jc w:val="left"/>
        <w:rPr>
          <w:sz w:val="18"/>
        </w:rPr>
      </w:pPr>
      <w:r>
        <w:rPr>
          <w:w w:val="105"/>
          <w:sz w:val="18"/>
        </w:rPr>
        <w:t>Amount shown includes 113,490 shares that may be acquired under stock options exercisable within</w:t>
      </w:r>
      <w:r>
        <w:rPr>
          <w:spacing w:val="80"/>
          <w:w w:val="105"/>
          <w:sz w:val="18"/>
        </w:rPr>
        <w:t> </w:t>
      </w:r>
      <w:r>
        <w:rPr>
          <w:w w:val="105"/>
          <w:sz w:val="18"/>
        </w:rPr>
        <w:t>60 days of December 2, 2022.</w:t>
      </w:r>
    </w:p>
    <w:p>
      <w:pPr>
        <w:pStyle w:val="ListParagraph"/>
        <w:numPr>
          <w:ilvl w:val="0"/>
          <w:numId w:val="23"/>
        </w:numPr>
        <w:tabs>
          <w:tab w:pos="1773" w:val="left" w:leader="none"/>
        </w:tabs>
        <w:spacing w:line="240" w:lineRule="auto" w:before="140" w:after="0"/>
        <w:ind w:left="1772" w:right="0" w:hanging="373"/>
        <w:jc w:val="left"/>
        <w:rPr>
          <w:sz w:val="18"/>
        </w:rPr>
      </w:pPr>
      <w:r>
        <w:rPr>
          <w:w w:val="105"/>
          <w:sz w:val="18"/>
        </w:rPr>
        <w:t>Amount</w:t>
      </w:r>
      <w:r>
        <w:rPr>
          <w:spacing w:val="10"/>
          <w:w w:val="105"/>
          <w:sz w:val="18"/>
        </w:rPr>
        <w:t> </w:t>
      </w:r>
      <w:r>
        <w:rPr>
          <w:w w:val="105"/>
          <w:sz w:val="18"/>
        </w:rPr>
        <w:t>shown</w:t>
      </w:r>
      <w:r>
        <w:rPr>
          <w:spacing w:val="11"/>
          <w:w w:val="105"/>
          <w:sz w:val="18"/>
        </w:rPr>
        <w:t> </w:t>
      </w:r>
      <w:r>
        <w:rPr>
          <w:w w:val="105"/>
          <w:sz w:val="18"/>
        </w:rPr>
        <w:t>includes</w:t>
      </w:r>
      <w:r>
        <w:rPr>
          <w:spacing w:val="11"/>
          <w:w w:val="105"/>
          <w:sz w:val="18"/>
        </w:rPr>
        <w:t> </w:t>
      </w:r>
      <w:r>
        <w:rPr>
          <w:w w:val="105"/>
          <w:sz w:val="18"/>
        </w:rPr>
        <w:t>17,933</w:t>
      </w:r>
      <w:r>
        <w:rPr>
          <w:spacing w:val="10"/>
          <w:w w:val="105"/>
          <w:sz w:val="18"/>
        </w:rPr>
        <w:t> </w:t>
      </w:r>
      <w:r>
        <w:rPr>
          <w:w w:val="105"/>
          <w:sz w:val="18"/>
        </w:rPr>
        <w:t>DSUs</w:t>
      </w:r>
      <w:r>
        <w:rPr>
          <w:spacing w:val="11"/>
          <w:w w:val="105"/>
          <w:sz w:val="18"/>
        </w:rPr>
        <w:t> </w:t>
      </w:r>
      <w:r>
        <w:rPr>
          <w:w w:val="105"/>
          <w:sz w:val="18"/>
        </w:rPr>
        <w:t>that</w:t>
      </w:r>
      <w:r>
        <w:rPr>
          <w:spacing w:val="11"/>
          <w:w w:val="105"/>
          <w:sz w:val="18"/>
        </w:rPr>
        <w:t> </w:t>
      </w:r>
      <w:r>
        <w:rPr>
          <w:w w:val="105"/>
          <w:sz w:val="18"/>
        </w:rPr>
        <w:t>have</w:t>
      </w:r>
      <w:r>
        <w:rPr>
          <w:spacing w:val="11"/>
          <w:w w:val="105"/>
          <w:sz w:val="18"/>
        </w:rPr>
        <w:t> </w:t>
      </w:r>
      <w:r>
        <w:rPr>
          <w:w w:val="105"/>
          <w:sz w:val="18"/>
        </w:rPr>
        <w:t>vested</w:t>
      </w:r>
      <w:r>
        <w:rPr>
          <w:spacing w:val="10"/>
          <w:w w:val="105"/>
          <w:sz w:val="18"/>
        </w:rPr>
        <w:t> </w:t>
      </w:r>
      <w:r>
        <w:rPr>
          <w:w w:val="105"/>
          <w:sz w:val="18"/>
        </w:rPr>
        <w:t>but</w:t>
      </w:r>
      <w:r>
        <w:rPr>
          <w:spacing w:val="11"/>
          <w:w w:val="105"/>
          <w:sz w:val="18"/>
        </w:rPr>
        <w:t> </w:t>
      </w:r>
      <w:r>
        <w:rPr>
          <w:w w:val="105"/>
          <w:sz w:val="18"/>
        </w:rPr>
        <w:t>that</w:t>
      </w:r>
      <w:r>
        <w:rPr>
          <w:spacing w:val="11"/>
          <w:w w:val="105"/>
          <w:sz w:val="18"/>
        </w:rPr>
        <w:t> </w:t>
      </w:r>
      <w:r>
        <w:rPr>
          <w:w w:val="105"/>
          <w:sz w:val="18"/>
        </w:rPr>
        <w:t>are</w:t>
      </w:r>
      <w:r>
        <w:rPr>
          <w:spacing w:val="10"/>
          <w:w w:val="105"/>
          <w:sz w:val="18"/>
        </w:rPr>
        <w:t> </w:t>
      </w:r>
      <w:r>
        <w:rPr>
          <w:w w:val="105"/>
          <w:sz w:val="18"/>
        </w:rPr>
        <w:t>subject</w:t>
      </w:r>
      <w:r>
        <w:rPr>
          <w:spacing w:val="11"/>
          <w:w w:val="105"/>
          <w:sz w:val="18"/>
        </w:rPr>
        <w:t> </w:t>
      </w:r>
      <w:r>
        <w:rPr>
          <w:w w:val="105"/>
          <w:sz w:val="18"/>
        </w:rPr>
        <w:t>to</w:t>
      </w:r>
      <w:r>
        <w:rPr>
          <w:spacing w:val="11"/>
          <w:w w:val="105"/>
          <w:sz w:val="18"/>
        </w:rPr>
        <w:t> </w:t>
      </w:r>
      <w:r>
        <w:rPr>
          <w:w w:val="105"/>
          <w:sz w:val="18"/>
        </w:rPr>
        <w:t>deferred</w:t>
      </w:r>
      <w:r>
        <w:rPr>
          <w:spacing w:val="11"/>
          <w:w w:val="105"/>
          <w:sz w:val="18"/>
        </w:rPr>
        <w:t> </w:t>
      </w:r>
      <w:r>
        <w:rPr>
          <w:spacing w:val="-2"/>
          <w:w w:val="105"/>
          <w:sz w:val="18"/>
        </w:rPr>
        <w:t>distribution.</w:t>
      </w:r>
    </w:p>
    <w:p>
      <w:pPr>
        <w:pStyle w:val="ListParagraph"/>
        <w:numPr>
          <w:ilvl w:val="0"/>
          <w:numId w:val="23"/>
        </w:numPr>
        <w:tabs>
          <w:tab w:pos="1773" w:val="left" w:leader="none"/>
        </w:tabs>
        <w:spacing w:line="259" w:lineRule="auto" w:before="171" w:after="0"/>
        <w:ind w:left="1772" w:right="1963" w:hanging="373"/>
        <w:jc w:val="left"/>
        <w:rPr>
          <w:sz w:val="18"/>
        </w:rPr>
      </w:pPr>
      <w:r>
        <w:rPr>
          <w:w w:val="105"/>
          <w:sz w:val="18"/>
        </w:rPr>
        <w:t>Amount shown includes 14,000 shares held in a trust of which Mr. Rosebrough is the trustee and 13,041 DSUs that have vested but that are subject to deferred distribution.</w:t>
      </w:r>
    </w:p>
    <w:p>
      <w:pPr>
        <w:pStyle w:val="ListParagraph"/>
        <w:numPr>
          <w:ilvl w:val="0"/>
          <w:numId w:val="23"/>
        </w:numPr>
        <w:tabs>
          <w:tab w:pos="1773" w:val="left" w:leader="none"/>
        </w:tabs>
        <w:spacing w:line="259" w:lineRule="auto" w:before="154" w:after="0"/>
        <w:ind w:left="1772" w:right="1677" w:hanging="373"/>
        <w:jc w:val="left"/>
        <w:rPr>
          <w:sz w:val="18"/>
        </w:rPr>
      </w:pPr>
      <w:r>
        <w:rPr>
          <w:w w:val="105"/>
          <w:sz w:val="18"/>
        </w:rPr>
        <w:t>Amount shown includes 988,130 shares that may be acquired under stock options exercisable within</w:t>
      </w:r>
      <w:r>
        <w:rPr>
          <w:spacing w:val="80"/>
          <w:w w:val="105"/>
          <w:sz w:val="18"/>
        </w:rPr>
        <w:t> </w:t>
      </w:r>
      <w:r>
        <w:rPr>
          <w:w w:val="105"/>
          <w:sz w:val="18"/>
        </w:rPr>
        <w:t>60 days of December 2, 2022.</w:t>
      </w:r>
    </w:p>
    <w:p>
      <w:pPr>
        <w:pStyle w:val="ListParagraph"/>
        <w:numPr>
          <w:ilvl w:val="0"/>
          <w:numId w:val="23"/>
        </w:numPr>
        <w:tabs>
          <w:tab w:pos="1773" w:val="left" w:leader="none"/>
        </w:tabs>
        <w:spacing w:line="240" w:lineRule="auto" w:before="140" w:after="0"/>
        <w:ind w:left="1772" w:right="0" w:hanging="373"/>
        <w:jc w:val="left"/>
        <w:rPr>
          <w:sz w:val="18"/>
        </w:rPr>
      </w:pPr>
      <w:r>
        <w:rPr>
          <w:w w:val="105"/>
          <w:sz w:val="18"/>
        </w:rPr>
        <w:t>Amount</w:t>
      </w:r>
      <w:r>
        <w:rPr>
          <w:spacing w:val="10"/>
          <w:w w:val="105"/>
          <w:sz w:val="18"/>
        </w:rPr>
        <w:t> </w:t>
      </w:r>
      <w:r>
        <w:rPr>
          <w:w w:val="105"/>
          <w:sz w:val="18"/>
        </w:rPr>
        <w:t>shown</w:t>
      </w:r>
      <w:r>
        <w:rPr>
          <w:spacing w:val="11"/>
          <w:w w:val="105"/>
          <w:sz w:val="18"/>
        </w:rPr>
        <w:t> </w:t>
      </w:r>
      <w:r>
        <w:rPr>
          <w:w w:val="105"/>
          <w:sz w:val="18"/>
        </w:rPr>
        <w:t>includes</w:t>
      </w:r>
      <w:r>
        <w:rPr>
          <w:spacing w:val="11"/>
          <w:w w:val="105"/>
          <w:sz w:val="18"/>
        </w:rPr>
        <w:t> </w:t>
      </w:r>
      <w:r>
        <w:rPr>
          <w:w w:val="105"/>
          <w:sz w:val="18"/>
        </w:rPr>
        <w:t>13,041</w:t>
      </w:r>
      <w:r>
        <w:rPr>
          <w:spacing w:val="10"/>
          <w:w w:val="105"/>
          <w:sz w:val="18"/>
        </w:rPr>
        <w:t> </w:t>
      </w:r>
      <w:r>
        <w:rPr>
          <w:w w:val="105"/>
          <w:sz w:val="18"/>
        </w:rPr>
        <w:t>DSUs</w:t>
      </w:r>
      <w:r>
        <w:rPr>
          <w:spacing w:val="11"/>
          <w:w w:val="105"/>
          <w:sz w:val="18"/>
        </w:rPr>
        <w:t> </w:t>
      </w:r>
      <w:r>
        <w:rPr>
          <w:w w:val="105"/>
          <w:sz w:val="18"/>
        </w:rPr>
        <w:t>that</w:t>
      </w:r>
      <w:r>
        <w:rPr>
          <w:spacing w:val="11"/>
          <w:w w:val="105"/>
          <w:sz w:val="18"/>
        </w:rPr>
        <w:t> </w:t>
      </w:r>
      <w:r>
        <w:rPr>
          <w:w w:val="105"/>
          <w:sz w:val="18"/>
        </w:rPr>
        <w:t>have</w:t>
      </w:r>
      <w:r>
        <w:rPr>
          <w:spacing w:val="11"/>
          <w:w w:val="105"/>
          <w:sz w:val="18"/>
        </w:rPr>
        <w:t> </w:t>
      </w:r>
      <w:r>
        <w:rPr>
          <w:w w:val="105"/>
          <w:sz w:val="18"/>
        </w:rPr>
        <w:t>vested</w:t>
      </w:r>
      <w:r>
        <w:rPr>
          <w:spacing w:val="10"/>
          <w:w w:val="105"/>
          <w:sz w:val="18"/>
        </w:rPr>
        <w:t> </w:t>
      </w:r>
      <w:r>
        <w:rPr>
          <w:w w:val="105"/>
          <w:sz w:val="18"/>
        </w:rPr>
        <w:t>but</w:t>
      </w:r>
      <w:r>
        <w:rPr>
          <w:spacing w:val="11"/>
          <w:w w:val="105"/>
          <w:sz w:val="18"/>
        </w:rPr>
        <w:t> </w:t>
      </w:r>
      <w:r>
        <w:rPr>
          <w:w w:val="105"/>
          <w:sz w:val="18"/>
        </w:rPr>
        <w:t>that</w:t>
      </w:r>
      <w:r>
        <w:rPr>
          <w:spacing w:val="11"/>
          <w:w w:val="105"/>
          <w:sz w:val="18"/>
        </w:rPr>
        <w:t> </w:t>
      </w:r>
      <w:r>
        <w:rPr>
          <w:w w:val="105"/>
          <w:sz w:val="18"/>
        </w:rPr>
        <w:t>are</w:t>
      </w:r>
      <w:r>
        <w:rPr>
          <w:spacing w:val="10"/>
          <w:w w:val="105"/>
          <w:sz w:val="18"/>
        </w:rPr>
        <w:t> </w:t>
      </w:r>
      <w:r>
        <w:rPr>
          <w:w w:val="105"/>
          <w:sz w:val="18"/>
        </w:rPr>
        <w:t>subject</w:t>
      </w:r>
      <w:r>
        <w:rPr>
          <w:spacing w:val="11"/>
          <w:w w:val="105"/>
          <w:sz w:val="18"/>
        </w:rPr>
        <w:t> </w:t>
      </w:r>
      <w:r>
        <w:rPr>
          <w:w w:val="105"/>
          <w:sz w:val="18"/>
        </w:rPr>
        <w:t>to</w:t>
      </w:r>
      <w:r>
        <w:rPr>
          <w:spacing w:val="11"/>
          <w:w w:val="105"/>
          <w:sz w:val="18"/>
        </w:rPr>
        <w:t> </w:t>
      </w:r>
      <w:r>
        <w:rPr>
          <w:w w:val="105"/>
          <w:sz w:val="18"/>
        </w:rPr>
        <w:t>deferred</w:t>
      </w:r>
      <w:r>
        <w:rPr>
          <w:spacing w:val="11"/>
          <w:w w:val="105"/>
          <w:sz w:val="18"/>
        </w:rPr>
        <w:t> </w:t>
      </w:r>
      <w:r>
        <w:rPr>
          <w:spacing w:val="-2"/>
          <w:w w:val="105"/>
          <w:sz w:val="18"/>
        </w:rPr>
        <w:t>distribution.</w:t>
      </w:r>
    </w:p>
    <w:p>
      <w:pPr>
        <w:pStyle w:val="ListParagraph"/>
        <w:numPr>
          <w:ilvl w:val="0"/>
          <w:numId w:val="23"/>
        </w:numPr>
        <w:tabs>
          <w:tab w:pos="1773" w:val="left" w:leader="none"/>
        </w:tabs>
        <w:spacing w:line="259" w:lineRule="auto" w:before="170" w:after="0"/>
        <w:ind w:left="1772" w:right="1535" w:hanging="373"/>
        <w:jc w:val="left"/>
        <w:rPr>
          <w:sz w:val="18"/>
        </w:rPr>
      </w:pPr>
      <w:r>
        <w:rPr>
          <w:w w:val="105"/>
          <w:sz w:val="18"/>
        </w:rPr>
        <w:t>Total</w:t>
      </w:r>
      <w:r>
        <w:rPr>
          <w:spacing w:val="23"/>
          <w:w w:val="105"/>
          <w:sz w:val="18"/>
        </w:rPr>
        <w:t> </w:t>
      </w:r>
      <w:r>
        <w:rPr>
          <w:w w:val="105"/>
          <w:sz w:val="18"/>
        </w:rPr>
        <w:t>beneficial</w:t>
      </w:r>
      <w:r>
        <w:rPr>
          <w:spacing w:val="23"/>
          <w:w w:val="105"/>
          <w:sz w:val="18"/>
        </w:rPr>
        <w:t> </w:t>
      </w:r>
      <w:r>
        <w:rPr>
          <w:w w:val="105"/>
          <w:sz w:val="18"/>
        </w:rPr>
        <w:t>ownership</w:t>
      </w:r>
      <w:r>
        <w:rPr>
          <w:spacing w:val="23"/>
          <w:w w:val="105"/>
          <w:sz w:val="18"/>
        </w:rPr>
        <w:t> </w:t>
      </w:r>
      <w:r>
        <w:rPr>
          <w:w w:val="105"/>
          <w:sz w:val="18"/>
        </w:rPr>
        <w:t>is</w:t>
      </w:r>
      <w:r>
        <w:rPr>
          <w:spacing w:val="23"/>
          <w:w w:val="105"/>
          <w:sz w:val="18"/>
        </w:rPr>
        <w:t> </w:t>
      </w:r>
      <w:r>
        <w:rPr>
          <w:w w:val="105"/>
          <w:sz w:val="18"/>
        </w:rPr>
        <w:t>determined</w:t>
      </w:r>
      <w:r>
        <w:rPr>
          <w:spacing w:val="23"/>
          <w:w w:val="105"/>
          <w:sz w:val="18"/>
        </w:rPr>
        <w:t> </w:t>
      </w:r>
      <w:r>
        <w:rPr>
          <w:w w:val="105"/>
          <w:sz w:val="18"/>
        </w:rPr>
        <w:t>in</w:t>
      </w:r>
      <w:r>
        <w:rPr>
          <w:spacing w:val="23"/>
          <w:w w:val="105"/>
          <w:sz w:val="18"/>
        </w:rPr>
        <w:t> </w:t>
      </w:r>
      <w:r>
        <w:rPr>
          <w:w w:val="105"/>
          <w:sz w:val="18"/>
        </w:rPr>
        <w:t>accordance</w:t>
      </w:r>
      <w:r>
        <w:rPr>
          <w:spacing w:val="23"/>
          <w:w w:val="105"/>
          <w:sz w:val="18"/>
        </w:rPr>
        <w:t> </w:t>
      </w:r>
      <w:r>
        <w:rPr>
          <w:w w:val="105"/>
          <w:sz w:val="18"/>
        </w:rPr>
        <w:t>with</w:t>
      </w:r>
      <w:r>
        <w:rPr>
          <w:spacing w:val="23"/>
          <w:w w:val="105"/>
          <w:sz w:val="18"/>
        </w:rPr>
        <w:t> </w:t>
      </w:r>
      <w:r>
        <w:rPr>
          <w:w w:val="105"/>
          <w:sz w:val="18"/>
        </w:rPr>
        <w:t>the</w:t>
      </w:r>
      <w:r>
        <w:rPr>
          <w:spacing w:val="23"/>
          <w:w w:val="105"/>
          <w:sz w:val="18"/>
        </w:rPr>
        <w:t> </w:t>
      </w:r>
      <w:r>
        <w:rPr>
          <w:w w:val="105"/>
          <w:sz w:val="18"/>
        </w:rPr>
        <w:t>rules</w:t>
      </w:r>
      <w:r>
        <w:rPr>
          <w:spacing w:val="23"/>
          <w:w w:val="105"/>
          <w:sz w:val="18"/>
        </w:rPr>
        <w:t> </w:t>
      </w:r>
      <w:r>
        <w:rPr>
          <w:w w:val="105"/>
          <w:sz w:val="18"/>
        </w:rPr>
        <w:t>of</w:t>
      </w:r>
      <w:r>
        <w:rPr>
          <w:spacing w:val="23"/>
          <w:w w:val="105"/>
          <w:sz w:val="18"/>
        </w:rPr>
        <w:t> </w:t>
      </w:r>
      <w:r>
        <w:rPr>
          <w:w w:val="105"/>
          <w:sz w:val="18"/>
        </w:rPr>
        <w:t>the</w:t>
      </w:r>
      <w:r>
        <w:rPr>
          <w:spacing w:val="23"/>
          <w:w w:val="105"/>
          <w:sz w:val="18"/>
        </w:rPr>
        <w:t> </w:t>
      </w:r>
      <w:r>
        <w:rPr>
          <w:w w:val="105"/>
          <w:sz w:val="18"/>
        </w:rPr>
        <w:t>SEC</w:t>
      </w:r>
      <w:r>
        <w:rPr>
          <w:spacing w:val="23"/>
          <w:w w:val="105"/>
          <w:sz w:val="18"/>
        </w:rPr>
        <w:t> </w:t>
      </w:r>
      <w:r>
        <w:rPr>
          <w:w w:val="105"/>
          <w:sz w:val="18"/>
        </w:rPr>
        <w:t>and</w:t>
      </w:r>
      <w:r>
        <w:rPr>
          <w:spacing w:val="23"/>
          <w:w w:val="105"/>
          <w:sz w:val="18"/>
        </w:rPr>
        <w:t> </w:t>
      </w:r>
      <w:r>
        <w:rPr>
          <w:w w:val="105"/>
          <w:sz w:val="18"/>
        </w:rPr>
        <w:t>represents</w:t>
      </w:r>
      <w:r>
        <w:rPr>
          <w:spacing w:val="23"/>
          <w:w w:val="105"/>
          <w:sz w:val="18"/>
        </w:rPr>
        <w:t> </w:t>
      </w:r>
      <w:r>
        <w:rPr>
          <w:w w:val="105"/>
          <w:sz w:val="18"/>
        </w:rPr>
        <w:t>the sum of the number of shares of common stock owned, and stock options exercisable within 60 days of December 2, 2022. This table does not include (i) unvested grants of restricted stock units and performance-based stock options for our executives or (ii) unvested DSUs for our non-employee directors, both of which are disclosed in the Compensation Discussion and Analysis Section of this</w:t>
      </w:r>
      <w:r>
        <w:rPr>
          <w:spacing w:val="80"/>
          <w:w w:val="105"/>
          <w:sz w:val="18"/>
        </w:rPr>
        <w:t> </w:t>
      </w:r>
      <w:r>
        <w:rPr>
          <w:w w:val="105"/>
          <w:sz w:val="18"/>
        </w:rPr>
        <w:t>Proxy Statement.</w:t>
      </w:r>
    </w:p>
    <w:p>
      <w:pPr>
        <w:pStyle w:val="BodyText"/>
        <w:spacing w:before="6"/>
        <w:rPr>
          <w:sz w:val="19"/>
        </w:rPr>
      </w:pPr>
    </w:p>
    <w:p>
      <w:pPr>
        <w:pStyle w:val="Heading2"/>
      </w:pPr>
      <w:bookmarkStart w:name="_TOC_250023" w:id="20"/>
      <w:r>
        <w:rPr>
          <w:spacing w:val="-2"/>
        </w:rPr>
        <w:t>Delinquent</w:t>
      </w:r>
      <w:r>
        <w:rPr>
          <w:spacing w:val="1"/>
        </w:rPr>
        <w:t> </w:t>
      </w:r>
      <w:r>
        <w:rPr>
          <w:spacing w:val="-2"/>
        </w:rPr>
        <w:t>Section</w:t>
      </w:r>
      <w:r>
        <w:rPr>
          <w:spacing w:val="1"/>
        </w:rPr>
        <w:t> </w:t>
      </w:r>
      <w:r>
        <w:rPr>
          <w:spacing w:val="-2"/>
        </w:rPr>
        <w:t>16(a)</w:t>
      </w:r>
      <w:r>
        <w:rPr>
          <w:spacing w:val="2"/>
        </w:rPr>
        <w:t> </w:t>
      </w:r>
      <w:bookmarkEnd w:id="20"/>
      <w:r>
        <w:rPr>
          <w:spacing w:val="-2"/>
        </w:rPr>
        <w:t>Reports</w:t>
      </w:r>
    </w:p>
    <w:p>
      <w:pPr>
        <w:pStyle w:val="BodyText"/>
        <w:spacing w:line="259" w:lineRule="auto" w:before="171"/>
        <w:ind w:left="1400" w:right="1524" w:firstLine="372"/>
      </w:pPr>
      <w:r>
        <w:rPr>
          <w:w w:val="105"/>
        </w:rPr>
        <w:t>Under U.S. securities laws, directors, certain officers, and persons holding more than 10% of our</w:t>
      </w:r>
      <w:r>
        <w:rPr>
          <w:spacing w:val="40"/>
          <w:w w:val="105"/>
        </w:rPr>
        <w:t> </w:t>
      </w:r>
      <w:r>
        <w:rPr>
          <w:w w:val="105"/>
        </w:rPr>
        <w:t>common</w:t>
      </w:r>
      <w:r>
        <w:rPr>
          <w:spacing w:val="14"/>
          <w:w w:val="105"/>
        </w:rPr>
        <w:t> </w:t>
      </w:r>
      <w:r>
        <w:rPr>
          <w:w w:val="105"/>
        </w:rPr>
        <w:t>stock</w:t>
      </w:r>
      <w:r>
        <w:rPr>
          <w:spacing w:val="14"/>
          <w:w w:val="105"/>
        </w:rPr>
        <w:t> </w:t>
      </w:r>
      <w:r>
        <w:rPr>
          <w:w w:val="105"/>
        </w:rPr>
        <w:t>must</w:t>
      </w:r>
      <w:r>
        <w:rPr>
          <w:spacing w:val="14"/>
          <w:w w:val="105"/>
        </w:rPr>
        <w:t> </w:t>
      </w:r>
      <w:r>
        <w:rPr>
          <w:w w:val="105"/>
        </w:rPr>
        <w:t>report</w:t>
      </w:r>
      <w:r>
        <w:rPr>
          <w:spacing w:val="14"/>
          <w:w w:val="105"/>
        </w:rPr>
        <w:t> </w:t>
      </w:r>
      <w:r>
        <w:rPr>
          <w:w w:val="105"/>
        </w:rPr>
        <w:t>their</w:t>
      </w:r>
      <w:r>
        <w:rPr>
          <w:spacing w:val="14"/>
          <w:w w:val="105"/>
        </w:rPr>
        <w:t> </w:t>
      </w:r>
      <w:r>
        <w:rPr>
          <w:w w:val="105"/>
        </w:rPr>
        <w:t>initial</w:t>
      </w:r>
      <w:r>
        <w:rPr>
          <w:spacing w:val="14"/>
          <w:w w:val="105"/>
        </w:rPr>
        <w:t> </w:t>
      </w:r>
      <w:r>
        <w:rPr>
          <w:w w:val="105"/>
        </w:rPr>
        <w:t>ownership</w:t>
      </w:r>
      <w:r>
        <w:rPr>
          <w:spacing w:val="14"/>
          <w:w w:val="105"/>
        </w:rPr>
        <w:t> </w:t>
      </w:r>
      <w:r>
        <w:rPr>
          <w:w w:val="105"/>
        </w:rPr>
        <w:t>of</w:t>
      </w:r>
      <w:r>
        <w:rPr>
          <w:spacing w:val="14"/>
          <w:w w:val="105"/>
        </w:rPr>
        <w:t> </w:t>
      </w:r>
      <w:r>
        <w:rPr>
          <w:w w:val="105"/>
        </w:rPr>
        <w:t>our</w:t>
      </w:r>
      <w:r>
        <w:rPr>
          <w:spacing w:val="14"/>
          <w:w w:val="105"/>
        </w:rPr>
        <w:t> </w:t>
      </w:r>
      <w:r>
        <w:rPr>
          <w:w w:val="105"/>
        </w:rPr>
        <w:t>common</w:t>
      </w:r>
      <w:r>
        <w:rPr>
          <w:spacing w:val="14"/>
          <w:w w:val="105"/>
        </w:rPr>
        <w:t> </w:t>
      </w:r>
      <w:r>
        <w:rPr>
          <w:w w:val="105"/>
        </w:rPr>
        <w:t>stock</w:t>
      </w:r>
      <w:r>
        <w:rPr>
          <w:spacing w:val="14"/>
          <w:w w:val="105"/>
        </w:rPr>
        <w:t> </w:t>
      </w:r>
      <w:r>
        <w:rPr>
          <w:w w:val="105"/>
        </w:rPr>
        <w:t>and</w:t>
      </w:r>
      <w:r>
        <w:rPr>
          <w:spacing w:val="14"/>
          <w:w w:val="105"/>
        </w:rPr>
        <w:t> </w:t>
      </w:r>
      <w:r>
        <w:rPr>
          <w:w w:val="105"/>
        </w:rPr>
        <w:t>any</w:t>
      </w:r>
      <w:r>
        <w:rPr>
          <w:spacing w:val="14"/>
          <w:w w:val="105"/>
        </w:rPr>
        <w:t> </w:t>
      </w:r>
      <w:r>
        <w:rPr>
          <w:w w:val="105"/>
        </w:rPr>
        <w:t>changes</w:t>
      </w:r>
      <w:r>
        <w:rPr>
          <w:spacing w:val="14"/>
          <w:w w:val="105"/>
        </w:rPr>
        <w:t> </w:t>
      </w:r>
      <w:r>
        <w:rPr>
          <w:w w:val="105"/>
        </w:rPr>
        <w:t>in</w:t>
      </w:r>
      <w:r>
        <w:rPr>
          <w:spacing w:val="14"/>
          <w:w w:val="105"/>
        </w:rPr>
        <w:t> </w:t>
      </w:r>
      <w:r>
        <w:rPr>
          <w:w w:val="105"/>
        </w:rPr>
        <w:t>their</w:t>
      </w:r>
      <w:r>
        <w:rPr>
          <w:spacing w:val="14"/>
          <w:w w:val="105"/>
        </w:rPr>
        <w:t> </w:t>
      </w:r>
      <w:r>
        <w:rPr>
          <w:w w:val="105"/>
        </w:rPr>
        <w:t>ownership to the SEC. The SEC has designated specific due dates for these reports and we must identify in this Proxy</w:t>
      </w:r>
      <w:r>
        <w:rPr>
          <w:spacing w:val="40"/>
          <w:w w:val="105"/>
        </w:rPr>
        <w:t> </w:t>
      </w:r>
      <w:r>
        <w:rPr>
          <w:w w:val="105"/>
        </w:rPr>
        <w:t>Statement</w:t>
      </w:r>
      <w:r>
        <w:rPr>
          <w:spacing w:val="21"/>
          <w:w w:val="105"/>
        </w:rPr>
        <w:t> </w:t>
      </w:r>
      <w:r>
        <w:rPr>
          <w:w w:val="105"/>
        </w:rPr>
        <w:t>those</w:t>
      </w:r>
      <w:r>
        <w:rPr>
          <w:spacing w:val="21"/>
          <w:w w:val="105"/>
        </w:rPr>
        <w:t> </w:t>
      </w:r>
      <w:r>
        <w:rPr>
          <w:w w:val="105"/>
        </w:rPr>
        <w:t>persons</w:t>
      </w:r>
      <w:r>
        <w:rPr>
          <w:spacing w:val="21"/>
          <w:w w:val="105"/>
        </w:rPr>
        <w:t> </w:t>
      </w:r>
      <w:r>
        <w:rPr>
          <w:w w:val="105"/>
        </w:rPr>
        <w:t>who</w:t>
      </w:r>
      <w:r>
        <w:rPr>
          <w:spacing w:val="21"/>
          <w:w w:val="105"/>
        </w:rPr>
        <w:t> </w:t>
      </w:r>
      <w:r>
        <w:rPr>
          <w:w w:val="105"/>
        </w:rPr>
        <w:t>did</w:t>
      </w:r>
      <w:r>
        <w:rPr>
          <w:spacing w:val="21"/>
          <w:w w:val="105"/>
        </w:rPr>
        <w:t> </w:t>
      </w:r>
      <w:r>
        <w:rPr>
          <w:w w:val="105"/>
        </w:rPr>
        <w:t>not</w:t>
      </w:r>
      <w:r>
        <w:rPr>
          <w:spacing w:val="21"/>
          <w:w w:val="105"/>
        </w:rPr>
        <w:t> </w:t>
      </w:r>
      <w:r>
        <w:rPr>
          <w:w w:val="105"/>
        </w:rPr>
        <w:t>file</w:t>
      </w:r>
      <w:r>
        <w:rPr>
          <w:spacing w:val="21"/>
          <w:w w:val="105"/>
        </w:rPr>
        <w:t> </w:t>
      </w:r>
      <w:r>
        <w:rPr>
          <w:w w:val="105"/>
        </w:rPr>
        <w:t>these</w:t>
      </w:r>
      <w:r>
        <w:rPr>
          <w:spacing w:val="21"/>
          <w:w w:val="105"/>
        </w:rPr>
        <w:t> </w:t>
      </w:r>
      <w:r>
        <w:rPr>
          <w:w w:val="105"/>
        </w:rPr>
        <w:t>reports</w:t>
      </w:r>
      <w:r>
        <w:rPr>
          <w:spacing w:val="21"/>
          <w:w w:val="105"/>
        </w:rPr>
        <w:t> </w:t>
      </w:r>
      <w:r>
        <w:rPr>
          <w:w w:val="105"/>
        </w:rPr>
        <w:t>when</w:t>
      </w:r>
      <w:r>
        <w:rPr>
          <w:spacing w:val="21"/>
          <w:w w:val="105"/>
        </w:rPr>
        <w:t> </w:t>
      </w:r>
      <w:r>
        <w:rPr>
          <w:w w:val="105"/>
        </w:rPr>
        <w:t>due.</w:t>
      </w:r>
      <w:r>
        <w:rPr>
          <w:spacing w:val="21"/>
          <w:w w:val="105"/>
        </w:rPr>
        <w:t> </w:t>
      </w:r>
      <w:r>
        <w:rPr>
          <w:w w:val="105"/>
        </w:rPr>
        <w:t>Based</w:t>
      </w:r>
      <w:r>
        <w:rPr>
          <w:spacing w:val="21"/>
          <w:w w:val="105"/>
        </w:rPr>
        <w:t> </w:t>
      </w:r>
      <w:r>
        <w:rPr>
          <w:w w:val="105"/>
        </w:rPr>
        <w:t>solely</w:t>
      </w:r>
      <w:r>
        <w:rPr>
          <w:spacing w:val="21"/>
          <w:w w:val="105"/>
        </w:rPr>
        <w:t> </w:t>
      </w:r>
      <w:r>
        <w:rPr>
          <w:w w:val="105"/>
        </w:rPr>
        <w:t>on</w:t>
      </w:r>
      <w:r>
        <w:rPr>
          <w:spacing w:val="21"/>
          <w:w w:val="105"/>
        </w:rPr>
        <w:t> </w:t>
      </w:r>
      <w:r>
        <w:rPr>
          <w:w w:val="105"/>
        </w:rPr>
        <w:t>our</w:t>
      </w:r>
      <w:r>
        <w:rPr>
          <w:spacing w:val="21"/>
          <w:w w:val="105"/>
        </w:rPr>
        <w:t> </w:t>
      </w:r>
      <w:r>
        <w:rPr>
          <w:w w:val="105"/>
        </w:rPr>
        <w:t>review</w:t>
      </w:r>
      <w:r>
        <w:rPr>
          <w:spacing w:val="21"/>
          <w:w w:val="105"/>
        </w:rPr>
        <w:t> </w:t>
      </w:r>
      <w:r>
        <w:rPr>
          <w:w w:val="105"/>
        </w:rPr>
        <w:t>of</w:t>
      </w:r>
      <w:r>
        <w:rPr>
          <w:spacing w:val="21"/>
          <w:w w:val="105"/>
        </w:rPr>
        <w:t> </w:t>
      </w:r>
      <w:r>
        <w:rPr>
          <w:w w:val="105"/>
        </w:rPr>
        <w:t>copies</w:t>
      </w:r>
      <w:r>
        <w:rPr>
          <w:spacing w:val="21"/>
          <w:w w:val="105"/>
        </w:rPr>
        <w:t> </w:t>
      </w:r>
      <w:r>
        <w:rPr>
          <w:w w:val="105"/>
        </w:rPr>
        <w:t>of the reports filed with the SEC and the written representations of our directors and executive officers, we</w:t>
      </w:r>
      <w:r>
        <w:rPr>
          <w:spacing w:val="40"/>
          <w:w w:val="105"/>
        </w:rPr>
        <w:t> </w:t>
      </w:r>
      <w:r>
        <w:rPr>
          <w:w w:val="105"/>
        </w:rPr>
        <w:t>believe</w:t>
      </w:r>
      <w:r>
        <w:rPr>
          <w:spacing w:val="20"/>
          <w:w w:val="105"/>
        </w:rPr>
        <w:t> </w:t>
      </w:r>
      <w:r>
        <w:rPr>
          <w:w w:val="105"/>
        </w:rPr>
        <w:t>that</w:t>
      </w:r>
      <w:r>
        <w:rPr>
          <w:spacing w:val="20"/>
          <w:w w:val="105"/>
        </w:rPr>
        <w:t> </w:t>
      </w:r>
      <w:r>
        <w:rPr>
          <w:w w:val="105"/>
        </w:rPr>
        <w:t>each</w:t>
      </w:r>
      <w:r>
        <w:rPr>
          <w:spacing w:val="20"/>
          <w:w w:val="105"/>
        </w:rPr>
        <w:t> </w:t>
      </w:r>
      <w:r>
        <w:rPr>
          <w:w w:val="105"/>
        </w:rPr>
        <w:t>person</w:t>
      </w:r>
      <w:r>
        <w:rPr>
          <w:spacing w:val="20"/>
          <w:w w:val="105"/>
        </w:rPr>
        <w:t> </w:t>
      </w:r>
      <w:r>
        <w:rPr>
          <w:w w:val="105"/>
        </w:rPr>
        <w:t>who</w:t>
      </w:r>
      <w:r>
        <w:rPr>
          <w:spacing w:val="20"/>
          <w:w w:val="105"/>
        </w:rPr>
        <w:t> </w:t>
      </w:r>
      <w:r>
        <w:rPr>
          <w:w w:val="105"/>
        </w:rPr>
        <w:t>at</w:t>
      </w:r>
      <w:r>
        <w:rPr>
          <w:spacing w:val="20"/>
          <w:w w:val="105"/>
        </w:rPr>
        <w:t> </w:t>
      </w:r>
      <w:r>
        <w:rPr>
          <w:w w:val="105"/>
        </w:rPr>
        <w:t>any</w:t>
      </w:r>
      <w:r>
        <w:rPr>
          <w:spacing w:val="20"/>
          <w:w w:val="105"/>
        </w:rPr>
        <w:t> </w:t>
      </w:r>
      <w:r>
        <w:rPr>
          <w:w w:val="105"/>
        </w:rPr>
        <w:t>time</w:t>
      </w:r>
      <w:r>
        <w:rPr>
          <w:spacing w:val="20"/>
          <w:w w:val="105"/>
        </w:rPr>
        <w:t> </w:t>
      </w:r>
      <w:r>
        <w:rPr>
          <w:w w:val="105"/>
        </w:rPr>
        <w:t>during</w:t>
      </w:r>
      <w:r>
        <w:rPr>
          <w:spacing w:val="20"/>
          <w:w w:val="105"/>
        </w:rPr>
        <w:t> </w:t>
      </w:r>
      <w:r>
        <w:rPr>
          <w:w w:val="105"/>
        </w:rPr>
        <w:t>fiscal</w:t>
      </w:r>
      <w:r>
        <w:rPr>
          <w:spacing w:val="20"/>
          <w:w w:val="105"/>
        </w:rPr>
        <w:t> </w:t>
      </w:r>
      <w:r>
        <w:rPr>
          <w:w w:val="105"/>
        </w:rPr>
        <w:t>year</w:t>
      </w:r>
      <w:r>
        <w:rPr>
          <w:spacing w:val="20"/>
          <w:w w:val="105"/>
        </w:rPr>
        <w:t> </w:t>
      </w:r>
      <w:r>
        <w:rPr>
          <w:w w:val="105"/>
        </w:rPr>
        <w:t>2022</w:t>
      </w:r>
      <w:r>
        <w:rPr>
          <w:spacing w:val="20"/>
          <w:w w:val="105"/>
        </w:rPr>
        <w:t> </w:t>
      </w:r>
      <w:r>
        <w:rPr>
          <w:w w:val="105"/>
        </w:rPr>
        <w:t>was</w:t>
      </w:r>
      <w:r>
        <w:rPr>
          <w:spacing w:val="20"/>
          <w:w w:val="105"/>
        </w:rPr>
        <w:t> </w:t>
      </w:r>
      <w:r>
        <w:rPr>
          <w:w w:val="105"/>
        </w:rPr>
        <w:t>a</w:t>
      </w:r>
      <w:r>
        <w:rPr>
          <w:spacing w:val="20"/>
          <w:w w:val="105"/>
        </w:rPr>
        <w:t> </w:t>
      </w:r>
      <w:r>
        <w:rPr>
          <w:w w:val="105"/>
        </w:rPr>
        <w:t>director</w:t>
      </w:r>
      <w:r>
        <w:rPr>
          <w:spacing w:val="20"/>
          <w:w w:val="105"/>
        </w:rPr>
        <w:t> </w:t>
      </w:r>
      <w:r>
        <w:rPr>
          <w:w w:val="105"/>
        </w:rPr>
        <w:t>or</w:t>
      </w:r>
      <w:r>
        <w:rPr>
          <w:spacing w:val="20"/>
          <w:w w:val="105"/>
        </w:rPr>
        <w:t> </w:t>
      </w:r>
      <w:r>
        <w:rPr>
          <w:w w:val="105"/>
        </w:rPr>
        <w:t>an</w:t>
      </w:r>
      <w:r>
        <w:rPr>
          <w:spacing w:val="20"/>
          <w:w w:val="105"/>
        </w:rPr>
        <w:t> </w:t>
      </w:r>
      <w:r>
        <w:rPr>
          <w:w w:val="105"/>
        </w:rPr>
        <w:t>executive</w:t>
      </w:r>
      <w:r>
        <w:rPr>
          <w:spacing w:val="20"/>
          <w:w w:val="105"/>
        </w:rPr>
        <w:t> </w:t>
      </w:r>
      <w:r>
        <w:rPr>
          <w:w w:val="105"/>
        </w:rPr>
        <w:t>officer</w:t>
      </w:r>
      <w:r>
        <w:rPr>
          <w:spacing w:val="20"/>
          <w:w w:val="105"/>
        </w:rPr>
        <w:t> </w:t>
      </w:r>
      <w:r>
        <w:rPr>
          <w:w w:val="105"/>
        </w:rPr>
        <w:t>or held</w:t>
      </w:r>
      <w:r>
        <w:rPr>
          <w:spacing w:val="20"/>
          <w:w w:val="105"/>
        </w:rPr>
        <w:t> </w:t>
      </w:r>
      <w:r>
        <w:rPr>
          <w:w w:val="105"/>
        </w:rPr>
        <w:t>more</w:t>
      </w:r>
      <w:r>
        <w:rPr>
          <w:spacing w:val="20"/>
          <w:w w:val="105"/>
        </w:rPr>
        <w:t> </w:t>
      </w:r>
      <w:r>
        <w:rPr>
          <w:w w:val="105"/>
        </w:rPr>
        <w:t>than</w:t>
      </w:r>
      <w:r>
        <w:rPr>
          <w:spacing w:val="20"/>
          <w:w w:val="105"/>
        </w:rPr>
        <w:t> </w:t>
      </w:r>
      <w:r>
        <w:rPr>
          <w:w w:val="105"/>
        </w:rPr>
        <w:t>10%</w:t>
      </w:r>
      <w:r>
        <w:rPr>
          <w:spacing w:val="20"/>
          <w:w w:val="105"/>
        </w:rPr>
        <w:t> </w:t>
      </w:r>
      <w:r>
        <w:rPr>
          <w:w w:val="105"/>
        </w:rPr>
        <w:t>of</w:t>
      </w:r>
      <w:r>
        <w:rPr>
          <w:spacing w:val="20"/>
          <w:w w:val="105"/>
        </w:rPr>
        <w:t> </w:t>
      </w:r>
      <w:r>
        <w:rPr>
          <w:w w:val="105"/>
        </w:rPr>
        <w:t>our</w:t>
      </w:r>
      <w:r>
        <w:rPr>
          <w:spacing w:val="20"/>
          <w:w w:val="105"/>
        </w:rPr>
        <w:t> </w:t>
      </w:r>
      <w:r>
        <w:rPr>
          <w:w w:val="105"/>
        </w:rPr>
        <w:t>common</w:t>
      </w:r>
      <w:r>
        <w:rPr>
          <w:spacing w:val="20"/>
          <w:w w:val="105"/>
        </w:rPr>
        <w:t> </w:t>
      </w:r>
      <w:r>
        <w:rPr>
          <w:w w:val="105"/>
        </w:rPr>
        <w:t>stock</w:t>
      </w:r>
      <w:r>
        <w:rPr>
          <w:spacing w:val="20"/>
          <w:w w:val="105"/>
        </w:rPr>
        <w:t> </w:t>
      </w:r>
      <w:r>
        <w:rPr>
          <w:w w:val="105"/>
        </w:rPr>
        <w:t>filed</w:t>
      </w:r>
      <w:r>
        <w:rPr>
          <w:spacing w:val="20"/>
          <w:w w:val="105"/>
        </w:rPr>
        <w:t> </w:t>
      </w:r>
      <w:r>
        <w:rPr>
          <w:w w:val="105"/>
        </w:rPr>
        <w:t>the</w:t>
      </w:r>
      <w:r>
        <w:rPr>
          <w:spacing w:val="20"/>
          <w:w w:val="105"/>
        </w:rPr>
        <w:t> </w:t>
      </w:r>
      <w:r>
        <w:rPr>
          <w:w w:val="105"/>
        </w:rPr>
        <w:t>required</w:t>
      </w:r>
      <w:r>
        <w:rPr>
          <w:spacing w:val="20"/>
          <w:w w:val="105"/>
        </w:rPr>
        <w:t> </w:t>
      </w:r>
      <w:r>
        <w:rPr>
          <w:w w:val="105"/>
        </w:rPr>
        <w:t>reports</w:t>
      </w:r>
      <w:r>
        <w:rPr>
          <w:spacing w:val="20"/>
          <w:w w:val="105"/>
        </w:rPr>
        <w:t> </w:t>
      </w:r>
      <w:r>
        <w:rPr>
          <w:w w:val="105"/>
        </w:rPr>
        <w:t>on</w:t>
      </w:r>
      <w:r>
        <w:rPr>
          <w:spacing w:val="20"/>
          <w:w w:val="105"/>
        </w:rPr>
        <w:t> </w:t>
      </w:r>
      <w:r>
        <w:rPr>
          <w:w w:val="105"/>
        </w:rPr>
        <w:t>time</w:t>
      </w:r>
      <w:r>
        <w:rPr>
          <w:spacing w:val="20"/>
          <w:w w:val="105"/>
        </w:rPr>
        <w:t> </w:t>
      </w:r>
      <w:r>
        <w:rPr>
          <w:w w:val="105"/>
        </w:rPr>
        <w:t>in</w:t>
      </w:r>
      <w:r>
        <w:rPr>
          <w:spacing w:val="20"/>
          <w:w w:val="105"/>
        </w:rPr>
        <w:t> </w:t>
      </w:r>
      <w:r>
        <w:rPr>
          <w:w w:val="105"/>
        </w:rPr>
        <w:t>fiscal</w:t>
      </w:r>
      <w:r>
        <w:rPr>
          <w:spacing w:val="20"/>
          <w:w w:val="105"/>
        </w:rPr>
        <w:t> </w:t>
      </w:r>
      <w:r>
        <w:rPr>
          <w:w w:val="105"/>
        </w:rPr>
        <w:t>year</w:t>
      </w:r>
      <w:r>
        <w:rPr>
          <w:spacing w:val="20"/>
          <w:w w:val="105"/>
        </w:rPr>
        <w:t> </w:t>
      </w:r>
      <w:r>
        <w:rPr>
          <w:w w:val="105"/>
        </w:rPr>
        <w:t>2022,</w:t>
      </w:r>
      <w:r>
        <w:rPr>
          <w:spacing w:val="20"/>
          <w:w w:val="105"/>
        </w:rPr>
        <w:t> </w:t>
      </w:r>
      <w:r>
        <w:rPr>
          <w:w w:val="105"/>
        </w:rPr>
        <w:t>except</w:t>
      </w:r>
    </w:p>
    <w:p>
      <w:pPr>
        <w:pStyle w:val="BodyText"/>
        <w:spacing w:line="259" w:lineRule="auto" w:before="1"/>
        <w:ind w:left="1400" w:right="1551"/>
      </w:pPr>
      <w:r>
        <w:rPr>
          <w:w w:val="105"/>
        </w:rPr>
        <w:t>Mr.</w:t>
      </w:r>
      <w:r>
        <w:rPr>
          <w:spacing w:val="24"/>
          <w:w w:val="105"/>
        </w:rPr>
        <w:t> </w:t>
      </w:r>
      <w:r>
        <w:rPr>
          <w:w w:val="105"/>
        </w:rPr>
        <w:t>Rosebrough</w:t>
      </w:r>
      <w:r>
        <w:rPr>
          <w:spacing w:val="24"/>
          <w:w w:val="105"/>
        </w:rPr>
        <w:t> </w:t>
      </w:r>
      <w:r>
        <w:rPr>
          <w:w w:val="105"/>
        </w:rPr>
        <w:t>and</w:t>
      </w:r>
      <w:r>
        <w:rPr>
          <w:spacing w:val="24"/>
          <w:w w:val="105"/>
        </w:rPr>
        <w:t> </w:t>
      </w:r>
      <w:r>
        <w:rPr>
          <w:w w:val="105"/>
        </w:rPr>
        <w:t>Dr.</w:t>
      </w:r>
      <w:r>
        <w:rPr>
          <w:spacing w:val="24"/>
          <w:w w:val="105"/>
        </w:rPr>
        <w:t> </w:t>
      </w:r>
      <w:r>
        <w:rPr>
          <w:w w:val="105"/>
        </w:rPr>
        <w:t>Naumann-Etienne.</w:t>
      </w:r>
      <w:r>
        <w:rPr>
          <w:spacing w:val="24"/>
          <w:w w:val="105"/>
        </w:rPr>
        <w:t> </w:t>
      </w:r>
      <w:r>
        <w:rPr>
          <w:w w:val="105"/>
        </w:rPr>
        <w:t>Due</w:t>
      </w:r>
      <w:r>
        <w:rPr>
          <w:spacing w:val="24"/>
          <w:w w:val="105"/>
        </w:rPr>
        <w:t> </w:t>
      </w:r>
      <w:r>
        <w:rPr>
          <w:w w:val="105"/>
        </w:rPr>
        <w:t>to</w:t>
      </w:r>
      <w:r>
        <w:rPr>
          <w:spacing w:val="24"/>
          <w:w w:val="105"/>
        </w:rPr>
        <w:t> </w:t>
      </w:r>
      <w:r>
        <w:rPr>
          <w:w w:val="105"/>
        </w:rPr>
        <w:t>an</w:t>
      </w:r>
      <w:r>
        <w:rPr>
          <w:spacing w:val="24"/>
          <w:w w:val="105"/>
        </w:rPr>
        <w:t> </w:t>
      </w:r>
      <w:r>
        <w:rPr>
          <w:w w:val="105"/>
        </w:rPr>
        <w:t>administrative</w:t>
      </w:r>
      <w:r>
        <w:rPr>
          <w:spacing w:val="24"/>
          <w:w w:val="105"/>
        </w:rPr>
        <w:t> </w:t>
      </w:r>
      <w:r>
        <w:rPr>
          <w:w w:val="105"/>
        </w:rPr>
        <w:t>error,</w:t>
      </w:r>
      <w:r>
        <w:rPr>
          <w:spacing w:val="24"/>
          <w:w w:val="105"/>
        </w:rPr>
        <w:t> </w:t>
      </w:r>
      <w:r>
        <w:rPr>
          <w:w w:val="105"/>
        </w:rPr>
        <w:t>Mr.</w:t>
      </w:r>
      <w:r>
        <w:rPr>
          <w:spacing w:val="24"/>
          <w:w w:val="105"/>
        </w:rPr>
        <w:t> </w:t>
      </w:r>
      <w:r>
        <w:rPr>
          <w:w w:val="105"/>
        </w:rPr>
        <w:t>Rosebrough</w:t>
      </w:r>
      <w:r>
        <w:rPr>
          <w:spacing w:val="24"/>
          <w:w w:val="105"/>
        </w:rPr>
        <w:t> </w:t>
      </w:r>
      <w:r>
        <w:rPr>
          <w:w w:val="105"/>
        </w:rPr>
        <w:t>filed</w:t>
      </w:r>
      <w:r>
        <w:rPr>
          <w:spacing w:val="24"/>
          <w:w w:val="105"/>
        </w:rPr>
        <w:t> </w:t>
      </w:r>
      <w:r>
        <w:rPr>
          <w:w w:val="105"/>
        </w:rPr>
        <w:t>on February 15, 2022 a Form 4 that was due on February 14, 2022, pursuant to which he reported the grant of</w:t>
      </w:r>
      <w:r>
        <w:rPr>
          <w:spacing w:val="40"/>
          <w:w w:val="105"/>
        </w:rPr>
        <w:t> </w:t>
      </w:r>
      <w:r>
        <w:rPr>
          <w:w w:val="105"/>
        </w:rPr>
        <w:t>DSUs that occurred on February 10, 2022 and the delivery of DSUs that occurred on February 14, 2022. In</w:t>
      </w:r>
      <w:r>
        <w:rPr>
          <w:spacing w:val="40"/>
          <w:w w:val="105"/>
        </w:rPr>
        <w:t> </w:t>
      </w:r>
      <w:r>
        <w:rPr>
          <w:w w:val="105"/>
        </w:rPr>
        <w:t>addition, due to an administrative error, Dr. Naumann-Etienne filed on November 9, 2022 a Form 4 that was due</w:t>
      </w:r>
      <w:r>
        <w:rPr>
          <w:spacing w:val="21"/>
          <w:w w:val="105"/>
        </w:rPr>
        <w:t> </w:t>
      </w:r>
      <w:r>
        <w:rPr>
          <w:w w:val="105"/>
        </w:rPr>
        <w:t>on August</w:t>
      </w:r>
      <w:r>
        <w:rPr>
          <w:spacing w:val="21"/>
          <w:w w:val="105"/>
        </w:rPr>
        <w:t> </w:t>
      </w:r>
      <w:r>
        <w:rPr>
          <w:w w:val="105"/>
        </w:rPr>
        <w:t>26,</w:t>
      </w:r>
      <w:r>
        <w:rPr>
          <w:spacing w:val="21"/>
          <w:w w:val="105"/>
        </w:rPr>
        <w:t> </w:t>
      </w:r>
      <w:r>
        <w:rPr>
          <w:w w:val="105"/>
        </w:rPr>
        <w:t>2022,</w:t>
      </w:r>
      <w:r>
        <w:rPr>
          <w:spacing w:val="21"/>
          <w:w w:val="105"/>
        </w:rPr>
        <w:t> </w:t>
      </w:r>
      <w:r>
        <w:rPr>
          <w:w w:val="105"/>
        </w:rPr>
        <w:t>pursuant</w:t>
      </w:r>
      <w:r>
        <w:rPr>
          <w:spacing w:val="21"/>
          <w:w w:val="105"/>
        </w:rPr>
        <w:t> </w:t>
      </w:r>
      <w:r>
        <w:rPr>
          <w:w w:val="105"/>
        </w:rPr>
        <w:t>to</w:t>
      </w:r>
      <w:r>
        <w:rPr>
          <w:spacing w:val="21"/>
          <w:w w:val="105"/>
        </w:rPr>
        <w:t> </w:t>
      </w:r>
      <w:r>
        <w:rPr>
          <w:w w:val="105"/>
        </w:rPr>
        <w:t>which</w:t>
      </w:r>
      <w:r>
        <w:rPr>
          <w:spacing w:val="21"/>
          <w:w w:val="105"/>
        </w:rPr>
        <w:t> </w:t>
      </w:r>
      <w:r>
        <w:rPr>
          <w:w w:val="105"/>
        </w:rPr>
        <w:t>he</w:t>
      </w:r>
      <w:r>
        <w:rPr>
          <w:spacing w:val="21"/>
          <w:w w:val="105"/>
        </w:rPr>
        <w:t> </w:t>
      </w:r>
      <w:r>
        <w:rPr>
          <w:w w:val="105"/>
        </w:rPr>
        <w:t>reported</w:t>
      </w:r>
      <w:r>
        <w:rPr>
          <w:spacing w:val="21"/>
          <w:w w:val="105"/>
        </w:rPr>
        <w:t> </w:t>
      </w:r>
      <w:r>
        <w:rPr>
          <w:w w:val="105"/>
        </w:rPr>
        <w:t>the</w:t>
      </w:r>
      <w:r>
        <w:rPr>
          <w:spacing w:val="21"/>
          <w:w w:val="105"/>
        </w:rPr>
        <w:t> </w:t>
      </w:r>
      <w:r>
        <w:rPr>
          <w:w w:val="105"/>
        </w:rPr>
        <w:t>sale</w:t>
      </w:r>
      <w:r>
        <w:rPr>
          <w:spacing w:val="21"/>
          <w:w w:val="105"/>
        </w:rPr>
        <w:t> </w:t>
      </w:r>
      <w:r>
        <w:rPr>
          <w:w w:val="105"/>
        </w:rPr>
        <w:t>of</w:t>
      </w:r>
      <w:r>
        <w:rPr>
          <w:spacing w:val="21"/>
          <w:w w:val="105"/>
        </w:rPr>
        <w:t> </w:t>
      </w:r>
      <w:r>
        <w:rPr>
          <w:w w:val="105"/>
        </w:rPr>
        <w:t>common</w:t>
      </w:r>
      <w:r>
        <w:rPr>
          <w:spacing w:val="21"/>
          <w:w w:val="105"/>
        </w:rPr>
        <w:t> </w:t>
      </w:r>
      <w:r>
        <w:rPr>
          <w:w w:val="105"/>
        </w:rPr>
        <w:t>stock</w:t>
      </w:r>
      <w:r>
        <w:rPr>
          <w:spacing w:val="21"/>
          <w:w w:val="105"/>
        </w:rPr>
        <w:t> </w:t>
      </w:r>
      <w:r>
        <w:rPr>
          <w:w w:val="105"/>
        </w:rPr>
        <w:t>that</w:t>
      </w:r>
      <w:r>
        <w:rPr>
          <w:spacing w:val="21"/>
          <w:w w:val="105"/>
        </w:rPr>
        <w:t> </w:t>
      </w:r>
      <w:r>
        <w:rPr>
          <w:w w:val="105"/>
        </w:rPr>
        <w:t>occurred</w:t>
      </w:r>
      <w:r>
        <w:rPr>
          <w:spacing w:val="21"/>
          <w:w w:val="105"/>
        </w:rPr>
        <w:t> </w:t>
      </w:r>
      <w:r>
        <w:rPr>
          <w:w w:val="105"/>
        </w:rPr>
        <w:t>on</w:t>
      </w:r>
    </w:p>
    <w:p>
      <w:pPr>
        <w:pStyle w:val="BodyText"/>
        <w:ind w:left="1400"/>
      </w:pPr>
      <w:r>
        <w:rPr>
          <w:w w:val="105"/>
        </w:rPr>
        <w:t>August</w:t>
      </w:r>
      <w:r>
        <w:rPr>
          <w:spacing w:val="9"/>
          <w:w w:val="105"/>
        </w:rPr>
        <w:t> </w:t>
      </w:r>
      <w:r>
        <w:rPr>
          <w:w w:val="105"/>
        </w:rPr>
        <w:t>24,</w:t>
      </w:r>
      <w:r>
        <w:rPr>
          <w:spacing w:val="10"/>
          <w:w w:val="105"/>
        </w:rPr>
        <w:t> </w:t>
      </w:r>
      <w:r>
        <w:rPr>
          <w:spacing w:val="-4"/>
          <w:w w:val="105"/>
        </w:rPr>
        <w:t>2022.</w:t>
      </w:r>
    </w:p>
    <w:p>
      <w:pPr>
        <w:spacing w:after="0"/>
        <w:sectPr>
          <w:headerReference w:type="default" r:id="rId107"/>
          <w:footerReference w:type="default" r:id="rId108"/>
          <w:pgSz w:w="12240" w:h="15840"/>
          <w:pgMar w:header="529" w:footer="1470" w:top="720" w:bottom="1660" w:left="480" w:right="460"/>
        </w:sectPr>
      </w:pPr>
    </w:p>
    <w:p>
      <w:pPr>
        <w:pStyle w:val="BodyText"/>
        <w:rPr>
          <w:sz w:val="20"/>
        </w:rPr>
      </w:pPr>
      <w:r>
        <w:rPr/>
        <w:pict>
          <v:group style="position:absolute;margin-left:28.999998pt;margin-top:757.346863pt;width:555pt;height:1.4pt;mso-position-horizontal-relative:page;mso-position-vertical-relative:page;z-index:15760896" id="docshapegroup243" coordorigin="580,15147" coordsize="11100,28">
            <v:rect style="position:absolute;left:580;top:15146;width:11100;height:14" id="docshape244" filled="true" fillcolor="#999999" stroked="false">
              <v:fill type="solid"/>
            </v:rect>
            <v:shape style="position:absolute;left:579;top:15146;width:11100;height:28" id="docshape245" coordorigin="580,15147" coordsize="11100,28" path="m11680,15147l11666,15161,580,15161,580,15175,11666,15175,11680,15175,11680,15161,11680,15147xe" filled="true" fillcolor="#ededed" stroked="false">
              <v:path arrowok="t"/>
              <v:fill type="solid"/>
            </v:shape>
            <v:shape style="position:absolute;left:580;top:15146;width:14;height:28" id="docshape246" coordorigin="580,15147" coordsize="14,28" path="m580,15175l580,15147,594,15147,594,15161,580,15175xe" filled="true" fillcolor="#999999" stroked="false">
              <v:path arrowok="t"/>
              <v:fill type="solid"/>
            </v:shape>
            <w10:wrap type="none"/>
          </v:group>
        </w:pict>
      </w:r>
    </w:p>
    <w:p>
      <w:pPr>
        <w:pStyle w:val="BodyText"/>
        <w:rPr>
          <w:sz w:val="20"/>
        </w:rPr>
      </w:pPr>
    </w:p>
    <w:p>
      <w:pPr>
        <w:pStyle w:val="BodyText"/>
        <w:spacing w:before="2"/>
        <w:rPr>
          <w:sz w:val="27"/>
        </w:rPr>
      </w:pPr>
    </w:p>
    <w:p>
      <w:pPr>
        <w:pStyle w:val="Heading1"/>
      </w:pPr>
      <w:bookmarkStart w:name="_TOC_250022" w:id="21"/>
      <w:r>
        <w:rPr/>
        <w:t>EXECUTIVE</w:t>
      </w:r>
      <w:r>
        <w:rPr>
          <w:spacing w:val="-6"/>
        </w:rPr>
        <w:t> </w:t>
      </w:r>
      <w:bookmarkEnd w:id="21"/>
      <w:r>
        <w:rPr>
          <w:spacing w:val="-2"/>
        </w:rPr>
        <w:t>COMPENSATION</w:t>
      </w:r>
    </w:p>
    <w:p>
      <w:pPr>
        <w:pStyle w:val="BodyText"/>
        <w:spacing w:before="11"/>
        <w:rPr>
          <w:b/>
          <w:sz w:val="20"/>
        </w:rPr>
      </w:pPr>
    </w:p>
    <w:p>
      <w:pPr>
        <w:pStyle w:val="Heading2"/>
        <w:ind w:left="4" w:right="1"/>
        <w:jc w:val="center"/>
      </w:pPr>
      <w:bookmarkStart w:name="_TOC_250021" w:id="22"/>
      <w:r>
        <w:rPr>
          <w:spacing w:val="-2"/>
        </w:rPr>
        <w:t>Compensation</w:t>
      </w:r>
      <w:r>
        <w:rPr>
          <w:spacing w:val="4"/>
        </w:rPr>
        <w:t> </w:t>
      </w:r>
      <w:r>
        <w:rPr>
          <w:spacing w:val="-2"/>
        </w:rPr>
        <w:t>Discussion</w:t>
      </w:r>
      <w:r>
        <w:rPr>
          <w:spacing w:val="4"/>
        </w:rPr>
        <w:t> </w:t>
      </w:r>
      <w:r>
        <w:rPr>
          <w:spacing w:val="-2"/>
        </w:rPr>
        <w:t>and</w:t>
      </w:r>
      <w:r>
        <w:rPr>
          <w:spacing w:val="-9"/>
        </w:rPr>
        <w:t> </w:t>
      </w:r>
      <w:bookmarkEnd w:id="22"/>
      <w:r>
        <w:rPr>
          <w:spacing w:val="-2"/>
        </w:rPr>
        <w:t>Analysis</w:t>
      </w:r>
    </w:p>
    <w:p>
      <w:pPr>
        <w:pStyle w:val="BodyText"/>
        <w:spacing w:before="10"/>
        <w:rPr>
          <w:b/>
          <w:sz w:val="20"/>
        </w:rPr>
      </w:pPr>
    </w:p>
    <w:p>
      <w:pPr>
        <w:pStyle w:val="Heading2"/>
      </w:pPr>
      <w:bookmarkStart w:name="_TOC_250020" w:id="23"/>
      <w:bookmarkEnd w:id="23"/>
      <w:r>
        <w:rPr>
          <w:spacing w:val="-2"/>
          <w:w w:val="105"/>
        </w:rPr>
        <w:t>Background</w:t>
      </w:r>
    </w:p>
    <w:p>
      <w:pPr>
        <w:pStyle w:val="BodyText"/>
        <w:spacing w:line="252" w:lineRule="auto" w:before="171"/>
        <w:ind w:left="1400" w:right="1551" w:firstLine="372"/>
      </w:pPr>
      <w:r>
        <w:rPr>
          <w:w w:val="105"/>
        </w:rPr>
        <w:t>The</w:t>
      </w:r>
      <w:r>
        <w:rPr>
          <w:spacing w:val="27"/>
          <w:w w:val="105"/>
        </w:rPr>
        <w:t> </w:t>
      </w:r>
      <w:r>
        <w:rPr>
          <w:w w:val="105"/>
        </w:rPr>
        <w:t>discussion</w:t>
      </w:r>
      <w:r>
        <w:rPr>
          <w:spacing w:val="27"/>
          <w:w w:val="105"/>
        </w:rPr>
        <w:t> </w:t>
      </w:r>
      <w:r>
        <w:rPr>
          <w:w w:val="105"/>
        </w:rPr>
        <w:t>in</w:t>
      </w:r>
      <w:r>
        <w:rPr>
          <w:spacing w:val="27"/>
          <w:w w:val="105"/>
        </w:rPr>
        <w:t> </w:t>
      </w:r>
      <w:r>
        <w:rPr>
          <w:w w:val="105"/>
        </w:rPr>
        <w:t>this</w:t>
      </w:r>
      <w:r>
        <w:rPr>
          <w:spacing w:val="27"/>
          <w:w w:val="105"/>
        </w:rPr>
        <w:t> </w:t>
      </w:r>
      <w:r>
        <w:rPr>
          <w:w w:val="105"/>
        </w:rPr>
        <w:t>section</w:t>
      </w:r>
      <w:r>
        <w:rPr>
          <w:spacing w:val="27"/>
          <w:w w:val="105"/>
        </w:rPr>
        <w:t> </w:t>
      </w:r>
      <w:r>
        <w:rPr>
          <w:w w:val="105"/>
        </w:rPr>
        <w:t>provides</w:t>
      </w:r>
      <w:r>
        <w:rPr>
          <w:spacing w:val="27"/>
          <w:w w:val="105"/>
        </w:rPr>
        <w:t> </w:t>
      </w:r>
      <w:r>
        <w:rPr>
          <w:w w:val="105"/>
        </w:rPr>
        <w:t>an</w:t>
      </w:r>
      <w:r>
        <w:rPr>
          <w:spacing w:val="27"/>
          <w:w w:val="105"/>
        </w:rPr>
        <w:t> </w:t>
      </w:r>
      <w:r>
        <w:rPr>
          <w:w w:val="105"/>
        </w:rPr>
        <w:t>overview</w:t>
      </w:r>
      <w:r>
        <w:rPr>
          <w:spacing w:val="27"/>
          <w:w w:val="105"/>
        </w:rPr>
        <w:t> </w:t>
      </w:r>
      <w:r>
        <w:rPr>
          <w:w w:val="105"/>
        </w:rPr>
        <w:t>of,</w:t>
      </w:r>
      <w:r>
        <w:rPr>
          <w:spacing w:val="27"/>
          <w:w w:val="105"/>
        </w:rPr>
        <w:t> </w:t>
      </w:r>
      <w:r>
        <w:rPr>
          <w:w w:val="105"/>
        </w:rPr>
        <w:t>and</w:t>
      </w:r>
      <w:r>
        <w:rPr>
          <w:spacing w:val="27"/>
          <w:w w:val="105"/>
        </w:rPr>
        <w:t> </w:t>
      </w:r>
      <w:r>
        <w:rPr>
          <w:w w:val="105"/>
        </w:rPr>
        <w:t>describes</w:t>
      </w:r>
      <w:r>
        <w:rPr>
          <w:spacing w:val="27"/>
          <w:w w:val="105"/>
        </w:rPr>
        <w:t> </w:t>
      </w:r>
      <w:r>
        <w:rPr>
          <w:w w:val="105"/>
        </w:rPr>
        <w:t>details</w:t>
      </w:r>
      <w:r>
        <w:rPr>
          <w:spacing w:val="27"/>
          <w:w w:val="105"/>
        </w:rPr>
        <w:t> </w:t>
      </w:r>
      <w:r>
        <w:rPr>
          <w:w w:val="105"/>
        </w:rPr>
        <w:t>regarding,</w:t>
      </w:r>
      <w:r>
        <w:rPr>
          <w:spacing w:val="27"/>
          <w:w w:val="105"/>
        </w:rPr>
        <w:t> </w:t>
      </w:r>
      <w:r>
        <w:rPr>
          <w:w w:val="105"/>
        </w:rPr>
        <w:t>the compensation programs for our NEOs and Board in fiscal year 2022. It includes a discussion of our business</w:t>
      </w:r>
      <w:r>
        <w:rPr>
          <w:spacing w:val="40"/>
          <w:w w:val="105"/>
        </w:rPr>
        <w:t> </w:t>
      </w:r>
      <w:r>
        <w:rPr>
          <w:w w:val="105"/>
        </w:rPr>
        <w:t>highlights, philosophy, and governance, along with actual and target compensation received.</w:t>
      </w:r>
    </w:p>
    <w:p>
      <w:pPr>
        <w:pStyle w:val="BodyText"/>
        <w:spacing w:before="145"/>
        <w:ind w:left="1772"/>
      </w:pPr>
      <w:r>
        <w:rPr>
          <w:w w:val="105"/>
        </w:rPr>
        <w:t>For</w:t>
      </w:r>
      <w:r>
        <w:rPr>
          <w:spacing w:val="12"/>
          <w:w w:val="105"/>
        </w:rPr>
        <w:t> </w:t>
      </w:r>
      <w:r>
        <w:rPr>
          <w:w w:val="105"/>
        </w:rPr>
        <w:t>2022,</w:t>
      </w:r>
      <w:r>
        <w:rPr>
          <w:spacing w:val="12"/>
          <w:w w:val="105"/>
        </w:rPr>
        <w:t> </w:t>
      </w:r>
      <w:r>
        <w:rPr>
          <w:w w:val="105"/>
        </w:rPr>
        <w:t>the</w:t>
      </w:r>
      <w:r>
        <w:rPr>
          <w:spacing w:val="12"/>
          <w:w w:val="105"/>
        </w:rPr>
        <w:t> </w:t>
      </w:r>
      <w:r>
        <w:rPr>
          <w:w w:val="105"/>
        </w:rPr>
        <w:t>Compensation</w:t>
      </w:r>
      <w:r>
        <w:rPr>
          <w:spacing w:val="12"/>
          <w:w w:val="105"/>
        </w:rPr>
        <w:t> </w:t>
      </w:r>
      <w:r>
        <w:rPr>
          <w:w w:val="105"/>
        </w:rPr>
        <w:t>Committee</w:t>
      </w:r>
      <w:r>
        <w:rPr>
          <w:spacing w:val="12"/>
          <w:w w:val="105"/>
        </w:rPr>
        <w:t> </w:t>
      </w:r>
      <w:r>
        <w:rPr>
          <w:spacing w:val="-2"/>
          <w:w w:val="105"/>
        </w:rPr>
        <w:t>approved:</w:t>
      </w:r>
    </w:p>
    <w:p>
      <w:pPr>
        <w:pStyle w:val="ListParagraph"/>
        <w:numPr>
          <w:ilvl w:val="0"/>
          <w:numId w:val="24"/>
        </w:numPr>
        <w:tabs>
          <w:tab w:pos="1960" w:val="left" w:leader="none"/>
        </w:tabs>
        <w:spacing w:line="259" w:lineRule="auto" w:before="114" w:after="0"/>
        <w:ind w:left="1959" w:right="1924" w:hanging="187"/>
        <w:jc w:val="left"/>
        <w:rPr>
          <w:sz w:val="18"/>
        </w:rPr>
      </w:pPr>
      <w:r>
        <w:rPr>
          <w:w w:val="105"/>
          <w:sz w:val="18"/>
        </w:rPr>
        <w:t>a long-term equity-based incentive (“</w:t>
      </w:r>
      <w:r>
        <w:rPr>
          <w:b/>
          <w:w w:val="105"/>
          <w:sz w:val="18"/>
        </w:rPr>
        <w:t>LTI</w:t>
      </w:r>
      <w:r>
        <w:rPr>
          <w:w w:val="105"/>
          <w:sz w:val="18"/>
        </w:rPr>
        <w:t>”) program comprised of time-based RSUs (50%) and performance-based stock options (50%); and</w:t>
      </w:r>
    </w:p>
    <w:p>
      <w:pPr>
        <w:pStyle w:val="ListParagraph"/>
        <w:numPr>
          <w:ilvl w:val="0"/>
          <w:numId w:val="24"/>
        </w:numPr>
        <w:tabs>
          <w:tab w:pos="1960" w:val="left" w:leader="none"/>
        </w:tabs>
        <w:spacing w:line="259" w:lineRule="auto" w:before="112" w:after="0"/>
        <w:ind w:left="1959" w:right="1504" w:hanging="187"/>
        <w:jc w:val="left"/>
        <w:rPr>
          <w:sz w:val="18"/>
        </w:rPr>
      </w:pPr>
      <w:r>
        <w:rPr>
          <w:w w:val="105"/>
          <w:sz w:val="18"/>
        </w:rPr>
        <w:t>an annual cash incentive plan that incorporated the financial measure of earnings before interest and</w:t>
      </w:r>
      <w:r>
        <w:rPr>
          <w:spacing w:val="40"/>
          <w:w w:val="105"/>
          <w:sz w:val="18"/>
        </w:rPr>
        <w:t> </w:t>
      </w:r>
      <w:r>
        <w:rPr>
          <w:w w:val="105"/>
          <w:sz w:val="18"/>
        </w:rPr>
        <w:t>taxes (“</w:t>
      </w:r>
      <w:r>
        <w:rPr>
          <w:b/>
          <w:w w:val="105"/>
          <w:sz w:val="18"/>
        </w:rPr>
        <w:t>EBIT</w:t>
      </w:r>
      <w:r>
        <w:rPr>
          <w:w w:val="105"/>
          <w:sz w:val="18"/>
        </w:rPr>
        <w:t>”) of the Company as well an assessment of pre-determined individual strategic goals.</w:t>
      </w:r>
    </w:p>
    <w:p>
      <w:pPr>
        <w:pStyle w:val="BodyText"/>
        <w:spacing w:line="242" w:lineRule="auto" w:before="154"/>
        <w:ind w:left="1400" w:right="1551" w:firstLine="372"/>
      </w:pPr>
      <w:r>
        <w:rPr>
          <w:w w:val="105"/>
        </w:rPr>
        <w:t>The Compensation Committee believes this program incentivizes the NEOs to manage the business and take actions that will increase the market valuation of the Company over the long term.</w:t>
      </w:r>
    </w:p>
    <w:p>
      <w:pPr>
        <w:pStyle w:val="BodyText"/>
        <w:spacing w:before="9"/>
        <w:rPr>
          <w:sz w:val="20"/>
        </w:rPr>
      </w:pPr>
    </w:p>
    <w:p>
      <w:pPr>
        <w:pStyle w:val="Heading2"/>
      </w:pPr>
      <w:bookmarkStart w:name="_TOC_250019" w:id="24"/>
      <w:r>
        <w:rPr>
          <w:spacing w:val="-2"/>
        </w:rPr>
        <w:t>Business</w:t>
      </w:r>
      <w:r>
        <w:rPr>
          <w:spacing w:val="1"/>
        </w:rPr>
        <w:t> </w:t>
      </w:r>
      <w:bookmarkEnd w:id="24"/>
      <w:r>
        <w:rPr>
          <w:spacing w:val="-2"/>
        </w:rPr>
        <w:t>Highlights</w:t>
      </w:r>
    </w:p>
    <w:p>
      <w:pPr>
        <w:pStyle w:val="BodyText"/>
        <w:spacing w:line="249" w:lineRule="auto" w:before="157"/>
        <w:ind w:left="1400" w:right="1680" w:firstLine="372"/>
      </w:pPr>
      <w:r>
        <w:rPr>
          <w:w w:val="105"/>
        </w:rPr>
        <w:t>Fiscal year 2022 was another successful year for Varex, despite continued supply chain challenges and</w:t>
      </w:r>
      <w:r>
        <w:rPr>
          <w:spacing w:val="80"/>
          <w:w w:val="105"/>
        </w:rPr>
        <w:t> </w:t>
      </w:r>
      <w:r>
        <w:rPr>
          <w:w w:val="105"/>
        </w:rPr>
        <w:t>an inflationary environment. The demand for many of our products remained strong, but we continued to experience logistic, supply chain and manufacturing challenges. Our internal supply chain diversification</w:t>
      </w:r>
      <w:r>
        <w:rPr>
          <w:spacing w:val="40"/>
          <w:w w:val="105"/>
        </w:rPr>
        <w:t> </w:t>
      </w:r>
      <w:r>
        <w:rPr>
          <w:w w:val="105"/>
        </w:rPr>
        <w:t>initiatives helped us convert more orders to sales during the year.</w:t>
      </w:r>
    </w:p>
    <w:p>
      <w:pPr>
        <w:spacing w:before="145"/>
        <w:ind w:left="1772" w:right="0" w:firstLine="0"/>
        <w:jc w:val="left"/>
        <w:rPr>
          <w:sz w:val="18"/>
        </w:rPr>
      </w:pPr>
      <w:r>
        <w:rPr>
          <w:b/>
          <w:w w:val="105"/>
          <w:sz w:val="18"/>
        </w:rPr>
        <w:t>Financial</w:t>
      </w:r>
      <w:r>
        <w:rPr>
          <w:b/>
          <w:spacing w:val="-12"/>
          <w:w w:val="105"/>
          <w:sz w:val="18"/>
        </w:rPr>
        <w:t> </w:t>
      </w:r>
      <w:r>
        <w:rPr>
          <w:b/>
          <w:w w:val="105"/>
          <w:sz w:val="18"/>
        </w:rPr>
        <w:t>Results</w:t>
      </w:r>
      <w:r>
        <w:rPr>
          <w:w w:val="105"/>
          <w:sz w:val="18"/>
        </w:rPr>
        <w:t>.</w:t>
      </w:r>
      <w:r>
        <w:rPr>
          <w:spacing w:val="72"/>
          <w:w w:val="150"/>
          <w:sz w:val="18"/>
        </w:rPr>
        <w:t> </w:t>
      </w:r>
      <w:r>
        <w:rPr>
          <w:w w:val="105"/>
          <w:sz w:val="18"/>
        </w:rPr>
        <w:t>Our</w:t>
      </w:r>
      <w:r>
        <w:rPr>
          <w:spacing w:val="2"/>
          <w:w w:val="105"/>
          <w:sz w:val="18"/>
        </w:rPr>
        <w:t> </w:t>
      </w:r>
      <w:r>
        <w:rPr>
          <w:w w:val="105"/>
          <w:sz w:val="18"/>
        </w:rPr>
        <w:t>financial</w:t>
      </w:r>
      <w:r>
        <w:rPr>
          <w:spacing w:val="2"/>
          <w:w w:val="105"/>
          <w:sz w:val="18"/>
        </w:rPr>
        <w:t> </w:t>
      </w:r>
      <w:r>
        <w:rPr>
          <w:w w:val="105"/>
          <w:sz w:val="18"/>
        </w:rPr>
        <w:t>results</w:t>
      </w:r>
      <w:r>
        <w:rPr>
          <w:spacing w:val="1"/>
          <w:w w:val="105"/>
          <w:sz w:val="18"/>
        </w:rPr>
        <w:t> </w:t>
      </w:r>
      <w:r>
        <w:rPr>
          <w:w w:val="105"/>
          <w:sz w:val="18"/>
        </w:rPr>
        <w:t>for</w:t>
      </w:r>
      <w:r>
        <w:rPr>
          <w:spacing w:val="2"/>
          <w:w w:val="105"/>
          <w:sz w:val="18"/>
        </w:rPr>
        <w:t> </w:t>
      </w:r>
      <w:r>
        <w:rPr>
          <w:w w:val="105"/>
          <w:sz w:val="18"/>
        </w:rPr>
        <w:t>fiscal</w:t>
      </w:r>
      <w:r>
        <w:rPr>
          <w:spacing w:val="2"/>
          <w:w w:val="105"/>
          <w:sz w:val="18"/>
        </w:rPr>
        <w:t> </w:t>
      </w:r>
      <w:r>
        <w:rPr>
          <w:w w:val="105"/>
          <w:sz w:val="18"/>
        </w:rPr>
        <w:t>year</w:t>
      </w:r>
      <w:r>
        <w:rPr>
          <w:spacing w:val="2"/>
          <w:w w:val="105"/>
          <w:sz w:val="18"/>
        </w:rPr>
        <w:t> </w:t>
      </w:r>
      <w:r>
        <w:rPr>
          <w:w w:val="105"/>
          <w:sz w:val="18"/>
        </w:rPr>
        <w:t>2022</w:t>
      </w:r>
      <w:r>
        <w:rPr>
          <w:spacing w:val="2"/>
          <w:w w:val="105"/>
          <w:sz w:val="18"/>
        </w:rPr>
        <w:t> </w:t>
      </w:r>
      <w:r>
        <w:rPr>
          <w:spacing w:val="-2"/>
          <w:w w:val="105"/>
          <w:sz w:val="18"/>
        </w:rPr>
        <w:t>included:</w:t>
      </w:r>
    </w:p>
    <w:p>
      <w:pPr>
        <w:pStyle w:val="ListParagraph"/>
        <w:numPr>
          <w:ilvl w:val="0"/>
          <w:numId w:val="24"/>
        </w:numPr>
        <w:tabs>
          <w:tab w:pos="1960" w:val="left" w:leader="none"/>
        </w:tabs>
        <w:spacing w:line="259" w:lineRule="auto" w:before="129" w:after="0"/>
        <w:ind w:left="1959" w:right="1499" w:hanging="187"/>
        <w:jc w:val="left"/>
        <w:rPr>
          <w:sz w:val="18"/>
        </w:rPr>
      </w:pPr>
      <w:r>
        <w:rPr>
          <w:w w:val="105"/>
          <w:sz w:val="18"/>
        </w:rPr>
        <w:t>Revenues increased to $859 million from $818 million in the prior year. Medical revenues increased</w:t>
      </w:r>
      <w:r>
        <w:rPr>
          <w:spacing w:val="80"/>
          <w:w w:val="105"/>
          <w:sz w:val="18"/>
        </w:rPr>
        <w:t> </w:t>
      </w:r>
      <w:r>
        <w:rPr>
          <w:w w:val="105"/>
          <w:sz w:val="18"/>
        </w:rPr>
        <w:t>by</w:t>
      </w:r>
      <w:r>
        <w:rPr>
          <w:spacing w:val="23"/>
          <w:w w:val="105"/>
          <w:sz w:val="18"/>
        </w:rPr>
        <w:t> </w:t>
      </w:r>
      <w:r>
        <w:rPr>
          <w:w w:val="105"/>
          <w:sz w:val="18"/>
        </w:rPr>
        <w:t>5%</w:t>
      </w:r>
      <w:r>
        <w:rPr>
          <w:spacing w:val="23"/>
          <w:w w:val="105"/>
          <w:sz w:val="18"/>
        </w:rPr>
        <w:t> </w:t>
      </w:r>
      <w:r>
        <w:rPr>
          <w:w w:val="105"/>
          <w:sz w:val="18"/>
        </w:rPr>
        <w:t>and</w:t>
      </w:r>
      <w:r>
        <w:rPr>
          <w:spacing w:val="23"/>
          <w:w w:val="105"/>
          <w:sz w:val="18"/>
        </w:rPr>
        <w:t> </w:t>
      </w:r>
      <w:r>
        <w:rPr>
          <w:w w:val="105"/>
          <w:sz w:val="18"/>
        </w:rPr>
        <w:t>Industrial</w:t>
      </w:r>
      <w:r>
        <w:rPr>
          <w:spacing w:val="23"/>
          <w:w w:val="105"/>
          <w:sz w:val="18"/>
        </w:rPr>
        <w:t> </w:t>
      </w:r>
      <w:r>
        <w:rPr>
          <w:w w:val="105"/>
          <w:sz w:val="18"/>
        </w:rPr>
        <w:t>revenues</w:t>
      </w:r>
      <w:r>
        <w:rPr>
          <w:spacing w:val="23"/>
          <w:w w:val="105"/>
          <w:sz w:val="18"/>
        </w:rPr>
        <w:t> </w:t>
      </w:r>
      <w:r>
        <w:rPr>
          <w:w w:val="105"/>
          <w:sz w:val="18"/>
        </w:rPr>
        <w:t>increased</w:t>
      </w:r>
      <w:r>
        <w:rPr>
          <w:spacing w:val="23"/>
          <w:w w:val="105"/>
          <w:sz w:val="18"/>
        </w:rPr>
        <w:t> </w:t>
      </w:r>
      <w:r>
        <w:rPr>
          <w:w w:val="105"/>
          <w:sz w:val="18"/>
        </w:rPr>
        <w:t>by</w:t>
      </w:r>
      <w:r>
        <w:rPr>
          <w:spacing w:val="23"/>
          <w:w w:val="105"/>
          <w:sz w:val="18"/>
        </w:rPr>
        <w:t> </w:t>
      </w:r>
      <w:r>
        <w:rPr>
          <w:w w:val="105"/>
          <w:sz w:val="18"/>
        </w:rPr>
        <w:t>6%</w:t>
      </w:r>
      <w:r>
        <w:rPr>
          <w:spacing w:val="23"/>
          <w:w w:val="105"/>
          <w:sz w:val="18"/>
        </w:rPr>
        <w:t> </w:t>
      </w:r>
      <w:r>
        <w:rPr>
          <w:w w:val="105"/>
          <w:sz w:val="18"/>
        </w:rPr>
        <w:t>from</w:t>
      </w:r>
      <w:r>
        <w:rPr>
          <w:spacing w:val="23"/>
          <w:w w:val="105"/>
          <w:sz w:val="18"/>
        </w:rPr>
        <w:t> </w:t>
      </w:r>
      <w:r>
        <w:rPr>
          <w:w w:val="105"/>
          <w:sz w:val="18"/>
        </w:rPr>
        <w:t>the</w:t>
      </w:r>
      <w:r>
        <w:rPr>
          <w:spacing w:val="23"/>
          <w:w w:val="105"/>
          <w:sz w:val="18"/>
        </w:rPr>
        <w:t> </w:t>
      </w:r>
      <w:r>
        <w:rPr>
          <w:w w:val="105"/>
          <w:sz w:val="18"/>
        </w:rPr>
        <w:t>prior</w:t>
      </w:r>
      <w:r>
        <w:rPr>
          <w:spacing w:val="23"/>
          <w:w w:val="105"/>
          <w:sz w:val="18"/>
        </w:rPr>
        <w:t> </w:t>
      </w:r>
      <w:r>
        <w:rPr>
          <w:w w:val="105"/>
          <w:sz w:val="18"/>
        </w:rPr>
        <w:t>year.</w:t>
      </w:r>
      <w:r>
        <w:rPr>
          <w:spacing w:val="18"/>
          <w:w w:val="105"/>
          <w:sz w:val="18"/>
        </w:rPr>
        <w:t> </w:t>
      </w:r>
      <w:r>
        <w:rPr>
          <w:w w:val="105"/>
          <w:sz w:val="18"/>
        </w:rPr>
        <w:t>The</w:t>
      </w:r>
      <w:r>
        <w:rPr>
          <w:spacing w:val="23"/>
          <w:w w:val="105"/>
          <w:sz w:val="18"/>
        </w:rPr>
        <w:t> </w:t>
      </w:r>
      <w:r>
        <w:rPr>
          <w:w w:val="105"/>
          <w:sz w:val="18"/>
        </w:rPr>
        <w:t>Medical</w:t>
      </w:r>
      <w:r>
        <w:rPr>
          <w:spacing w:val="23"/>
          <w:w w:val="105"/>
          <w:sz w:val="18"/>
        </w:rPr>
        <w:t> </w:t>
      </w:r>
      <w:r>
        <w:rPr>
          <w:w w:val="105"/>
          <w:sz w:val="18"/>
        </w:rPr>
        <w:t>segment represented 79% of total company revenues and the Industrial segment represented 21%.</w:t>
      </w:r>
    </w:p>
    <w:p>
      <w:pPr>
        <w:pStyle w:val="ListParagraph"/>
        <w:numPr>
          <w:ilvl w:val="0"/>
          <w:numId w:val="24"/>
        </w:numPr>
        <w:tabs>
          <w:tab w:pos="1960" w:val="left" w:leader="none"/>
        </w:tabs>
        <w:spacing w:line="259" w:lineRule="auto" w:before="112" w:after="0"/>
        <w:ind w:left="1959" w:right="1624" w:hanging="187"/>
        <w:jc w:val="left"/>
        <w:rPr>
          <w:sz w:val="18"/>
        </w:rPr>
      </w:pPr>
      <w:r>
        <w:rPr>
          <w:w w:val="105"/>
          <w:sz w:val="18"/>
        </w:rPr>
        <w:t>Year-over-year, we experienced robust sales from CT products, as well as strong growth in other products for other medical modalities, including mammography, oncology, fluoroscopy, dental and radiography. Industrial product sales saw strong demand for digital detectors for non-destructive inspection in several of our industrial verticals, including battery inspection, while demand for imaging products for security screening at ports and borders, started to show improvement.</w:t>
      </w:r>
    </w:p>
    <w:p>
      <w:pPr>
        <w:pStyle w:val="ListParagraph"/>
        <w:numPr>
          <w:ilvl w:val="0"/>
          <w:numId w:val="24"/>
        </w:numPr>
        <w:tabs>
          <w:tab w:pos="1960" w:val="left" w:leader="none"/>
        </w:tabs>
        <w:spacing w:line="240" w:lineRule="auto" w:before="113" w:after="0"/>
        <w:ind w:left="1959" w:right="0" w:hanging="188"/>
        <w:jc w:val="left"/>
        <w:rPr>
          <w:sz w:val="18"/>
        </w:rPr>
      </w:pPr>
      <w:r>
        <w:rPr>
          <w:w w:val="105"/>
          <w:sz w:val="18"/>
        </w:rPr>
        <w:t>For</w:t>
      </w:r>
      <w:r>
        <w:rPr>
          <w:spacing w:val="9"/>
          <w:w w:val="105"/>
          <w:sz w:val="18"/>
        </w:rPr>
        <w:t> </w:t>
      </w:r>
      <w:r>
        <w:rPr>
          <w:w w:val="105"/>
          <w:sz w:val="18"/>
        </w:rPr>
        <w:t>fiscal</w:t>
      </w:r>
      <w:r>
        <w:rPr>
          <w:spacing w:val="10"/>
          <w:w w:val="105"/>
          <w:sz w:val="18"/>
        </w:rPr>
        <w:t> </w:t>
      </w:r>
      <w:r>
        <w:rPr>
          <w:w w:val="105"/>
          <w:sz w:val="18"/>
        </w:rPr>
        <w:t>year</w:t>
      </w:r>
      <w:r>
        <w:rPr>
          <w:spacing w:val="10"/>
          <w:w w:val="105"/>
          <w:sz w:val="18"/>
        </w:rPr>
        <w:t> </w:t>
      </w:r>
      <w:r>
        <w:rPr>
          <w:w w:val="105"/>
          <w:sz w:val="18"/>
        </w:rPr>
        <w:t>2022,</w:t>
      </w:r>
      <w:r>
        <w:rPr>
          <w:spacing w:val="10"/>
          <w:w w:val="105"/>
          <w:sz w:val="18"/>
        </w:rPr>
        <w:t> </w:t>
      </w:r>
      <w:r>
        <w:rPr>
          <w:w w:val="105"/>
          <w:sz w:val="18"/>
        </w:rPr>
        <w:t>we</w:t>
      </w:r>
      <w:r>
        <w:rPr>
          <w:spacing w:val="9"/>
          <w:w w:val="105"/>
          <w:sz w:val="18"/>
        </w:rPr>
        <w:t> </w:t>
      </w:r>
      <w:r>
        <w:rPr>
          <w:w w:val="105"/>
          <w:sz w:val="18"/>
        </w:rPr>
        <w:t>had</w:t>
      </w:r>
      <w:r>
        <w:rPr>
          <w:spacing w:val="10"/>
          <w:w w:val="105"/>
          <w:sz w:val="18"/>
        </w:rPr>
        <w:t> </w:t>
      </w:r>
      <w:r>
        <w:rPr>
          <w:w w:val="105"/>
          <w:sz w:val="18"/>
        </w:rPr>
        <w:t>GAAP</w:t>
      </w:r>
      <w:r>
        <w:rPr>
          <w:spacing w:val="2"/>
          <w:w w:val="105"/>
          <w:sz w:val="18"/>
        </w:rPr>
        <w:t> </w:t>
      </w:r>
      <w:r>
        <w:rPr>
          <w:w w:val="105"/>
          <w:sz w:val="18"/>
        </w:rPr>
        <w:t>net</w:t>
      </w:r>
      <w:r>
        <w:rPr>
          <w:spacing w:val="10"/>
          <w:w w:val="105"/>
          <w:sz w:val="18"/>
        </w:rPr>
        <w:t> </w:t>
      </w:r>
      <w:r>
        <w:rPr>
          <w:w w:val="105"/>
          <w:sz w:val="18"/>
        </w:rPr>
        <w:t>earnings</w:t>
      </w:r>
      <w:r>
        <w:rPr>
          <w:spacing w:val="10"/>
          <w:w w:val="105"/>
          <w:sz w:val="18"/>
        </w:rPr>
        <w:t> </w:t>
      </w:r>
      <w:r>
        <w:rPr>
          <w:w w:val="105"/>
          <w:sz w:val="18"/>
        </w:rPr>
        <w:t>of</w:t>
      </w:r>
      <w:r>
        <w:rPr>
          <w:spacing w:val="10"/>
          <w:w w:val="105"/>
          <w:sz w:val="18"/>
        </w:rPr>
        <w:t> </w:t>
      </w:r>
      <w:r>
        <w:rPr>
          <w:w w:val="105"/>
          <w:sz w:val="18"/>
        </w:rPr>
        <w:t>$30</w:t>
      </w:r>
      <w:r>
        <w:rPr>
          <w:spacing w:val="9"/>
          <w:w w:val="105"/>
          <w:sz w:val="18"/>
        </w:rPr>
        <w:t> </w:t>
      </w:r>
      <w:r>
        <w:rPr>
          <w:w w:val="105"/>
          <w:sz w:val="18"/>
        </w:rPr>
        <w:t>million,</w:t>
      </w:r>
      <w:r>
        <w:rPr>
          <w:spacing w:val="10"/>
          <w:w w:val="105"/>
          <w:sz w:val="18"/>
        </w:rPr>
        <w:t> </w:t>
      </w:r>
      <w:r>
        <w:rPr>
          <w:w w:val="105"/>
          <w:sz w:val="18"/>
        </w:rPr>
        <w:t>or</w:t>
      </w:r>
      <w:r>
        <w:rPr>
          <w:spacing w:val="10"/>
          <w:w w:val="105"/>
          <w:sz w:val="18"/>
        </w:rPr>
        <w:t> </w:t>
      </w:r>
      <w:r>
        <w:rPr>
          <w:w w:val="105"/>
          <w:sz w:val="18"/>
        </w:rPr>
        <w:t>$0.73</w:t>
      </w:r>
      <w:r>
        <w:rPr>
          <w:spacing w:val="10"/>
          <w:w w:val="105"/>
          <w:sz w:val="18"/>
        </w:rPr>
        <w:t> </w:t>
      </w:r>
      <w:r>
        <w:rPr>
          <w:w w:val="105"/>
          <w:sz w:val="18"/>
        </w:rPr>
        <w:t>per</w:t>
      </w:r>
      <w:r>
        <w:rPr>
          <w:spacing w:val="9"/>
          <w:w w:val="105"/>
          <w:sz w:val="18"/>
        </w:rPr>
        <w:t> </w:t>
      </w:r>
      <w:r>
        <w:rPr>
          <w:w w:val="105"/>
          <w:sz w:val="18"/>
        </w:rPr>
        <w:t>diluted</w:t>
      </w:r>
      <w:r>
        <w:rPr>
          <w:spacing w:val="10"/>
          <w:w w:val="105"/>
          <w:sz w:val="18"/>
        </w:rPr>
        <w:t> </w:t>
      </w:r>
      <w:r>
        <w:rPr>
          <w:spacing w:val="-2"/>
          <w:w w:val="105"/>
          <w:sz w:val="18"/>
        </w:rPr>
        <w:t>share.</w:t>
      </w:r>
    </w:p>
    <w:p>
      <w:pPr>
        <w:pStyle w:val="ListParagraph"/>
        <w:numPr>
          <w:ilvl w:val="0"/>
          <w:numId w:val="24"/>
        </w:numPr>
        <w:tabs>
          <w:tab w:pos="1960" w:val="left" w:leader="none"/>
        </w:tabs>
        <w:spacing w:line="259" w:lineRule="auto" w:before="128" w:after="0"/>
        <w:ind w:left="1959" w:right="1523" w:hanging="187"/>
        <w:jc w:val="left"/>
        <w:rPr>
          <w:sz w:val="18"/>
        </w:rPr>
      </w:pPr>
      <w:r>
        <w:rPr>
          <w:w w:val="105"/>
          <w:sz w:val="18"/>
        </w:rPr>
        <w:t>We ended fiscal year 2022 with cash and cash equivalents, marketable securities and certificates of deposit of $113 million. For the fiscal year, we had cash flow from operations of $17 million. Our</w:t>
      </w:r>
      <w:r>
        <w:rPr>
          <w:spacing w:val="80"/>
          <w:w w:val="105"/>
          <w:sz w:val="18"/>
        </w:rPr>
        <w:t> </w:t>
      </w:r>
      <w:r>
        <w:rPr>
          <w:w w:val="105"/>
          <w:sz w:val="18"/>
        </w:rPr>
        <w:t>total</w:t>
      </w:r>
      <w:r>
        <w:rPr>
          <w:spacing w:val="12"/>
          <w:w w:val="105"/>
          <w:sz w:val="18"/>
        </w:rPr>
        <w:t> </w:t>
      </w:r>
      <w:r>
        <w:rPr>
          <w:w w:val="105"/>
          <w:sz w:val="18"/>
        </w:rPr>
        <w:t>debt</w:t>
      </w:r>
      <w:r>
        <w:rPr>
          <w:spacing w:val="12"/>
          <w:w w:val="105"/>
          <w:sz w:val="18"/>
        </w:rPr>
        <w:t> </w:t>
      </w:r>
      <w:r>
        <w:rPr>
          <w:w w:val="105"/>
          <w:sz w:val="18"/>
        </w:rPr>
        <w:t>outstanding</w:t>
      </w:r>
      <w:r>
        <w:rPr>
          <w:spacing w:val="12"/>
          <w:w w:val="105"/>
          <w:sz w:val="18"/>
        </w:rPr>
        <w:t> </w:t>
      </w:r>
      <w:r>
        <w:rPr>
          <w:w w:val="105"/>
          <w:sz w:val="18"/>
        </w:rPr>
        <w:t>was</w:t>
      </w:r>
      <w:r>
        <w:rPr>
          <w:spacing w:val="12"/>
          <w:w w:val="105"/>
          <w:sz w:val="18"/>
        </w:rPr>
        <w:t> </w:t>
      </w:r>
      <w:r>
        <w:rPr>
          <w:w w:val="105"/>
          <w:sz w:val="18"/>
        </w:rPr>
        <w:t>$450</w:t>
      </w:r>
      <w:r>
        <w:rPr>
          <w:spacing w:val="12"/>
          <w:w w:val="105"/>
          <w:sz w:val="18"/>
        </w:rPr>
        <w:t> </w:t>
      </w:r>
      <w:r>
        <w:rPr>
          <w:w w:val="105"/>
          <w:sz w:val="18"/>
        </w:rPr>
        <w:t>million</w:t>
      </w:r>
      <w:r>
        <w:rPr>
          <w:spacing w:val="12"/>
          <w:w w:val="105"/>
          <w:sz w:val="18"/>
        </w:rPr>
        <w:t> </w:t>
      </w:r>
      <w:r>
        <w:rPr>
          <w:w w:val="105"/>
          <w:sz w:val="18"/>
        </w:rPr>
        <w:t>compared</w:t>
      </w:r>
      <w:r>
        <w:rPr>
          <w:spacing w:val="12"/>
          <w:w w:val="105"/>
          <w:sz w:val="18"/>
        </w:rPr>
        <w:t> </w:t>
      </w:r>
      <w:r>
        <w:rPr>
          <w:w w:val="105"/>
          <w:sz w:val="18"/>
        </w:rPr>
        <w:t>to</w:t>
      </w:r>
      <w:r>
        <w:rPr>
          <w:spacing w:val="12"/>
          <w:w w:val="105"/>
          <w:sz w:val="18"/>
        </w:rPr>
        <w:t> </w:t>
      </w:r>
      <w:r>
        <w:rPr>
          <w:w w:val="105"/>
          <w:sz w:val="18"/>
        </w:rPr>
        <w:t>$481</w:t>
      </w:r>
      <w:r>
        <w:rPr>
          <w:spacing w:val="12"/>
          <w:w w:val="105"/>
          <w:sz w:val="18"/>
        </w:rPr>
        <w:t> </w:t>
      </w:r>
      <w:r>
        <w:rPr>
          <w:w w:val="105"/>
          <w:sz w:val="18"/>
        </w:rPr>
        <w:t>million</w:t>
      </w:r>
      <w:r>
        <w:rPr>
          <w:spacing w:val="12"/>
          <w:w w:val="105"/>
          <w:sz w:val="18"/>
        </w:rPr>
        <w:t> </w:t>
      </w:r>
      <w:r>
        <w:rPr>
          <w:w w:val="105"/>
          <w:sz w:val="18"/>
        </w:rPr>
        <w:t>at</w:t>
      </w:r>
      <w:r>
        <w:rPr>
          <w:spacing w:val="12"/>
          <w:w w:val="105"/>
          <w:sz w:val="18"/>
        </w:rPr>
        <w:t> </w:t>
      </w:r>
      <w:r>
        <w:rPr>
          <w:w w:val="105"/>
          <w:sz w:val="18"/>
        </w:rPr>
        <w:t>the</w:t>
      </w:r>
      <w:r>
        <w:rPr>
          <w:spacing w:val="12"/>
          <w:w w:val="105"/>
          <w:sz w:val="18"/>
        </w:rPr>
        <w:t> </w:t>
      </w:r>
      <w:r>
        <w:rPr>
          <w:w w:val="105"/>
          <w:sz w:val="18"/>
        </w:rPr>
        <w:t>end</w:t>
      </w:r>
      <w:r>
        <w:rPr>
          <w:spacing w:val="12"/>
          <w:w w:val="105"/>
          <w:sz w:val="18"/>
        </w:rPr>
        <w:t> </w:t>
      </w:r>
      <w:r>
        <w:rPr>
          <w:w w:val="105"/>
          <w:sz w:val="18"/>
        </w:rPr>
        <w:t>of</w:t>
      </w:r>
      <w:r>
        <w:rPr>
          <w:spacing w:val="12"/>
          <w:w w:val="105"/>
          <w:sz w:val="18"/>
        </w:rPr>
        <w:t> </w:t>
      </w:r>
      <w:r>
        <w:rPr>
          <w:w w:val="105"/>
          <w:sz w:val="18"/>
        </w:rPr>
        <w:t>the</w:t>
      </w:r>
      <w:r>
        <w:rPr>
          <w:spacing w:val="12"/>
          <w:w w:val="105"/>
          <w:sz w:val="18"/>
        </w:rPr>
        <w:t> </w:t>
      </w:r>
      <w:r>
        <w:rPr>
          <w:w w:val="105"/>
          <w:sz w:val="18"/>
        </w:rPr>
        <w:t>prior</w:t>
      </w:r>
      <w:r>
        <w:rPr>
          <w:spacing w:val="12"/>
          <w:w w:val="105"/>
          <w:sz w:val="18"/>
        </w:rPr>
        <w:t> </w:t>
      </w:r>
      <w:r>
        <w:rPr>
          <w:w w:val="105"/>
          <w:sz w:val="18"/>
        </w:rPr>
        <w:t>fiscal</w:t>
      </w:r>
      <w:r>
        <w:rPr>
          <w:spacing w:val="12"/>
          <w:w w:val="105"/>
          <w:sz w:val="18"/>
        </w:rPr>
        <w:t> </w:t>
      </w:r>
      <w:r>
        <w:rPr>
          <w:w w:val="105"/>
          <w:sz w:val="18"/>
        </w:rPr>
        <w:t>year.</w:t>
      </w:r>
    </w:p>
    <w:p>
      <w:pPr>
        <w:pStyle w:val="BodyText"/>
        <w:spacing w:line="249" w:lineRule="auto" w:before="140"/>
        <w:ind w:left="1400" w:right="1551" w:firstLine="372"/>
      </w:pPr>
      <w:r>
        <w:rPr>
          <w:b/>
          <w:w w:val="105"/>
        </w:rPr>
        <w:t>Capital</w:t>
      </w:r>
      <w:r>
        <w:rPr>
          <w:b/>
          <w:spacing w:val="-2"/>
          <w:w w:val="105"/>
        </w:rPr>
        <w:t> </w:t>
      </w:r>
      <w:r>
        <w:rPr>
          <w:b/>
          <w:w w:val="105"/>
        </w:rPr>
        <w:t>Structure.</w:t>
      </w:r>
      <w:r>
        <w:rPr>
          <w:b/>
          <w:spacing w:val="80"/>
          <w:w w:val="105"/>
        </w:rPr>
        <w:t> </w:t>
      </w:r>
      <w:r>
        <w:rPr>
          <w:w w:val="105"/>
        </w:rPr>
        <w:t>During fiscal year 2022, we continued to lower our net leverage. This was accomplished through continued improvement in profitability, lower debt levels and good cash generation. During the second quarter of fiscal year 2022, we redeemed $27 million of our $300 million 7.875% senior</w:t>
      </w:r>
      <w:r>
        <w:rPr>
          <w:spacing w:val="40"/>
          <w:w w:val="105"/>
        </w:rPr>
        <w:t> </w:t>
      </w:r>
      <w:r>
        <w:rPr>
          <w:w w:val="105"/>
        </w:rPr>
        <w:t>secured notes due in 2027.</w:t>
      </w:r>
    </w:p>
    <w:p>
      <w:pPr>
        <w:pStyle w:val="BodyText"/>
        <w:spacing w:line="252" w:lineRule="auto" w:before="146"/>
        <w:ind w:left="1400" w:right="1551" w:firstLine="372"/>
      </w:pPr>
      <w:r>
        <w:rPr>
          <w:b/>
          <w:w w:val="105"/>
        </w:rPr>
        <w:t>China</w:t>
      </w:r>
      <w:r>
        <w:rPr>
          <w:w w:val="105"/>
        </w:rPr>
        <w:t>.</w:t>
      </w:r>
      <w:r>
        <w:rPr>
          <w:spacing w:val="80"/>
          <w:w w:val="105"/>
        </w:rPr>
        <w:t> </w:t>
      </w:r>
      <w:r>
        <w:rPr>
          <w:w w:val="105"/>
        </w:rPr>
        <w:t>China continued to be a strong market for us with sales of $140 million, growing over 25% compared to the prior year. In fiscal year 2022, the China market represented 16% of our total company</w:t>
      </w:r>
      <w:r>
        <w:rPr>
          <w:spacing w:val="40"/>
          <w:w w:val="105"/>
        </w:rPr>
        <w:t> </w:t>
      </w:r>
      <w:r>
        <w:rPr>
          <w:w w:val="105"/>
        </w:rPr>
        <w:t>revenues. Our local Chinese original equipment manufacturer (“</w:t>
      </w:r>
      <w:r>
        <w:rPr>
          <w:b/>
          <w:w w:val="105"/>
        </w:rPr>
        <w:t>OEM</w:t>
      </w:r>
      <w:r>
        <w:rPr>
          <w:w w:val="105"/>
        </w:rPr>
        <w:t>”) customers continued to successfully bring new CT systems to market. Strong sales of CT systems by local Chinese manufacturers led to a</w:t>
      </w:r>
      <w:r>
        <w:rPr>
          <w:spacing w:val="40"/>
          <w:w w:val="105"/>
        </w:rPr>
        <w:t> </w:t>
      </w:r>
      <w:r>
        <w:rPr>
          <w:w w:val="105"/>
        </w:rPr>
        <w:t>significant increase in the number of CT tubes that we shipped to China in fiscal year 2022.</w:t>
      </w:r>
    </w:p>
    <w:p>
      <w:pPr>
        <w:pStyle w:val="BodyText"/>
        <w:spacing w:line="259" w:lineRule="auto" w:before="129"/>
        <w:ind w:left="1400" w:right="1680" w:firstLine="372"/>
      </w:pPr>
      <w:r>
        <w:rPr>
          <w:b/>
          <w:w w:val="105"/>
        </w:rPr>
        <w:t>New</w:t>
      </w:r>
      <w:r>
        <w:rPr>
          <w:b/>
          <w:spacing w:val="-8"/>
          <w:w w:val="105"/>
        </w:rPr>
        <w:t> </w:t>
      </w:r>
      <w:r>
        <w:rPr>
          <w:b/>
          <w:w w:val="105"/>
        </w:rPr>
        <w:t>Products</w:t>
      </w:r>
      <w:r>
        <w:rPr>
          <w:w w:val="105"/>
        </w:rPr>
        <w:t>.</w:t>
      </w:r>
      <w:r>
        <w:rPr>
          <w:spacing w:val="80"/>
          <w:w w:val="105"/>
        </w:rPr>
        <w:t> </w:t>
      </w:r>
      <w:r>
        <w:rPr>
          <w:w w:val="105"/>
        </w:rPr>
        <w:t>Our R&amp;D teams were actively engaged with our customers during fiscal year 2022 with new product development efforts.</w:t>
      </w:r>
    </w:p>
    <w:p>
      <w:pPr>
        <w:pStyle w:val="ListParagraph"/>
        <w:numPr>
          <w:ilvl w:val="0"/>
          <w:numId w:val="24"/>
        </w:numPr>
        <w:tabs>
          <w:tab w:pos="1960" w:val="left" w:leader="none"/>
        </w:tabs>
        <w:spacing w:line="259" w:lineRule="auto" w:before="98" w:after="0"/>
        <w:ind w:left="1959" w:right="1552" w:hanging="187"/>
        <w:jc w:val="left"/>
        <w:rPr>
          <w:sz w:val="18"/>
        </w:rPr>
      </w:pPr>
      <w:r>
        <w:rPr>
          <w:w w:val="105"/>
          <w:sz w:val="18"/>
        </w:rPr>
        <w:t>During fiscal year 2022, we converted the majority of our radiographic customers to our LUMEN family</w:t>
      </w:r>
      <w:r>
        <w:rPr>
          <w:spacing w:val="15"/>
          <w:w w:val="105"/>
          <w:sz w:val="18"/>
        </w:rPr>
        <w:t> </w:t>
      </w:r>
      <w:r>
        <w:rPr>
          <w:w w:val="105"/>
          <w:sz w:val="18"/>
        </w:rPr>
        <w:t>of</w:t>
      </w:r>
      <w:r>
        <w:rPr>
          <w:spacing w:val="15"/>
          <w:w w:val="105"/>
          <w:sz w:val="18"/>
        </w:rPr>
        <w:t> </w:t>
      </w:r>
      <w:r>
        <w:rPr>
          <w:w w:val="105"/>
          <w:sz w:val="18"/>
        </w:rPr>
        <w:t>detectors. This</w:t>
      </w:r>
      <w:r>
        <w:rPr>
          <w:spacing w:val="15"/>
          <w:w w:val="105"/>
          <w:sz w:val="18"/>
        </w:rPr>
        <w:t> </w:t>
      </w:r>
      <w:r>
        <w:rPr>
          <w:w w:val="105"/>
          <w:sz w:val="18"/>
        </w:rPr>
        <w:t>detector</w:t>
      </w:r>
      <w:r>
        <w:rPr>
          <w:spacing w:val="15"/>
          <w:w w:val="105"/>
          <w:sz w:val="18"/>
        </w:rPr>
        <w:t> </w:t>
      </w:r>
      <w:r>
        <w:rPr>
          <w:w w:val="105"/>
          <w:sz w:val="18"/>
        </w:rPr>
        <w:t>is</w:t>
      </w:r>
      <w:r>
        <w:rPr>
          <w:spacing w:val="15"/>
          <w:w w:val="105"/>
          <w:sz w:val="18"/>
        </w:rPr>
        <w:t> </w:t>
      </w:r>
      <w:r>
        <w:rPr>
          <w:w w:val="105"/>
          <w:sz w:val="18"/>
        </w:rPr>
        <w:t>part</w:t>
      </w:r>
      <w:r>
        <w:rPr>
          <w:spacing w:val="15"/>
          <w:w w:val="105"/>
          <w:sz w:val="18"/>
        </w:rPr>
        <w:t> </w:t>
      </w:r>
      <w:r>
        <w:rPr>
          <w:w w:val="105"/>
          <w:sz w:val="18"/>
        </w:rPr>
        <w:t>of</w:t>
      </w:r>
      <w:r>
        <w:rPr>
          <w:spacing w:val="15"/>
          <w:w w:val="105"/>
          <w:sz w:val="18"/>
        </w:rPr>
        <w:t> </w:t>
      </w:r>
      <w:r>
        <w:rPr>
          <w:w w:val="105"/>
          <w:sz w:val="18"/>
        </w:rPr>
        <w:t>a</w:t>
      </w:r>
      <w:r>
        <w:rPr>
          <w:spacing w:val="15"/>
          <w:w w:val="105"/>
          <w:sz w:val="18"/>
        </w:rPr>
        <w:t> </w:t>
      </w:r>
      <w:r>
        <w:rPr>
          <w:w w:val="105"/>
          <w:sz w:val="18"/>
        </w:rPr>
        <w:t>new</w:t>
      </w:r>
      <w:r>
        <w:rPr>
          <w:spacing w:val="15"/>
          <w:w w:val="105"/>
          <w:sz w:val="18"/>
        </w:rPr>
        <w:t> </w:t>
      </w:r>
      <w:r>
        <w:rPr>
          <w:w w:val="105"/>
          <w:sz w:val="18"/>
        </w:rPr>
        <w:t>platform</w:t>
      </w:r>
      <w:r>
        <w:rPr>
          <w:spacing w:val="15"/>
          <w:w w:val="105"/>
          <w:sz w:val="18"/>
        </w:rPr>
        <w:t> </w:t>
      </w:r>
      <w:r>
        <w:rPr>
          <w:w w:val="105"/>
          <w:sz w:val="18"/>
        </w:rPr>
        <w:t>which</w:t>
      </w:r>
      <w:r>
        <w:rPr>
          <w:spacing w:val="15"/>
          <w:w w:val="105"/>
          <w:sz w:val="18"/>
        </w:rPr>
        <w:t> </w:t>
      </w:r>
      <w:r>
        <w:rPr>
          <w:w w:val="105"/>
          <w:sz w:val="18"/>
        </w:rPr>
        <w:t>offers</w:t>
      </w:r>
      <w:r>
        <w:rPr>
          <w:spacing w:val="15"/>
          <w:w w:val="105"/>
          <w:sz w:val="18"/>
        </w:rPr>
        <w:t> </w:t>
      </w:r>
      <w:r>
        <w:rPr>
          <w:w w:val="105"/>
          <w:sz w:val="18"/>
        </w:rPr>
        <w:t>other</w:t>
      </w:r>
      <w:r>
        <w:rPr>
          <w:spacing w:val="15"/>
          <w:w w:val="105"/>
          <w:sz w:val="18"/>
        </w:rPr>
        <w:t> </w:t>
      </w:r>
      <w:r>
        <w:rPr>
          <w:w w:val="105"/>
          <w:sz w:val="18"/>
        </w:rPr>
        <w:t>advanced</w:t>
      </w:r>
      <w:r>
        <w:rPr>
          <w:spacing w:val="15"/>
          <w:w w:val="105"/>
          <w:sz w:val="18"/>
        </w:rPr>
        <w:t> </w:t>
      </w:r>
      <w:r>
        <w:rPr>
          <w:w w:val="105"/>
          <w:sz w:val="18"/>
        </w:rPr>
        <w:t>capabilities </w:t>
      </w:r>
      <w:r>
        <w:rPr>
          <w:spacing w:val="-6"/>
          <w:w w:val="105"/>
          <w:sz w:val="18"/>
        </w:rPr>
        <w:t>as</w:t>
      </w:r>
    </w:p>
    <w:p>
      <w:pPr>
        <w:spacing w:after="0" w:line="259" w:lineRule="auto"/>
        <w:jc w:val="left"/>
        <w:rPr>
          <w:sz w:val="18"/>
        </w:rPr>
        <w:sectPr>
          <w:headerReference w:type="default" r:id="rId109"/>
          <w:footerReference w:type="default" r:id="rId110"/>
          <w:pgSz w:w="12240" w:h="15840"/>
          <w:pgMar w:header="529" w:footer="1120" w:top="720" w:bottom="1320" w:left="480" w:right="460"/>
        </w:sectPr>
      </w:pPr>
    </w:p>
    <w:p>
      <w:pPr>
        <w:pStyle w:val="BodyText"/>
        <w:rPr>
          <w:sz w:val="20"/>
        </w:rPr>
      </w:pPr>
      <w:r>
        <w:rPr/>
        <w:pict>
          <v:group style="position:absolute;margin-left:28.999998pt;margin-top:723.796265pt;width:555pt;height:1.4pt;mso-position-horizontal-relative:page;mso-position-vertical-relative:page;z-index:15761408" id="docshapegroup249" coordorigin="580,14476" coordsize="11100,28">
            <v:rect style="position:absolute;left:580;top:14475;width:11100;height:14" id="docshape250" filled="true" fillcolor="#999999" stroked="false">
              <v:fill type="solid"/>
            </v:rect>
            <v:shape style="position:absolute;left:579;top:14475;width:11100;height:28" id="docshape251" coordorigin="580,14476" coordsize="11100,28" path="m11680,14476l11666,14490,580,14490,580,14504,11666,14504,11680,14504,11680,14490,11680,14476xe" filled="true" fillcolor="#ededed" stroked="false">
              <v:path arrowok="t"/>
              <v:fill type="solid"/>
            </v:shape>
            <v:shape style="position:absolute;left:580;top:14475;width:14;height:28" id="docshape252" coordorigin="580,14476" coordsize="14,28" path="m580,14504l580,14476,594,14476,594,14490,580,14504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959" w:right="1429"/>
        <w:jc w:val="both"/>
      </w:pPr>
      <w:r>
        <w:rPr>
          <w:w w:val="105"/>
        </w:rPr>
        <w:t>well as increased durability and ease of use for end users. We were pleased that our dynamic detector platform AZURE continued to receive high interest from our customers, with a number of customers beginning to design AZURE into their systems and providing positive feedback.</w:t>
      </w:r>
    </w:p>
    <w:p>
      <w:pPr>
        <w:pStyle w:val="ListParagraph"/>
        <w:numPr>
          <w:ilvl w:val="0"/>
          <w:numId w:val="24"/>
        </w:numPr>
        <w:tabs>
          <w:tab w:pos="1960" w:val="left" w:leader="none"/>
        </w:tabs>
        <w:spacing w:line="259" w:lineRule="auto" w:before="113" w:after="0"/>
        <w:ind w:left="1959" w:right="1461" w:hanging="187"/>
        <w:jc w:val="left"/>
        <w:rPr>
          <w:sz w:val="18"/>
        </w:rPr>
      </w:pPr>
      <w:r>
        <w:rPr>
          <w:w w:val="105"/>
          <w:sz w:val="18"/>
        </w:rPr>
        <w:t>We continued to make progress with our nanotube technology. To further expand our position in nanotubes,</w:t>
      </w:r>
      <w:r>
        <w:rPr>
          <w:spacing w:val="26"/>
          <w:w w:val="105"/>
          <w:sz w:val="18"/>
        </w:rPr>
        <w:t> </w:t>
      </w:r>
      <w:r>
        <w:rPr>
          <w:w w:val="105"/>
          <w:sz w:val="18"/>
        </w:rPr>
        <w:t>on</w:t>
      </w:r>
      <w:r>
        <w:rPr>
          <w:spacing w:val="26"/>
          <w:w w:val="105"/>
          <w:sz w:val="18"/>
        </w:rPr>
        <w:t> </w:t>
      </w:r>
      <w:r>
        <w:rPr>
          <w:w w:val="105"/>
          <w:sz w:val="18"/>
        </w:rPr>
        <w:t>September</w:t>
      </w:r>
      <w:r>
        <w:rPr>
          <w:spacing w:val="26"/>
          <w:w w:val="105"/>
          <w:sz w:val="18"/>
        </w:rPr>
        <w:t> </w:t>
      </w:r>
      <w:r>
        <w:rPr>
          <w:w w:val="105"/>
          <w:sz w:val="18"/>
        </w:rPr>
        <w:t>19,</w:t>
      </w:r>
      <w:r>
        <w:rPr>
          <w:spacing w:val="26"/>
          <w:w w:val="105"/>
          <w:sz w:val="18"/>
        </w:rPr>
        <w:t> </w:t>
      </w:r>
      <w:r>
        <w:rPr>
          <w:w w:val="105"/>
          <w:sz w:val="18"/>
        </w:rPr>
        <w:t>2022,</w:t>
      </w:r>
      <w:r>
        <w:rPr>
          <w:spacing w:val="26"/>
          <w:w w:val="105"/>
          <w:sz w:val="18"/>
        </w:rPr>
        <w:t> </w:t>
      </w:r>
      <w:r>
        <w:rPr>
          <w:w w:val="105"/>
          <w:sz w:val="18"/>
        </w:rPr>
        <w:t>we</w:t>
      </w:r>
      <w:r>
        <w:rPr>
          <w:spacing w:val="26"/>
          <w:w w:val="105"/>
          <w:sz w:val="18"/>
        </w:rPr>
        <w:t> </w:t>
      </w:r>
      <w:r>
        <w:rPr>
          <w:w w:val="105"/>
          <w:sz w:val="18"/>
        </w:rPr>
        <w:t>entered</w:t>
      </w:r>
      <w:r>
        <w:rPr>
          <w:spacing w:val="26"/>
          <w:w w:val="105"/>
          <w:sz w:val="18"/>
        </w:rPr>
        <w:t> </w:t>
      </w:r>
      <w:r>
        <w:rPr>
          <w:w w:val="105"/>
          <w:sz w:val="18"/>
        </w:rPr>
        <w:t>into</w:t>
      </w:r>
      <w:r>
        <w:rPr>
          <w:spacing w:val="26"/>
          <w:w w:val="105"/>
          <w:sz w:val="18"/>
        </w:rPr>
        <w:t> </w:t>
      </w:r>
      <w:r>
        <w:rPr>
          <w:w w:val="105"/>
          <w:sz w:val="18"/>
        </w:rPr>
        <w:t>a</w:t>
      </w:r>
      <w:r>
        <w:rPr>
          <w:spacing w:val="26"/>
          <w:w w:val="105"/>
          <w:sz w:val="18"/>
        </w:rPr>
        <w:t> </w:t>
      </w:r>
      <w:r>
        <w:rPr>
          <w:w w:val="105"/>
          <w:sz w:val="18"/>
        </w:rPr>
        <w:t>technology</w:t>
      </w:r>
      <w:r>
        <w:rPr>
          <w:spacing w:val="26"/>
          <w:w w:val="105"/>
          <w:sz w:val="18"/>
        </w:rPr>
        <w:t> </w:t>
      </w:r>
      <w:r>
        <w:rPr>
          <w:w w:val="105"/>
          <w:sz w:val="18"/>
        </w:rPr>
        <w:t>collaboration</w:t>
      </w:r>
      <w:r>
        <w:rPr>
          <w:spacing w:val="26"/>
          <w:w w:val="105"/>
          <w:sz w:val="18"/>
        </w:rPr>
        <w:t> </w:t>
      </w:r>
      <w:r>
        <w:rPr>
          <w:w w:val="105"/>
          <w:sz w:val="18"/>
        </w:rPr>
        <w:t>with</w:t>
      </w:r>
      <w:r>
        <w:rPr>
          <w:spacing w:val="26"/>
          <w:w w:val="105"/>
          <w:sz w:val="18"/>
        </w:rPr>
        <w:t> </w:t>
      </w:r>
      <w:r>
        <w:rPr>
          <w:w w:val="105"/>
          <w:sz w:val="18"/>
        </w:rPr>
        <w:t>Micro-X,</w:t>
      </w:r>
      <w:r>
        <w:rPr>
          <w:spacing w:val="26"/>
          <w:w w:val="105"/>
          <w:sz w:val="18"/>
        </w:rPr>
        <w:t> </w:t>
      </w:r>
      <w:r>
        <w:rPr>
          <w:w w:val="105"/>
          <w:sz w:val="18"/>
        </w:rPr>
        <w:t>a leader in carbon nanotube-based X-ray systems for medical and security markets. We believe in the future importance of cold-cathode X-ray sources, and we are excited to invest in additional nanotube</w:t>
      </w:r>
      <w:r>
        <w:rPr>
          <w:spacing w:val="40"/>
          <w:w w:val="105"/>
          <w:sz w:val="18"/>
        </w:rPr>
        <w:t> </w:t>
      </w:r>
      <w:r>
        <w:rPr>
          <w:w w:val="105"/>
          <w:sz w:val="18"/>
        </w:rPr>
        <w:t>technology to diversify our portfolio of products.</w:t>
      </w:r>
    </w:p>
    <w:p>
      <w:pPr>
        <w:pStyle w:val="BodyText"/>
        <w:spacing w:before="11"/>
        <w:rPr>
          <w:sz w:val="10"/>
        </w:rPr>
      </w:pPr>
    </w:p>
    <w:p>
      <w:pPr>
        <w:pStyle w:val="Heading2"/>
        <w:spacing w:before="98"/>
      </w:pPr>
      <w:bookmarkStart w:name="_TOC_250018" w:id="25"/>
      <w:r>
        <w:rPr>
          <w:spacing w:val="-2"/>
        </w:rPr>
        <w:t>2022</w:t>
      </w:r>
      <w:r>
        <w:rPr>
          <w:spacing w:val="-1"/>
        </w:rPr>
        <w:t> </w:t>
      </w:r>
      <w:r>
        <w:rPr>
          <w:spacing w:val="-2"/>
        </w:rPr>
        <w:t>Say-on-Pay</w:t>
      </w:r>
      <w:r>
        <w:rPr>
          <w:spacing w:val="-13"/>
        </w:rPr>
        <w:t> </w:t>
      </w:r>
      <w:r>
        <w:rPr>
          <w:spacing w:val="-2"/>
        </w:rPr>
        <w:t>Advisory</w:t>
      </w:r>
      <w:r>
        <w:rPr>
          <w:spacing w:val="-5"/>
        </w:rPr>
        <w:t> </w:t>
      </w:r>
      <w:r>
        <w:rPr>
          <w:spacing w:val="-2"/>
        </w:rPr>
        <w:t>Vote</w:t>
      </w:r>
      <w:r>
        <w:rPr>
          <w:spacing w:val="-1"/>
        </w:rPr>
        <w:t> </w:t>
      </w:r>
      <w:r>
        <w:rPr>
          <w:spacing w:val="-2"/>
        </w:rPr>
        <w:t>on</w:t>
      </w:r>
      <w:r>
        <w:rPr>
          <w:spacing w:val="-1"/>
        </w:rPr>
        <w:t> </w:t>
      </w:r>
      <w:r>
        <w:rPr>
          <w:spacing w:val="-2"/>
        </w:rPr>
        <w:t>Executive</w:t>
      </w:r>
      <w:r>
        <w:rPr/>
        <w:t> </w:t>
      </w:r>
      <w:bookmarkEnd w:id="25"/>
      <w:r>
        <w:rPr>
          <w:spacing w:val="-2"/>
        </w:rPr>
        <w:t>Compensation</w:t>
      </w:r>
    </w:p>
    <w:p>
      <w:pPr>
        <w:pStyle w:val="BodyText"/>
        <w:spacing w:line="259" w:lineRule="auto" w:before="171"/>
        <w:ind w:left="1400" w:right="1461" w:firstLine="372"/>
      </w:pPr>
      <w:r>
        <w:rPr>
          <w:w w:val="105"/>
        </w:rPr>
        <w:t>At our 2022 Annual Meeting of Stockholders, approximately 95% of the votes cast for or against in the “say-on-pay”</w:t>
      </w:r>
      <w:r>
        <w:rPr>
          <w:spacing w:val="25"/>
          <w:w w:val="105"/>
        </w:rPr>
        <w:t> </w:t>
      </w:r>
      <w:r>
        <w:rPr>
          <w:w w:val="105"/>
        </w:rPr>
        <w:t>advisory</w:t>
      </w:r>
      <w:r>
        <w:rPr>
          <w:spacing w:val="25"/>
          <w:w w:val="105"/>
        </w:rPr>
        <w:t> </w:t>
      </w:r>
      <w:r>
        <w:rPr>
          <w:w w:val="105"/>
        </w:rPr>
        <w:t>vote</w:t>
      </w:r>
      <w:r>
        <w:rPr>
          <w:spacing w:val="25"/>
          <w:w w:val="105"/>
        </w:rPr>
        <w:t> </w:t>
      </w:r>
      <w:r>
        <w:rPr>
          <w:w w:val="105"/>
        </w:rPr>
        <w:t>were</w:t>
      </w:r>
      <w:r>
        <w:rPr>
          <w:spacing w:val="25"/>
          <w:w w:val="105"/>
        </w:rPr>
        <w:t> </w:t>
      </w:r>
      <w:r>
        <w:rPr>
          <w:w w:val="105"/>
        </w:rPr>
        <w:t>“FOR”</w:t>
      </w:r>
      <w:r>
        <w:rPr>
          <w:spacing w:val="25"/>
          <w:w w:val="105"/>
        </w:rPr>
        <w:t> </w:t>
      </w:r>
      <w:r>
        <w:rPr>
          <w:w w:val="105"/>
        </w:rPr>
        <w:t>approval</w:t>
      </w:r>
      <w:r>
        <w:rPr>
          <w:spacing w:val="25"/>
          <w:w w:val="105"/>
        </w:rPr>
        <w:t> </w:t>
      </w:r>
      <w:r>
        <w:rPr>
          <w:w w:val="105"/>
        </w:rPr>
        <w:t>of</w:t>
      </w:r>
      <w:r>
        <w:rPr>
          <w:spacing w:val="25"/>
          <w:w w:val="105"/>
        </w:rPr>
        <w:t> </w:t>
      </w:r>
      <w:r>
        <w:rPr>
          <w:w w:val="105"/>
        </w:rPr>
        <w:t>our</w:t>
      </w:r>
      <w:r>
        <w:rPr>
          <w:spacing w:val="25"/>
          <w:w w:val="105"/>
        </w:rPr>
        <w:t> </w:t>
      </w:r>
      <w:r>
        <w:rPr>
          <w:w w:val="105"/>
        </w:rPr>
        <w:t>proposal.</w:t>
      </w:r>
      <w:r>
        <w:rPr>
          <w:spacing w:val="19"/>
          <w:w w:val="105"/>
        </w:rPr>
        <w:t> </w:t>
      </w:r>
      <w:r>
        <w:rPr>
          <w:w w:val="105"/>
        </w:rPr>
        <w:t>We</w:t>
      </w:r>
      <w:r>
        <w:rPr>
          <w:spacing w:val="25"/>
          <w:w w:val="105"/>
        </w:rPr>
        <w:t> </w:t>
      </w:r>
      <w:r>
        <w:rPr>
          <w:w w:val="105"/>
        </w:rPr>
        <w:t>value</w:t>
      </w:r>
      <w:r>
        <w:rPr>
          <w:spacing w:val="25"/>
          <w:w w:val="105"/>
        </w:rPr>
        <w:t> </w:t>
      </w:r>
      <w:r>
        <w:rPr>
          <w:w w:val="105"/>
        </w:rPr>
        <w:t>this</w:t>
      </w:r>
      <w:r>
        <w:rPr>
          <w:spacing w:val="25"/>
          <w:w w:val="105"/>
        </w:rPr>
        <w:t> </w:t>
      </w:r>
      <w:r>
        <w:rPr>
          <w:w w:val="105"/>
        </w:rPr>
        <w:t>positive</w:t>
      </w:r>
      <w:r>
        <w:rPr>
          <w:spacing w:val="25"/>
          <w:w w:val="105"/>
        </w:rPr>
        <w:t> </w:t>
      </w:r>
      <w:r>
        <w:rPr>
          <w:w w:val="105"/>
        </w:rPr>
        <w:t>endorsement</w:t>
      </w:r>
      <w:r>
        <w:rPr>
          <w:spacing w:val="25"/>
          <w:w w:val="105"/>
        </w:rPr>
        <w:t> </w:t>
      </w:r>
      <w:r>
        <w:rPr>
          <w:w w:val="105"/>
        </w:rPr>
        <w:t>by our stockholders of our 2021 executive compensation policies and believe that the outcome signals our</w:t>
      </w:r>
      <w:r>
        <w:rPr>
          <w:spacing w:val="40"/>
          <w:w w:val="105"/>
        </w:rPr>
        <w:t> </w:t>
      </w:r>
      <w:r>
        <w:rPr>
          <w:w w:val="105"/>
        </w:rPr>
        <w:t>stockholders’ support of our compensation program. Consequently, based on these say-on-pay results, we continued our general approach to compensation for fiscal year 2022, including our pay for performance</w:t>
      </w:r>
      <w:r>
        <w:rPr>
          <w:spacing w:val="40"/>
          <w:w w:val="105"/>
        </w:rPr>
        <w:t> </w:t>
      </w:r>
      <w:r>
        <w:rPr>
          <w:w w:val="105"/>
        </w:rPr>
        <w:t>philosophy and our efforts to attract, retain, and motivate our NEOs.</w:t>
      </w:r>
    </w:p>
    <w:p>
      <w:pPr>
        <w:pStyle w:val="BodyText"/>
        <w:spacing w:before="5"/>
        <w:rPr>
          <w:sz w:val="19"/>
        </w:rPr>
      </w:pPr>
    </w:p>
    <w:p>
      <w:pPr>
        <w:pStyle w:val="Heading2"/>
        <w:spacing w:before="1"/>
      </w:pPr>
      <w:bookmarkStart w:name="_TOC_250017" w:id="26"/>
      <w:r>
        <w:rPr>
          <w:spacing w:val="-2"/>
        </w:rPr>
        <w:t>Philosophy</w:t>
      </w:r>
      <w:r>
        <w:rPr>
          <w:spacing w:val="2"/>
        </w:rPr>
        <w:t> </w:t>
      </w:r>
      <w:r>
        <w:rPr>
          <w:spacing w:val="-2"/>
        </w:rPr>
        <w:t>of</w:t>
      </w:r>
      <w:r>
        <w:rPr>
          <w:spacing w:val="3"/>
        </w:rPr>
        <w:t> </w:t>
      </w:r>
      <w:r>
        <w:rPr>
          <w:spacing w:val="-2"/>
        </w:rPr>
        <w:t>Our Executive</w:t>
      </w:r>
      <w:r>
        <w:rPr>
          <w:spacing w:val="3"/>
        </w:rPr>
        <w:t> </w:t>
      </w:r>
      <w:r>
        <w:rPr>
          <w:spacing w:val="-2"/>
        </w:rPr>
        <w:t>Compensation</w:t>
      </w:r>
      <w:r>
        <w:rPr>
          <w:spacing w:val="3"/>
        </w:rPr>
        <w:t> </w:t>
      </w:r>
      <w:bookmarkEnd w:id="26"/>
      <w:r>
        <w:rPr>
          <w:spacing w:val="-2"/>
        </w:rPr>
        <w:t>Programs</w:t>
      </w:r>
    </w:p>
    <w:p>
      <w:pPr>
        <w:pStyle w:val="BodyText"/>
        <w:spacing w:line="259" w:lineRule="auto" w:before="170"/>
        <w:ind w:left="1400" w:right="1551" w:firstLine="372"/>
      </w:pPr>
      <w:r>
        <w:rPr>
          <w:w w:val="105"/>
        </w:rPr>
        <w:t>The Compensation Committee believes that attracting, motivating, and retaining a team of high- performing executives is critical to advancing the interests of stockholders. To promote these objectives, the</w:t>
      </w:r>
      <w:r>
        <w:rPr>
          <w:spacing w:val="40"/>
          <w:w w:val="105"/>
        </w:rPr>
        <w:t> </w:t>
      </w:r>
      <w:r>
        <w:rPr>
          <w:w w:val="105"/>
        </w:rPr>
        <w:t>Compensation Committee is guided by the following principles in developing our executive compensation program and in making pay decisions:</w:t>
      </w:r>
    </w:p>
    <w:p>
      <w:pPr>
        <w:pStyle w:val="ListParagraph"/>
        <w:numPr>
          <w:ilvl w:val="0"/>
          <w:numId w:val="24"/>
        </w:numPr>
        <w:tabs>
          <w:tab w:pos="1960" w:val="left" w:leader="none"/>
        </w:tabs>
        <w:spacing w:line="259" w:lineRule="auto" w:before="112" w:after="0"/>
        <w:ind w:left="1959" w:right="1438" w:hanging="187"/>
        <w:jc w:val="left"/>
        <w:rPr>
          <w:sz w:val="18"/>
        </w:rPr>
      </w:pPr>
      <w:r>
        <w:rPr>
          <w:b/>
          <w:w w:val="105"/>
          <w:sz w:val="18"/>
        </w:rPr>
        <w:t>Key</w:t>
      </w:r>
      <w:r>
        <w:rPr>
          <w:b/>
          <w:spacing w:val="-11"/>
          <w:w w:val="105"/>
          <w:sz w:val="18"/>
        </w:rPr>
        <w:t> </w:t>
      </w:r>
      <w:r>
        <w:rPr>
          <w:b/>
          <w:w w:val="105"/>
          <w:sz w:val="18"/>
        </w:rPr>
        <w:t>Talent.</w:t>
      </w:r>
      <w:r>
        <w:rPr>
          <w:b/>
          <w:spacing w:val="80"/>
          <w:w w:val="105"/>
          <w:sz w:val="18"/>
        </w:rPr>
        <w:t> </w:t>
      </w:r>
      <w:r>
        <w:rPr>
          <w:w w:val="105"/>
          <w:sz w:val="18"/>
        </w:rPr>
        <w:t>The pay program should enable us to attract and retain individuals with the background, experience,</w:t>
      </w:r>
      <w:r>
        <w:rPr>
          <w:spacing w:val="29"/>
          <w:w w:val="105"/>
          <w:sz w:val="18"/>
        </w:rPr>
        <w:t> </w:t>
      </w:r>
      <w:r>
        <w:rPr>
          <w:w w:val="105"/>
          <w:sz w:val="18"/>
        </w:rPr>
        <w:t>and</w:t>
      </w:r>
      <w:r>
        <w:rPr>
          <w:spacing w:val="29"/>
          <w:w w:val="105"/>
          <w:sz w:val="18"/>
        </w:rPr>
        <w:t> </w:t>
      </w:r>
      <w:r>
        <w:rPr>
          <w:w w:val="105"/>
          <w:sz w:val="18"/>
        </w:rPr>
        <w:t>talent</w:t>
      </w:r>
      <w:r>
        <w:rPr>
          <w:spacing w:val="29"/>
          <w:w w:val="105"/>
          <w:sz w:val="18"/>
        </w:rPr>
        <w:t> </w:t>
      </w:r>
      <w:r>
        <w:rPr>
          <w:w w:val="105"/>
          <w:sz w:val="18"/>
        </w:rPr>
        <w:t>required</w:t>
      </w:r>
      <w:r>
        <w:rPr>
          <w:spacing w:val="29"/>
          <w:w w:val="105"/>
          <w:sz w:val="18"/>
        </w:rPr>
        <w:t> </w:t>
      </w:r>
      <w:r>
        <w:rPr>
          <w:w w:val="105"/>
          <w:sz w:val="18"/>
        </w:rPr>
        <w:t>to</w:t>
      </w:r>
      <w:r>
        <w:rPr>
          <w:spacing w:val="29"/>
          <w:w w:val="105"/>
          <w:sz w:val="18"/>
        </w:rPr>
        <w:t> </w:t>
      </w:r>
      <w:r>
        <w:rPr>
          <w:w w:val="105"/>
          <w:sz w:val="18"/>
        </w:rPr>
        <w:t>lead</w:t>
      </w:r>
      <w:r>
        <w:rPr>
          <w:spacing w:val="29"/>
          <w:w w:val="105"/>
          <w:sz w:val="18"/>
        </w:rPr>
        <w:t> </w:t>
      </w:r>
      <w:r>
        <w:rPr>
          <w:w w:val="105"/>
          <w:sz w:val="18"/>
        </w:rPr>
        <w:t>the</w:t>
      </w:r>
      <w:r>
        <w:rPr>
          <w:spacing w:val="29"/>
          <w:w w:val="105"/>
          <w:sz w:val="18"/>
        </w:rPr>
        <w:t> </w:t>
      </w:r>
      <w:r>
        <w:rPr>
          <w:w w:val="105"/>
          <w:sz w:val="18"/>
        </w:rPr>
        <w:t>development</w:t>
      </w:r>
      <w:r>
        <w:rPr>
          <w:spacing w:val="29"/>
          <w:w w:val="105"/>
          <w:sz w:val="18"/>
        </w:rPr>
        <w:t> </w:t>
      </w:r>
      <w:r>
        <w:rPr>
          <w:w w:val="105"/>
          <w:sz w:val="18"/>
        </w:rPr>
        <w:t>and</w:t>
      </w:r>
      <w:r>
        <w:rPr>
          <w:spacing w:val="29"/>
          <w:w w:val="105"/>
          <w:sz w:val="18"/>
        </w:rPr>
        <w:t> </w:t>
      </w:r>
      <w:r>
        <w:rPr>
          <w:w w:val="105"/>
          <w:sz w:val="18"/>
        </w:rPr>
        <w:t>successful</w:t>
      </w:r>
      <w:r>
        <w:rPr>
          <w:spacing w:val="29"/>
          <w:w w:val="105"/>
          <w:sz w:val="18"/>
        </w:rPr>
        <w:t> </w:t>
      </w:r>
      <w:r>
        <w:rPr>
          <w:w w:val="105"/>
          <w:sz w:val="18"/>
        </w:rPr>
        <w:t>implementation</w:t>
      </w:r>
      <w:r>
        <w:rPr>
          <w:spacing w:val="29"/>
          <w:w w:val="105"/>
          <w:sz w:val="18"/>
        </w:rPr>
        <w:t> </w:t>
      </w:r>
      <w:r>
        <w:rPr>
          <w:w w:val="105"/>
          <w:sz w:val="18"/>
        </w:rPr>
        <w:t>of</w:t>
      </w:r>
      <w:r>
        <w:rPr>
          <w:spacing w:val="29"/>
          <w:w w:val="105"/>
          <w:sz w:val="18"/>
        </w:rPr>
        <w:t> </w:t>
      </w:r>
      <w:r>
        <w:rPr>
          <w:w w:val="105"/>
          <w:sz w:val="18"/>
        </w:rPr>
        <w:t>our business strategy.</w:t>
      </w:r>
    </w:p>
    <w:p>
      <w:pPr>
        <w:pStyle w:val="ListParagraph"/>
        <w:numPr>
          <w:ilvl w:val="0"/>
          <w:numId w:val="24"/>
        </w:numPr>
        <w:tabs>
          <w:tab w:pos="1960" w:val="left" w:leader="none"/>
        </w:tabs>
        <w:spacing w:line="259" w:lineRule="auto" w:before="113" w:after="0"/>
        <w:ind w:left="1959" w:right="2324" w:hanging="187"/>
        <w:jc w:val="left"/>
        <w:rPr>
          <w:sz w:val="18"/>
        </w:rPr>
      </w:pPr>
      <w:r>
        <w:rPr>
          <w:b/>
          <w:w w:val="105"/>
          <w:sz w:val="18"/>
        </w:rPr>
        <w:t>Pay</w:t>
      </w:r>
      <w:r>
        <w:rPr>
          <w:b/>
          <w:spacing w:val="-9"/>
          <w:w w:val="105"/>
          <w:sz w:val="18"/>
        </w:rPr>
        <w:t> </w:t>
      </w:r>
      <w:r>
        <w:rPr>
          <w:b/>
          <w:w w:val="105"/>
          <w:sz w:val="18"/>
        </w:rPr>
        <w:t>for</w:t>
      </w:r>
      <w:r>
        <w:rPr>
          <w:b/>
          <w:spacing w:val="-13"/>
          <w:w w:val="105"/>
          <w:sz w:val="18"/>
        </w:rPr>
        <w:t> </w:t>
      </w:r>
      <w:r>
        <w:rPr>
          <w:b/>
          <w:w w:val="105"/>
          <w:sz w:val="18"/>
        </w:rPr>
        <w:t>Performance.</w:t>
      </w:r>
      <w:r>
        <w:rPr>
          <w:b/>
          <w:spacing w:val="80"/>
          <w:w w:val="105"/>
          <w:sz w:val="18"/>
        </w:rPr>
        <w:t> </w:t>
      </w:r>
      <w:r>
        <w:rPr>
          <w:w w:val="105"/>
          <w:sz w:val="18"/>
        </w:rPr>
        <w:t>A</w:t>
      </w:r>
      <w:r>
        <w:rPr>
          <w:spacing w:val="-5"/>
          <w:w w:val="105"/>
          <w:sz w:val="18"/>
        </w:rPr>
        <w:t> </w:t>
      </w:r>
      <w:r>
        <w:rPr>
          <w:w w:val="105"/>
          <w:sz w:val="18"/>
        </w:rPr>
        <w:t>significant proportion of total compensation should be at risk for achievement of annual operating and strategic goals and for long-term value creation for </w:t>
      </w:r>
      <w:r>
        <w:rPr>
          <w:spacing w:val="-2"/>
          <w:w w:val="105"/>
          <w:sz w:val="18"/>
        </w:rPr>
        <w:t>stockholders.</w:t>
      </w:r>
    </w:p>
    <w:p>
      <w:pPr>
        <w:pStyle w:val="ListParagraph"/>
        <w:numPr>
          <w:ilvl w:val="0"/>
          <w:numId w:val="24"/>
        </w:numPr>
        <w:tabs>
          <w:tab w:pos="1960" w:val="left" w:leader="none"/>
        </w:tabs>
        <w:spacing w:line="259" w:lineRule="auto" w:before="112" w:after="0"/>
        <w:ind w:left="1959" w:right="1533" w:hanging="187"/>
        <w:jc w:val="left"/>
        <w:rPr>
          <w:sz w:val="18"/>
        </w:rPr>
      </w:pPr>
      <w:r>
        <w:rPr>
          <w:b/>
          <w:w w:val="105"/>
          <w:sz w:val="18"/>
        </w:rPr>
        <w:t>Stockholder</w:t>
      </w:r>
      <w:r>
        <w:rPr>
          <w:b/>
          <w:spacing w:val="-23"/>
          <w:w w:val="105"/>
          <w:sz w:val="18"/>
        </w:rPr>
        <w:t> </w:t>
      </w:r>
      <w:r>
        <w:rPr>
          <w:b/>
          <w:w w:val="105"/>
          <w:sz w:val="18"/>
        </w:rPr>
        <w:t>Alignment.</w:t>
      </w:r>
      <w:r>
        <w:rPr>
          <w:b/>
          <w:spacing w:val="80"/>
          <w:w w:val="105"/>
          <w:sz w:val="18"/>
        </w:rPr>
        <w:t> </w:t>
      </w:r>
      <w:r>
        <w:rPr>
          <w:w w:val="105"/>
          <w:sz w:val="18"/>
        </w:rPr>
        <w:t>Long-term incentives should be awarded in the form of Company equity to directly align executive interests with those of stockholders.</w:t>
      </w:r>
    </w:p>
    <w:p>
      <w:pPr>
        <w:pStyle w:val="ListParagraph"/>
        <w:numPr>
          <w:ilvl w:val="0"/>
          <w:numId w:val="24"/>
        </w:numPr>
        <w:tabs>
          <w:tab w:pos="1960" w:val="left" w:leader="none"/>
        </w:tabs>
        <w:spacing w:line="259" w:lineRule="auto" w:before="112" w:after="0"/>
        <w:ind w:left="1959" w:right="1779" w:hanging="187"/>
        <w:jc w:val="left"/>
        <w:rPr>
          <w:sz w:val="18"/>
        </w:rPr>
      </w:pPr>
      <w:r>
        <w:rPr>
          <w:b/>
          <w:w w:val="105"/>
          <w:sz w:val="18"/>
        </w:rPr>
        <w:t>Long-term</w:t>
      </w:r>
      <w:r>
        <w:rPr>
          <w:b/>
          <w:spacing w:val="-12"/>
          <w:w w:val="105"/>
          <w:sz w:val="18"/>
        </w:rPr>
        <w:t> </w:t>
      </w:r>
      <w:r>
        <w:rPr>
          <w:b/>
          <w:w w:val="105"/>
          <w:sz w:val="18"/>
        </w:rPr>
        <w:t>Performance</w:t>
      </w:r>
      <w:r>
        <w:rPr>
          <w:b/>
          <w:spacing w:val="-12"/>
          <w:w w:val="105"/>
          <w:sz w:val="18"/>
        </w:rPr>
        <w:t> </w:t>
      </w:r>
      <w:r>
        <w:rPr>
          <w:b/>
          <w:w w:val="105"/>
          <w:sz w:val="18"/>
        </w:rPr>
        <w:t>Orientation.</w:t>
      </w:r>
      <w:r>
        <w:rPr>
          <w:b/>
          <w:spacing w:val="71"/>
          <w:w w:val="105"/>
          <w:sz w:val="18"/>
        </w:rPr>
        <w:t> </w:t>
      </w:r>
      <w:r>
        <w:rPr>
          <w:w w:val="105"/>
          <w:sz w:val="18"/>
        </w:rPr>
        <w:t>The</w:t>
      </w:r>
      <w:r>
        <w:rPr>
          <w:spacing w:val="-2"/>
          <w:w w:val="105"/>
          <w:sz w:val="18"/>
        </w:rPr>
        <w:t> </w:t>
      </w:r>
      <w:r>
        <w:rPr>
          <w:w w:val="105"/>
          <w:sz w:val="18"/>
        </w:rPr>
        <w:t>mix</w:t>
      </w:r>
      <w:r>
        <w:rPr>
          <w:spacing w:val="-2"/>
          <w:w w:val="105"/>
          <w:sz w:val="18"/>
        </w:rPr>
        <w:t> </w:t>
      </w:r>
      <w:r>
        <w:rPr>
          <w:w w:val="105"/>
          <w:sz w:val="18"/>
        </w:rPr>
        <w:t>of</w:t>
      </w:r>
      <w:r>
        <w:rPr>
          <w:spacing w:val="-2"/>
          <w:w w:val="105"/>
          <w:sz w:val="18"/>
        </w:rPr>
        <w:t> </w:t>
      </w:r>
      <w:r>
        <w:rPr>
          <w:w w:val="105"/>
          <w:sz w:val="18"/>
        </w:rPr>
        <w:t>incentives</w:t>
      </w:r>
      <w:r>
        <w:rPr>
          <w:spacing w:val="-2"/>
          <w:w w:val="105"/>
          <w:sz w:val="18"/>
        </w:rPr>
        <w:t> </w:t>
      </w:r>
      <w:r>
        <w:rPr>
          <w:w w:val="105"/>
          <w:sz w:val="18"/>
        </w:rPr>
        <w:t>should</w:t>
      </w:r>
      <w:r>
        <w:rPr>
          <w:spacing w:val="-2"/>
          <w:w w:val="105"/>
          <w:sz w:val="18"/>
        </w:rPr>
        <w:t> </w:t>
      </w:r>
      <w:r>
        <w:rPr>
          <w:w w:val="105"/>
          <w:sz w:val="18"/>
        </w:rPr>
        <w:t>place</w:t>
      </w:r>
      <w:r>
        <w:rPr>
          <w:spacing w:val="-2"/>
          <w:w w:val="105"/>
          <w:sz w:val="18"/>
        </w:rPr>
        <w:t> </w:t>
      </w:r>
      <w:r>
        <w:rPr>
          <w:w w:val="105"/>
          <w:sz w:val="18"/>
        </w:rPr>
        <w:t>emphasis</w:t>
      </w:r>
      <w:r>
        <w:rPr>
          <w:spacing w:val="-2"/>
          <w:w w:val="105"/>
          <w:sz w:val="18"/>
        </w:rPr>
        <w:t> </w:t>
      </w:r>
      <w:r>
        <w:rPr>
          <w:w w:val="105"/>
          <w:sz w:val="18"/>
        </w:rPr>
        <w:t>on</w:t>
      </w:r>
      <w:r>
        <w:rPr>
          <w:spacing w:val="-2"/>
          <w:w w:val="105"/>
          <w:sz w:val="18"/>
        </w:rPr>
        <w:t> </w:t>
      </w:r>
      <w:r>
        <w:rPr>
          <w:w w:val="105"/>
          <w:sz w:val="18"/>
        </w:rPr>
        <w:t>long-term sustainable growth and profitability in line with stockholder interests.</w:t>
      </w:r>
    </w:p>
    <w:p>
      <w:pPr>
        <w:pStyle w:val="ListParagraph"/>
        <w:numPr>
          <w:ilvl w:val="0"/>
          <w:numId w:val="24"/>
        </w:numPr>
        <w:tabs>
          <w:tab w:pos="1960" w:val="left" w:leader="none"/>
        </w:tabs>
        <w:spacing w:line="259" w:lineRule="auto" w:before="112" w:after="0"/>
        <w:ind w:left="1959" w:right="1419" w:hanging="187"/>
        <w:jc w:val="left"/>
        <w:rPr>
          <w:sz w:val="18"/>
        </w:rPr>
      </w:pPr>
      <w:r>
        <w:rPr>
          <w:b/>
          <w:w w:val="105"/>
          <w:sz w:val="18"/>
        </w:rPr>
        <w:t>Total</w:t>
      </w:r>
      <w:r>
        <w:rPr>
          <w:b/>
          <w:spacing w:val="-4"/>
          <w:w w:val="105"/>
          <w:sz w:val="18"/>
        </w:rPr>
        <w:t> </w:t>
      </w:r>
      <w:r>
        <w:rPr>
          <w:b/>
          <w:w w:val="105"/>
          <w:sz w:val="18"/>
        </w:rPr>
        <w:t>Compensation</w:t>
      </w:r>
      <w:r>
        <w:rPr>
          <w:b/>
          <w:spacing w:val="-4"/>
          <w:w w:val="105"/>
          <w:sz w:val="18"/>
        </w:rPr>
        <w:t> </w:t>
      </w:r>
      <w:r>
        <w:rPr>
          <w:b/>
          <w:w w:val="105"/>
          <w:sz w:val="18"/>
        </w:rPr>
        <w:t>Context.</w:t>
      </w:r>
      <w:r>
        <w:rPr>
          <w:b/>
          <w:spacing w:val="80"/>
          <w:w w:val="105"/>
          <w:sz w:val="18"/>
        </w:rPr>
        <w:t> </w:t>
      </w:r>
      <w:r>
        <w:rPr>
          <w:w w:val="105"/>
          <w:sz w:val="18"/>
        </w:rPr>
        <w:t>Pay decisions should be made in the context of total compensation relative to pay practices of competitors for key talent and in consideration of individual performance,</w:t>
      </w:r>
      <w:r>
        <w:rPr>
          <w:spacing w:val="40"/>
          <w:w w:val="105"/>
          <w:sz w:val="18"/>
        </w:rPr>
        <w:t> </w:t>
      </w:r>
      <w:r>
        <w:rPr>
          <w:w w:val="105"/>
          <w:sz w:val="18"/>
        </w:rPr>
        <w:t>experience, knowledge, and internal parity among peers.</w:t>
      </w:r>
    </w:p>
    <w:p>
      <w:pPr>
        <w:pStyle w:val="BodyText"/>
        <w:spacing w:line="259" w:lineRule="auto" w:before="140"/>
        <w:ind w:left="1400" w:right="1495" w:firstLine="372"/>
      </w:pPr>
      <w:r>
        <w:rPr>
          <w:w w:val="105"/>
        </w:rPr>
        <w:t>The Compensation Committee believes that our compensation programs should include short-term and long-term components, including cash and equity-based compensation, and should reward performance as measured</w:t>
      </w:r>
      <w:r>
        <w:rPr>
          <w:spacing w:val="29"/>
          <w:w w:val="105"/>
        </w:rPr>
        <w:t> </w:t>
      </w:r>
      <w:r>
        <w:rPr>
          <w:w w:val="105"/>
        </w:rPr>
        <w:t>against</w:t>
      </w:r>
      <w:r>
        <w:rPr>
          <w:spacing w:val="29"/>
          <w:w w:val="105"/>
        </w:rPr>
        <w:t> </w:t>
      </w:r>
      <w:r>
        <w:rPr>
          <w:w w:val="105"/>
        </w:rPr>
        <w:t>established</w:t>
      </w:r>
      <w:r>
        <w:rPr>
          <w:spacing w:val="29"/>
          <w:w w:val="105"/>
        </w:rPr>
        <w:t> </w:t>
      </w:r>
      <w:r>
        <w:rPr>
          <w:w w:val="105"/>
        </w:rPr>
        <w:t>goals</w:t>
      </w:r>
      <w:r>
        <w:rPr>
          <w:spacing w:val="29"/>
          <w:w w:val="105"/>
        </w:rPr>
        <w:t> </w:t>
      </w:r>
      <w:r>
        <w:rPr>
          <w:w w:val="105"/>
        </w:rPr>
        <w:t>and</w:t>
      </w:r>
      <w:r>
        <w:rPr>
          <w:spacing w:val="29"/>
          <w:w w:val="105"/>
        </w:rPr>
        <w:t> </w:t>
      </w:r>
      <w:r>
        <w:rPr>
          <w:w w:val="105"/>
        </w:rPr>
        <w:t>in</w:t>
      </w:r>
      <w:r>
        <w:rPr>
          <w:spacing w:val="29"/>
          <w:w w:val="105"/>
        </w:rPr>
        <w:t> </w:t>
      </w:r>
      <w:r>
        <w:rPr>
          <w:w w:val="105"/>
        </w:rPr>
        <w:t>terms</w:t>
      </w:r>
      <w:r>
        <w:rPr>
          <w:spacing w:val="29"/>
          <w:w w:val="105"/>
        </w:rPr>
        <w:t> </w:t>
      </w:r>
      <w:r>
        <w:rPr>
          <w:w w:val="105"/>
        </w:rPr>
        <w:t>of</w:t>
      </w:r>
      <w:r>
        <w:rPr>
          <w:spacing w:val="29"/>
          <w:w w:val="105"/>
        </w:rPr>
        <w:t> </w:t>
      </w:r>
      <w:r>
        <w:rPr>
          <w:w w:val="105"/>
        </w:rPr>
        <w:t>stockholder</w:t>
      </w:r>
      <w:r>
        <w:rPr>
          <w:spacing w:val="29"/>
          <w:w w:val="105"/>
        </w:rPr>
        <w:t> </w:t>
      </w:r>
      <w:r>
        <w:rPr>
          <w:w w:val="105"/>
        </w:rPr>
        <w:t>value</w:t>
      </w:r>
      <w:r>
        <w:rPr>
          <w:spacing w:val="29"/>
          <w:w w:val="105"/>
        </w:rPr>
        <w:t> </w:t>
      </w:r>
      <w:r>
        <w:rPr>
          <w:w w:val="105"/>
        </w:rPr>
        <w:t>creation.</w:t>
      </w:r>
      <w:r>
        <w:rPr>
          <w:spacing w:val="24"/>
          <w:w w:val="105"/>
        </w:rPr>
        <w:t> </w:t>
      </w:r>
      <w:r>
        <w:rPr>
          <w:w w:val="105"/>
        </w:rPr>
        <w:t>The</w:t>
      </w:r>
      <w:r>
        <w:rPr>
          <w:spacing w:val="29"/>
          <w:w w:val="105"/>
        </w:rPr>
        <w:t> </w:t>
      </w:r>
      <w:r>
        <w:rPr>
          <w:w w:val="105"/>
        </w:rPr>
        <w:t>Compensation Committee evaluates both performance and compensation to make sure that the compensation provided to executives remains competitive relative to compensation paid by companies of similar size operating in our</w:t>
      </w:r>
      <w:r>
        <w:rPr>
          <w:spacing w:val="40"/>
          <w:w w:val="105"/>
        </w:rPr>
        <w:t> </w:t>
      </w:r>
      <w:r>
        <w:rPr>
          <w:w w:val="105"/>
        </w:rPr>
        <w:t>industry, taking into account our relative performance and our own strategic goals. Our Compensation Committee</w:t>
      </w:r>
      <w:r>
        <w:rPr>
          <w:spacing w:val="28"/>
          <w:w w:val="105"/>
        </w:rPr>
        <w:t> </w:t>
      </w:r>
      <w:r>
        <w:rPr>
          <w:w w:val="105"/>
        </w:rPr>
        <w:t>considers</w:t>
      </w:r>
      <w:r>
        <w:rPr>
          <w:spacing w:val="28"/>
          <w:w w:val="105"/>
        </w:rPr>
        <w:t> </w:t>
      </w:r>
      <w:r>
        <w:rPr>
          <w:w w:val="105"/>
        </w:rPr>
        <w:t>the</w:t>
      </w:r>
      <w:r>
        <w:rPr>
          <w:spacing w:val="28"/>
          <w:w w:val="105"/>
        </w:rPr>
        <w:t> </w:t>
      </w:r>
      <w:r>
        <w:rPr>
          <w:w w:val="105"/>
        </w:rPr>
        <w:t>total</w:t>
      </w:r>
      <w:r>
        <w:rPr>
          <w:spacing w:val="28"/>
          <w:w w:val="105"/>
        </w:rPr>
        <w:t> </w:t>
      </w:r>
      <w:r>
        <w:rPr>
          <w:w w:val="105"/>
        </w:rPr>
        <w:t>current</w:t>
      </w:r>
      <w:r>
        <w:rPr>
          <w:spacing w:val="28"/>
          <w:w w:val="105"/>
        </w:rPr>
        <w:t> </w:t>
      </w:r>
      <w:r>
        <w:rPr>
          <w:w w:val="105"/>
        </w:rPr>
        <w:t>and</w:t>
      </w:r>
      <w:r>
        <w:rPr>
          <w:spacing w:val="28"/>
          <w:w w:val="105"/>
        </w:rPr>
        <w:t> </w:t>
      </w:r>
      <w:r>
        <w:rPr>
          <w:w w:val="105"/>
        </w:rPr>
        <w:t>potential</w:t>
      </w:r>
      <w:r>
        <w:rPr>
          <w:spacing w:val="28"/>
          <w:w w:val="105"/>
        </w:rPr>
        <w:t> </w:t>
      </w:r>
      <w:r>
        <w:rPr>
          <w:w w:val="105"/>
        </w:rPr>
        <w:t>long-term</w:t>
      </w:r>
      <w:r>
        <w:rPr>
          <w:spacing w:val="28"/>
          <w:w w:val="105"/>
        </w:rPr>
        <w:t> </w:t>
      </w:r>
      <w:r>
        <w:rPr>
          <w:w w:val="105"/>
        </w:rPr>
        <w:t>compensation</w:t>
      </w:r>
      <w:r>
        <w:rPr>
          <w:spacing w:val="28"/>
          <w:w w:val="105"/>
        </w:rPr>
        <w:t> </w:t>
      </w:r>
      <w:r>
        <w:rPr>
          <w:w w:val="105"/>
        </w:rPr>
        <w:t>of</w:t>
      </w:r>
      <w:r>
        <w:rPr>
          <w:spacing w:val="28"/>
          <w:w w:val="105"/>
        </w:rPr>
        <w:t> </w:t>
      </w:r>
      <w:r>
        <w:rPr>
          <w:w w:val="105"/>
        </w:rPr>
        <w:t>each</w:t>
      </w:r>
      <w:r>
        <w:rPr>
          <w:spacing w:val="28"/>
          <w:w w:val="105"/>
        </w:rPr>
        <w:t> </w:t>
      </w:r>
      <w:r>
        <w:rPr>
          <w:w w:val="105"/>
        </w:rPr>
        <w:t>of</w:t>
      </w:r>
      <w:r>
        <w:rPr>
          <w:spacing w:val="28"/>
          <w:w w:val="105"/>
        </w:rPr>
        <w:t> </w:t>
      </w:r>
      <w:r>
        <w:rPr>
          <w:w w:val="105"/>
        </w:rPr>
        <w:t>our</w:t>
      </w:r>
      <w:r>
        <w:rPr>
          <w:spacing w:val="28"/>
          <w:w w:val="105"/>
        </w:rPr>
        <w:t> </w:t>
      </w:r>
      <w:r>
        <w:rPr>
          <w:w w:val="105"/>
        </w:rPr>
        <w:t>executive officers</w:t>
      </w:r>
      <w:r>
        <w:rPr>
          <w:spacing w:val="26"/>
          <w:w w:val="105"/>
        </w:rPr>
        <w:t> </w:t>
      </w:r>
      <w:r>
        <w:rPr>
          <w:w w:val="105"/>
        </w:rPr>
        <w:t>in</w:t>
      </w:r>
      <w:r>
        <w:rPr>
          <w:spacing w:val="26"/>
          <w:w w:val="105"/>
        </w:rPr>
        <w:t> </w:t>
      </w:r>
      <w:r>
        <w:rPr>
          <w:w w:val="105"/>
        </w:rPr>
        <w:t>establishing</w:t>
      </w:r>
      <w:r>
        <w:rPr>
          <w:spacing w:val="26"/>
          <w:w w:val="105"/>
        </w:rPr>
        <w:t> </w:t>
      </w:r>
      <w:r>
        <w:rPr>
          <w:w w:val="105"/>
        </w:rPr>
        <w:t>each</w:t>
      </w:r>
      <w:r>
        <w:rPr>
          <w:spacing w:val="26"/>
          <w:w w:val="105"/>
        </w:rPr>
        <w:t> </w:t>
      </w:r>
      <w:r>
        <w:rPr>
          <w:w w:val="105"/>
        </w:rPr>
        <w:t>element</w:t>
      </w:r>
      <w:r>
        <w:rPr>
          <w:spacing w:val="26"/>
          <w:w w:val="105"/>
        </w:rPr>
        <w:t> </w:t>
      </w:r>
      <w:r>
        <w:rPr>
          <w:w w:val="105"/>
        </w:rPr>
        <w:t>of</w:t>
      </w:r>
      <w:r>
        <w:rPr>
          <w:spacing w:val="26"/>
          <w:w w:val="105"/>
        </w:rPr>
        <w:t> </w:t>
      </w:r>
      <w:r>
        <w:rPr>
          <w:w w:val="105"/>
        </w:rPr>
        <w:t>compensation</w:t>
      </w:r>
      <w:r>
        <w:rPr>
          <w:spacing w:val="26"/>
          <w:w w:val="105"/>
        </w:rPr>
        <w:t> </w:t>
      </w:r>
      <w:r>
        <w:rPr>
          <w:w w:val="105"/>
        </w:rPr>
        <w:t>but</w:t>
      </w:r>
      <w:r>
        <w:rPr>
          <w:spacing w:val="26"/>
          <w:w w:val="105"/>
        </w:rPr>
        <w:t> </w:t>
      </w:r>
      <w:r>
        <w:rPr>
          <w:w w:val="105"/>
        </w:rPr>
        <w:t>views</w:t>
      </w:r>
      <w:r>
        <w:rPr>
          <w:spacing w:val="26"/>
          <w:w w:val="105"/>
        </w:rPr>
        <w:t> </w:t>
      </w:r>
      <w:r>
        <w:rPr>
          <w:w w:val="105"/>
        </w:rPr>
        <w:t>each</w:t>
      </w:r>
      <w:r>
        <w:rPr>
          <w:spacing w:val="26"/>
          <w:w w:val="105"/>
        </w:rPr>
        <w:t> </w:t>
      </w:r>
      <w:r>
        <w:rPr>
          <w:w w:val="105"/>
        </w:rPr>
        <w:t>element</w:t>
      </w:r>
      <w:r>
        <w:rPr>
          <w:spacing w:val="26"/>
          <w:w w:val="105"/>
        </w:rPr>
        <w:t> </w:t>
      </w:r>
      <w:r>
        <w:rPr>
          <w:w w:val="105"/>
        </w:rPr>
        <w:t>as</w:t>
      </w:r>
      <w:r>
        <w:rPr>
          <w:spacing w:val="26"/>
          <w:w w:val="105"/>
        </w:rPr>
        <w:t> </w:t>
      </w:r>
      <w:r>
        <w:rPr>
          <w:w w:val="105"/>
        </w:rPr>
        <w:t>related</w:t>
      </w:r>
      <w:r>
        <w:rPr>
          <w:spacing w:val="26"/>
          <w:w w:val="105"/>
        </w:rPr>
        <w:t> </w:t>
      </w:r>
      <w:r>
        <w:rPr>
          <w:w w:val="105"/>
        </w:rPr>
        <w:t>but</w:t>
      </w:r>
      <w:r>
        <w:rPr>
          <w:spacing w:val="26"/>
          <w:w w:val="105"/>
        </w:rPr>
        <w:t> </w:t>
      </w:r>
      <w:r>
        <w:rPr>
          <w:w w:val="105"/>
        </w:rPr>
        <w:t>distinct.</w:t>
      </w:r>
    </w:p>
    <w:p>
      <w:pPr>
        <w:spacing w:after="0" w:line="259" w:lineRule="auto"/>
        <w:sectPr>
          <w:headerReference w:type="default" r:id="rId111"/>
          <w:footerReference w:type="default" r:id="rId112"/>
          <w:pgSz w:w="12240" w:h="15840"/>
          <w:pgMar w:header="529" w:footer="1791" w:top="720" w:bottom="1980" w:left="480" w:right="460"/>
        </w:sectPr>
      </w:pPr>
    </w:p>
    <w:p>
      <w:pPr>
        <w:pStyle w:val="BodyText"/>
        <w:rPr>
          <w:sz w:val="20"/>
        </w:rPr>
      </w:pPr>
    </w:p>
    <w:p>
      <w:pPr>
        <w:pStyle w:val="BodyText"/>
        <w:rPr>
          <w:sz w:val="20"/>
        </w:rPr>
      </w:pPr>
    </w:p>
    <w:p>
      <w:pPr>
        <w:pStyle w:val="BodyText"/>
        <w:spacing w:before="2"/>
        <w:rPr>
          <w:sz w:val="27"/>
        </w:rPr>
      </w:pPr>
    </w:p>
    <w:p>
      <w:pPr>
        <w:pStyle w:val="Heading2"/>
        <w:spacing w:before="98"/>
      </w:pPr>
      <w:bookmarkStart w:name="_TOC_250016" w:id="27"/>
      <w:r>
        <w:rPr>
          <w:spacing w:val="-2"/>
        </w:rPr>
        <w:t>Program</w:t>
      </w:r>
      <w:r>
        <w:rPr/>
        <w:t> </w:t>
      </w:r>
      <w:bookmarkEnd w:id="27"/>
      <w:r>
        <w:rPr>
          <w:spacing w:val="-2"/>
        </w:rPr>
        <w:t>Overview</w:t>
      </w:r>
    </w:p>
    <w:p>
      <w:pPr>
        <w:pStyle w:val="BodyText"/>
        <w:spacing w:line="259" w:lineRule="auto" w:before="171"/>
        <w:ind w:left="1400" w:right="1551" w:firstLine="372"/>
      </w:pPr>
      <w:r>
        <w:rPr>
          <w:w w:val="105"/>
        </w:rPr>
        <w:t>This Compensation Discussion and Analysis section focuses on the following executives who were our NEOs for fiscal year 2022:</w:t>
      </w:r>
    </w:p>
    <w:p>
      <w:pPr>
        <w:tabs>
          <w:tab w:pos="7690" w:val="left" w:leader="none"/>
        </w:tabs>
        <w:spacing w:before="154"/>
        <w:ind w:left="1400" w:right="0" w:firstLine="0"/>
        <w:jc w:val="left"/>
        <w:rPr>
          <w:b/>
          <w:sz w:val="15"/>
        </w:rPr>
      </w:pPr>
      <w:r>
        <w:rPr/>
        <w:pict>
          <v:rect style="position:absolute;margin-left:94.006287pt;margin-top:18.895086pt;width:206.901742pt;height:.698992pt;mso-position-horizontal-relative:page;mso-position-vertical-relative:paragraph;z-index:-15695360;mso-wrap-distance-left:0;mso-wrap-distance-right:0" id="docshape255" filled="true" fillcolor="#000000" stroked="false">
            <v:fill type="solid"/>
            <w10:wrap type="topAndBottom"/>
          </v:rect>
        </w:pict>
      </w:r>
      <w:r>
        <w:rPr/>
        <w:pict>
          <v:rect style="position:absolute;margin-left:312.091919pt;margin-top:18.895086pt;width:206.901742pt;height:.698992pt;mso-position-horizontal-relative:page;mso-position-vertical-relative:paragraph;z-index:-15694848;mso-wrap-distance-left:0;mso-wrap-distance-right:0" id="docshape256" filled="true" fillcolor="#000000" stroked="false">
            <v:fill type="solid"/>
            <w10:wrap type="topAndBottom"/>
          </v:rect>
        </w:pict>
      </w:r>
      <w:r>
        <w:rPr>
          <w:b/>
          <w:spacing w:val="-4"/>
          <w:sz w:val="15"/>
        </w:rPr>
        <w:t>Name</w:t>
      </w:r>
      <w:r>
        <w:rPr>
          <w:b/>
          <w:sz w:val="15"/>
        </w:rPr>
        <w:tab/>
      </w:r>
      <w:r>
        <w:rPr>
          <w:b/>
          <w:spacing w:val="-2"/>
          <w:sz w:val="15"/>
        </w:rPr>
        <w:t>Title</w:t>
      </w:r>
    </w:p>
    <w:p>
      <w:pPr>
        <w:pStyle w:val="BodyText"/>
        <w:tabs>
          <w:tab w:pos="5761" w:val="left" w:leader="none"/>
        </w:tabs>
        <w:spacing w:before="55"/>
        <w:ind w:left="1400"/>
      </w:pPr>
      <w:r>
        <w:rPr>
          <w:w w:val="105"/>
        </w:rPr>
        <w:t>Sunny</w:t>
      </w:r>
      <w:r>
        <w:rPr>
          <w:spacing w:val="8"/>
          <w:w w:val="105"/>
        </w:rPr>
        <w:t> </w:t>
      </w:r>
      <w:r>
        <w:rPr>
          <w:w w:val="105"/>
        </w:rPr>
        <w:t>S.</w:t>
      </w:r>
      <w:r>
        <w:rPr>
          <w:spacing w:val="8"/>
          <w:w w:val="105"/>
        </w:rPr>
        <w:t> </w:t>
      </w:r>
      <w:r>
        <w:rPr>
          <w:spacing w:val="-2"/>
          <w:w w:val="105"/>
        </w:rPr>
        <w:t>Sanyal</w:t>
      </w:r>
      <w:r>
        <w:rPr/>
        <w:tab/>
      </w:r>
      <w:r>
        <w:rPr>
          <w:w w:val="105"/>
        </w:rPr>
        <w:t>President</w:t>
      </w:r>
      <w:r>
        <w:rPr>
          <w:spacing w:val="13"/>
          <w:w w:val="105"/>
        </w:rPr>
        <w:t> </w:t>
      </w:r>
      <w:r>
        <w:rPr>
          <w:w w:val="105"/>
        </w:rPr>
        <w:t>and</w:t>
      </w:r>
      <w:r>
        <w:rPr>
          <w:spacing w:val="13"/>
          <w:w w:val="105"/>
        </w:rPr>
        <w:t> </w:t>
      </w:r>
      <w:r>
        <w:rPr>
          <w:w w:val="105"/>
        </w:rPr>
        <w:t>Chief</w:t>
      </w:r>
      <w:r>
        <w:rPr>
          <w:spacing w:val="13"/>
          <w:w w:val="105"/>
        </w:rPr>
        <w:t> </w:t>
      </w:r>
      <w:r>
        <w:rPr>
          <w:w w:val="105"/>
        </w:rPr>
        <w:t>Executive</w:t>
      </w:r>
      <w:r>
        <w:rPr>
          <w:spacing w:val="13"/>
          <w:w w:val="105"/>
        </w:rPr>
        <w:t> </w:t>
      </w:r>
      <w:r>
        <w:rPr>
          <w:spacing w:val="-2"/>
          <w:w w:val="105"/>
        </w:rPr>
        <w:t>Officer</w:t>
      </w:r>
    </w:p>
    <w:p>
      <w:pPr>
        <w:pStyle w:val="BodyText"/>
        <w:tabs>
          <w:tab w:pos="5761" w:val="left" w:leader="none"/>
        </w:tabs>
        <w:spacing w:before="73"/>
        <w:ind w:left="1400"/>
      </w:pPr>
      <w:r>
        <w:rPr>
          <w:w w:val="105"/>
        </w:rPr>
        <w:t>Shubham</w:t>
      </w:r>
      <w:r>
        <w:rPr>
          <w:spacing w:val="11"/>
          <w:w w:val="105"/>
        </w:rPr>
        <w:t> </w:t>
      </w:r>
      <w:r>
        <w:rPr>
          <w:spacing w:val="-2"/>
          <w:w w:val="105"/>
        </w:rPr>
        <w:t>Maheshwari</w:t>
      </w:r>
      <w:r>
        <w:rPr/>
        <w:tab/>
      </w:r>
      <w:r>
        <w:rPr>
          <w:w w:val="105"/>
        </w:rPr>
        <w:t>Chief</w:t>
      </w:r>
      <w:r>
        <w:rPr>
          <w:spacing w:val="14"/>
          <w:w w:val="105"/>
        </w:rPr>
        <w:t> </w:t>
      </w:r>
      <w:r>
        <w:rPr>
          <w:w w:val="105"/>
        </w:rPr>
        <w:t>Financial</w:t>
      </w:r>
      <w:r>
        <w:rPr>
          <w:spacing w:val="14"/>
          <w:w w:val="105"/>
        </w:rPr>
        <w:t> </w:t>
      </w:r>
      <w:r>
        <w:rPr>
          <w:spacing w:val="-2"/>
          <w:w w:val="105"/>
        </w:rPr>
        <w:t>Officer</w:t>
      </w:r>
    </w:p>
    <w:p>
      <w:pPr>
        <w:pStyle w:val="BodyText"/>
        <w:tabs>
          <w:tab w:pos="5761" w:val="left" w:leader="none"/>
        </w:tabs>
        <w:spacing w:line="259" w:lineRule="auto" w:before="59"/>
        <w:ind w:left="5761" w:right="1504" w:hanging="4362"/>
      </w:pPr>
      <w:r>
        <w:rPr>
          <w:w w:val="105"/>
        </w:rPr>
        <w:t>Kimberley E. Honeysett</w:t>
      </w:r>
      <w:r>
        <w:rPr/>
        <w:tab/>
      </w:r>
      <w:r>
        <w:rPr>
          <w:w w:val="105"/>
        </w:rPr>
        <w:t>Senior Vice President, Chief Legal Officer, General Counsel and Corporate Secretary</w:t>
      </w:r>
    </w:p>
    <w:p>
      <w:pPr>
        <w:pStyle w:val="BodyText"/>
        <w:tabs>
          <w:tab w:pos="5761" w:val="left" w:leader="none"/>
        </w:tabs>
        <w:spacing w:line="259" w:lineRule="auto" w:before="56"/>
        <w:ind w:left="5761" w:right="2072" w:hanging="4362"/>
      </w:pPr>
      <w:r>
        <w:rPr>
          <w:w w:val="105"/>
        </w:rPr>
        <w:t>Brian W. Giambattista</w:t>
      </w:r>
      <w:r>
        <w:rPr/>
        <w:tab/>
      </w:r>
      <w:r>
        <w:rPr>
          <w:w w:val="105"/>
        </w:rPr>
        <w:t>Senior Vice President and General Manager, </w:t>
      </w:r>
      <w:r>
        <w:rPr>
          <w:spacing w:val="-2"/>
          <w:w w:val="105"/>
        </w:rPr>
        <w:t>Detectors</w:t>
      </w:r>
    </w:p>
    <w:p>
      <w:pPr>
        <w:pStyle w:val="BodyText"/>
        <w:tabs>
          <w:tab w:pos="5761" w:val="left" w:leader="none"/>
        </w:tabs>
        <w:spacing w:line="259" w:lineRule="auto" w:before="56"/>
        <w:ind w:left="5761" w:right="1741" w:hanging="4362"/>
      </w:pPr>
      <w:r>
        <w:rPr>
          <w:w w:val="105"/>
        </w:rPr>
        <w:t>Andrew J. Hartmann</w:t>
      </w:r>
      <w:r>
        <w:rPr/>
        <w:tab/>
      </w:r>
      <w:r>
        <w:rPr>
          <w:w w:val="105"/>
        </w:rPr>
        <w:t>Senior Vice President, Medical Global Sales and </w:t>
      </w:r>
      <w:r>
        <w:rPr>
          <w:spacing w:val="-2"/>
          <w:w w:val="105"/>
        </w:rPr>
        <w:t>Marketing</w:t>
      </w:r>
    </w:p>
    <w:p>
      <w:pPr>
        <w:pStyle w:val="BodyText"/>
        <w:spacing w:before="168"/>
        <w:ind w:left="1772"/>
      </w:pPr>
      <w:r>
        <w:rPr>
          <w:w w:val="105"/>
        </w:rPr>
        <w:t>Each</w:t>
      </w:r>
      <w:r>
        <w:rPr>
          <w:spacing w:val="11"/>
          <w:w w:val="105"/>
        </w:rPr>
        <w:t> </w:t>
      </w:r>
      <w:r>
        <w:rPr>
          <w:w w:val="105"/>
        </w:rPr>
        <w:t>program</w:t>
      </w:r>
      <w:r>
        <w:rPr>
          <w:spacing w:val="11"/>
          <w:w w:val="105"/>
        </w:rPr>
        <w:t> </w:t>
      </w:r>
      <w:r>
        <w:rPr>
          <w:w w:val="105"/>
        </w:rPr>
        <w:t>component</w:t>
      </w:r>
      <w:r>
        <w:rPr>
          <w:spacing w:val="12"/>
          <w:w w:val="105"/>
        </w:rPr>
        <w:t> </w:t>
      </w:r>
      <w:r>
        <w:rPr>
          <w:w w:val="105"/>
        </w:rPr>
        <w:t>and</w:t>
      </w:r>
      <w:r>
        <w:rPr>
          <w:spacing w:val="11"/>
          <w:w w:val="105"/>
        </w:rPr>
        <w:t> </w:t>
      </w:r>
      <w:r>
        <w:rPr>
          <w:w w:val="105"/>
        </w:rPr>
        <w:t>the</w:t>
      </w:r>
      <w:r>
        <w:rPr>
          <w:spacing w:val="12"/>
          <w:w w:val="105"/>
        </w:rPr>
        <w:t> </w:t>
      </w:r>
      <w:r>
        <w:rPr>
          <w:w w:val="105"/>
        </w:rPr>
        <w:t>rationale</w:t>
      </w:r>
      <w:r>
        <w:rPr>
          <w:spacing w:val="11"/>
          <w:w w:val="105"/>
        </w:rPr>
        <w:t> </w:t>
      </w:r>
      <w:r>
        <w:rPr>
          <w:w w:val="105"/>
        </w:rPr>
        <w:t>for</w:t>
      </w:r>
      <w:r>
        <w:rPr>
          <w:spacing w:val="12"/>
          <w:w w:val="105"/>
        </w:rPr>
        <w:t> </w:t>
      </w:r>
      <w:r>
        <w:rPr>
          <w:w w:val="105"/>
        </w:rPr>
        <w:t>it</w:t>
      </w:r>
      <w:r>
        <w:rPr>
          <w:spacing w:val="11"/>
          <w:w w:val="105"/>
        </w:rPr>
        <w:t> </w:t>
      </w:r>
      <w:r>
        <w:rPr>
          <w:w w:val="105"/>
        </w:rPr>
        <w:t>are</w:t>
      </w:r>
      <w:r>
        <w:rPr>
          <w:spacing w:val="12"/>
          <w:w w:val="105"/>
        </w:rPr>
        <w:t> </w:t>
      </w:r>
      <w:r>
        <w:rPr>
          <w:w w:val="105"/>
        </w:rPr>
        <w:t>highlighted</w:t>
      </w:r>
      <w:r>
        <w:rPr>
          <w:spacing w:val="11"/>
          <w:w w:val="105"/>
        </w:rPr>
        <w:t> </w:t>
      </w:r>
      <w:r>
        <w:rPr>
          <w:spacing w:val="-2"/>
          <w:w w:val="105"/>
        </w:rPr>
        <w:t>below:</w:t>
      </w:r>
    </w:p>
    <w:p>
      <w:pPr>
        <w:tabs>
          <w:tab w:pos="6560" w:val="left" w:leader="none"/>
        </w:tabs>
        <w:spacing w:before="171"/>
        <w:ind w:left="1400" w:right="0" w:firstLine="0"/>
        <w:jc w:val="left"/>
        <w:rPr>
          <w:b/>
          <w:sz w:val="15"/>
        </w:rPr>
      </w:pPr>
      <w:r>
        <w:rPr>
          <w:b/>
          <w:spacing w:val="-2"/>
          <w:sz w:val="15"/>
        </w:rPr>
        <w:t>Component</w:t>
      </w:r>
      <w:r>
        <w:rPr>
          <w:b/>
          <w:sz w:val="15"/>
        </w:rPr>
        <w:tab/>
      </w:r>
      <w:r>
        <w:rPr>
          <w:b/>
          <w:spacing w:val="-4"/>
          <w:sz w:val="15"/>
        </w:rPr>
        <w:t>Purpose</w:t>
      </w:r>
      <w:r>
        <w:rPr>
          <w:b/>
          <w:spacing w:val="-3"/>
          <w:sz w:val="15"/>
        </w:rPr>
        <w:t> </w:t>
      </w:r>
      <w:r>
        <w:rPr>
          <w:b/>
          <w:spacing w:val="-4"/>
          <w:sz w:val="15"/>
        </w:rPr>
        <w:t>and</w:t>
      </w:r>
      <w:r>
        <w:rPr>
          <w:b/>
          <w:spacing w:val="-3"/>
          <w:sz w:val="15"/>
        </w:rPr>
        <w:t> </w:t>
      </w:r>
      <w:r>
        <w:rPr>
          <w:b/>
          <w:spacing w:val="-4"/>
          <w:sz w:val="15"/>
        </w:rPr>
        <w:t>Role</w:t>
      </w:r>
    </w:p>
    <w:p>
      <w:pPr>
        <w:spacing w:after="0"/>
        <w:jc w:val="left"/>
        <w:rPr>
          <w:sz w:val="15"/>
        </w:rPr>
        <w:sectPr>
          <w:headerReference w:type="default" r:id="rId113"/>
          <w:footerReference w:type="default" r:id="rId114"/>
          <w:pgSz w:w="12240" w:h="15840"/>
          <w:pgMar w:header="529" w:footer="1023" w:top="720" w:bottom="1220" w:left="480" w:right="460"/>
        </w:sectPr>
      </w:pPr>
    </w:p>
    <w:p>
      <w:pPr>
        <w:pStyle w:val="BodyText"/>
        <w:spacing w:before="5"/>
        <w:rPr>
          <w:b/>
          <w:sz w:val="4"/>
        </w:rPr>
      </w:pPr>
    </w:p>
    <w:p>
      <w:pPr>
        <w:pStyle w:val="BodyText"/>
        <w:spacing w:line="20" w:lineRule="exact"/>
        <w:ind w:left="1400" w:right="-72"/>
        <w:rPr>
          <w:sz w:val="2"/>
        </w:rPr>
      </w:pPr>
      <w:r>
        <w:rPr>
          <w:sz w:val="2"/>
        </w:rPr>
        <w:pict>
          <v:group style="width:134.25pt;height:.7pt;mso-position-horizontal-relative:char;mso-position-vertical-relative:line" id="docshapegroup257" coordorigin="0,0" coordsize="2685,14">
            <v:rect style="position:absolute;left:0;top:0;width:2685;height:14" id="docshape258" filled="true" fillcolor="#000000" stroked="false">
              <v:fill type="solid"/>
            </v:rect>
          </v:group>
        </w:pict>
      </w:r>
      <w:r>
        <w:rPr>
          <w:sz w:val="2"/>
        </w:rPr>
      </w:r>
    </w:p>
    <w:p>
      <w:pPr>
        <w:pStyle w:val="BodyText"/>
        <w:spacing w:before="64"/>
        <w:ind w:left="1400"/>
      </w:pPr>
      <w:r>
        <w:rPr>
          <w:w w:val="105"/>
        </w:rPr>
        <w:t>Base</w:t>
      </w:r>
      <w:r>
        <w:rPr>
          <w:spacing w:val="8"/>
          <w:w w:val="105"/>
        </w:rPr>
        <w:t> </w:t>
      </w:r>
      <w:r>
        <w:rPr>
          <w:spacing w:val="-2"/>
          <w:w w:val="105"/>
        </w:rPr>
        <w:t>salary</w:t>
      </w:r>
    </w:p>
    <w:p>
      <w:pPr>
        <w:pStyle w:val="BodyText"/>
        <w:rPr>
          <w:sz w:val="20"/>
        </w:rPr>
      </w:pPr>
    </w:p>
    <w:p>
      <w:pPr>
        <w:pStyle w:val="BodyText"/>
        <w:rPr>
          <w:sz w:val="20"/>
        </w:rPr>
      </w:pPr>
    </w:p>
    <w:p>
      <w:pPr>
        <w:pStyle w:val="BodyText"/>
        <w:rPr>
          <w:sz w:val="20"/>
        </w:rPr>
      </w:pPr>
    </w:p>
    <w:p>
      <w:pPr>
        <w:pStyle w:val="BodyText"/>
        <w:spacing w:before="165"/>
        <w:ind w:left="1400"/>
      </w:pPr>
      <w:r>
        <w:rPr>
          <w:w w:val="105"/>
        </w:rPr>
        <w:t>Annual</w:t>
      </w:r>
      <w:r>
        <w:rPr>
          <w:spacing w:val="10"/>
          <w:w w:val="105"/>
        </w:rPr>
        <w:t> </w:t>
      </w:r>
      <w:r>
        <w:rPr>
          <w:w w:val="105"/>
        </w:rPr>
        <w:t>cash</w:t>
      </w:r>
      <w:r>
        <w:rPr>
          <w:spacing w:val="10"/>
          <w:w w:val="105"/>
        </w:rPr>
        <w:t> </w:t>
      </w:r>
      <w:r>
        <w:rPr>
          <w:spacing w:val="-2"/>
          <w:w w:val="105"/>
        </w:rPr>
        <w:t>incentives</w:t>
      </w:r>
    </w:p>
    <w:p>
      <w:pPr>
        <w:pStyle w:val="BodyText"/>
        <w:rPr>
          <w:sz w:val="20"/>
        </w:rPr>
      </w:pPr>
    </w:p>
    <w:p>
      <w:pPr>
        <w:pStyle w:val="BodyText"/>
        <w:rPr>
          <w:sz w:val="20"/>
        </w:rPr>
      </w:pPr>
    </w:p>
    <w:p>
      <w:pPr>
        <w:pStyle w:val="BodyText"/>
        <w:rPr>
          <w:sz w:val="20"/>
        </w:rPr>
      </w:pPr>
    </w:p>
    <w:p>
      <w:pPr>
        <w:pStyle w:val="BodyText"/>
        <w:spacing w:before="166"/>
        <w:ind w:left="1400"/>
      </w:pPr>
      <w:r>
        <w:rPr>
          <w:w w:val="105"/>
        </w:rPr>
        <w:t>Performance-based</w:t>
      </w:r>
      <w:r>
        <w:rPr>
          <w:spacing w:val="19"/>
          <w:w w:val="105"/>
        </w:rPr>
        <w:t> </w:t>
      </w:r>
      <w:r>
        <w:rPr>
          <w:w w:val="105"/>
        </w:rPr>
        <w:t>stock</w:t>
      </w:r>
      <w:r>
        <w:rPr>
          <w:spacing w:val="19"/>
          <w:w w:val="105"/>
        </w:rPr>
        <w:t> </w:t>
      </w:r>
      <w:r>
        <w:rPr>
          <w:spacing w:val="-2"/>
          <w:w w:val="105"/>
        </w:rPr>
        <w:t>options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9"/>
        <w:ind w:left="1400"/>
      </w:pPr>
      <w:r>
        <w:rPr>
          <w:w w:val="105"/>
        </w:rPr>
        <w:t>Restricted</w:t>
      </w:r>
      <w:r>
        <w:rPr>
          <w:spacing w:val="15"/>
          <w:w w:val="105"/>
        </w:rPr>
        <w:t> </w:t>
      </w:r>
      <w:r>
        <w:rPr>
          <w:w w:val="105"/>
        </w:rPr>
        <w:t>stock</w:t>
      </w:r>
      <w:r>
        <w:rPr>
          <w:spacing w:val="15"/>
          <w:w w:val="105"/>
        </w:rPr>
        <w:t> </w:t>
      </w:r>
      <w:r>
        <w:rPr>
          <w:spacing w:val="-4"/>
          <w:w w:val="105"/>
        </w:rPr>
        <w:t>units</w:t>
      </w:r>
    </w:p>
    <w:p>
      <w:pPr>
        <w:pStyle w:val="BodyText"/>
        <w:rPr>
          <w:sz w:val="20"/>
        </w:rPr>
      </w:pPr>
    </w:p>
    <w:p>
      <w:pPr>
        <w:pStyle w:val="BodyText"/>
        <w:rPr>
          <w:sz w:val="20"/>
        </w:rPr>
      </w:pPr>
    </w:p>
    <w:p>
      <w:pPr>
        <w:pStyle w:val="BodyText"/>
        <w:rPr>
          <w:sz w:val="20"/>
        </w:rPr>
      </w:pPr>
    </w:p>
    <w:p>
      <w:pPr>
        <w:pStyle w:val="BodyText"/>
        <w:spacing w:before="165"/>
        <w:ind w:left="1400"/>
      </w:pPr>
      <w:r>
        <w:rPr>
          <w:w w:val="105"/>
        </w:rPr>
        <w:t>Executive</w:t>
      </w:r>
      <w:r>
        <w:rPr>
          <w:spacing w:val="13"/>
          <w:w w:val="105"/>
        </w:rPr>
        <w:t> </w:t>
      </w:r>
      <w:r>
        <w:rPr>
          <w:w w:val="105"/>
        </w:rPr>
        <w:t>benefits</w:t>
      </w:r>
      <w:r>
        <w:rPr>
          <w:spacing w:val="13"/>
          <w:w w:val="105"/>
        </w:rPr>
        <w:t> </w:t>
      </w:r>
      <w:r>
        <w:rPr>
          <w:w w:val="105"/>
        </w:rPr>
        <w:t>and</w:t>
      </w:r>
      <w:r>
        <w:rPr>
          <w:spacing w:val="14"/>
          <w:w w:val="105"/>
        </w:rPr>
        <w:t> </w:t>
      </w:r>
      <w:r>
        <w:rPr>
          <w:spacing w:val="-2"/>
          <w:w w:val="105"/>
        </w:rPr>
        <w:t>perquisites</w:t>
      </w:r>
    </w:p>
    <w:p>
      <w:pPr>
        <w:spacing w:line="240" w:lineRule="auto" w:before="5"/>
        <w:rPr>
          <w:sz w:val="4"/>
        </w:rPr>
      </w:pPr>
      <w:r>
        <w:rPr/>
        <w:br w:type="column"/>
      </w:r>
      <w:r>
        <w:rPr>
          <w:sz w:val="4"/>
        </w:rPr>
      </w:r>
    </w:p>
    <w:p>
      <w:pPr>
        <w:pStyle w:val="BodyText"/>
        <w:spacing w:line="20" w:lineRule="exact"/>
        <w:ind w:left="193"/>
        <w:rPr>
          <w:sz w:val="2"/>
        </w:rPr>
      </w:pPr>
      <w:r>
        <w:rPr>
          <w:sz w:val="2"/>
        </w:rPr>
        <w:pict>
          <v:group style="width:279.6pt;height:.7pt;mso-position-horizontal-relative:char;mso-position-vertical-relative:line" id="docshapegroup259" coordorigin="0,0" coordsize="5592,14">
            <v:rect style="position:absolute;left:0;top:0;width:5592;height:14" id="docshape260" filled="true" fillcolor="#000000" stroked="false">
              <v:fill type="solid"/>
            </v:rect>
          </v:group>
        </w:pict>
      </w:r>
      <w:r>
        <w:rPr>
          <w:sz w:val="2"/>
        </w:rPr>
      </w:r>
    </w:p>
    <w:p>
      <w:pPr>
        <w:pStyle w:val="ListParagraph"/>
        <w:numPr>
          <w:ilvl w:val="0"/>
          <w:numId w:val="25"/>
        </w:numPr>
        <w:tabs>
          <w:tab w:pos="373" w:val="left" w:leader="none"/>
        </w:tabs>
        <w:spacing w:line="259" w:lineRule="auto" w:before="64" w:after="0"/>
        <w:ind w:left="372" w:right="1683" w:hanging="187"/>
        <w:jc w:val="left"/>
        <w:rPr>
          <w:sz w:val="18"/>
        </w:rPr>
      </w:pPr>
      <w:r>
        <w:rPr>
          <w:w w:val="105"/>
          <w:sz w:val="18"/>
        </w:rPr>
        <w:t>Provide a competitive, fixed level of cash compensation to attract and retain talented and skilled senior executives.</w:t>
      </w:r>
    </w:p>
    <w:p>
      <w:pPr>
        <w:pStyle w:val="ListParagraph"/>
        <w:numPr>
          <w:ilvl w:val="0"/>
          <w:numId w:val="25"/>
        </w:numPr>
        <w:tabs>
          <w:tab w:pos="373" w:val="left" w:leader="none"/>
        </w:tabs>
        <w:spacing w:line="259" w:lineRule="auto" w:before="84" w:after="0"/>
        <w:ind w:left="372" w:right="2296" w:hanging="187"/>
        <w:jc w:val="left"/>
        <w:rPr>
          <w:sz w:val="18"/>
        </w:rPr>
      </w:pPr>
      <w:r>
        <w:rPr>
          <w:w w:val="105"/>
          <w:sz w:val="18"/>
        </w:rPr>
        <w:t>Recognize sustained performance, capabilities, job scope, experience, and internal pay equity.</w:t>
      </w:r>
    </w:p>
    <w:p>
      <w:pPr>
        <w:pStyle w:val="ListParagraph"/>
        <w:numPr>
          <w:ilvl w:val="0"/>
          <w:numId w:val="25"/>
        </w:numPr>
        <w:tabs>
          <w:tab w:pos="373" w:val="left" w:leader="none"/>
        </w:tabs>
        <w:spacing w:line="259" w:lineRule="auto" w:before="84" w:after="0"/>
        <w:ind w:left="372" w:right="1732" w:hanging="187"/>
        <w:jc w:val="left"/>
        <w:rPr>
          <w:sz w:val="18"/>
        </w:rPr>
      </w:pPr>
      <w:r>
        <w:rPr>
          <w:w w:val="105"/>
          <w:sz w:val="18"/>
        </w:rPr>
        <w:t>Motivate and reward achievement of annual financial results that drive stockholder value.</w:t>
      </w:r>
    </w:p>
    <w:p>
      <w:pPr>
        <w:pStyle w:val="ListParagraph"/>
        <w:numPr>
          <w:ilvl w:val="0"/>
          <w:numId w:val="25"/>
        </w:numPr>
        <w:tabs>
          <w:tab w:pos="373" w:val="left" w:leader="none"/>
        </w:tabs>
        <w:spacing w:line="259" w:lineRule="auto" w:before="84" w:after="0"/>
        <w:ind w:left="372" w:right="1614" w:hanging="187"/>
        <w:jc w:val="left"/>
        <w:rPr>
          <w:sz w:val="18"/>
        </w:rPr>
      </w:pPr>
      <w:r>
        <w:rPr>
          <w:w w:val="105"/>
          <w:sz w:val="18"/>
        </w:rPr>
        <w:t>Reward achievement of strategic goals that provide the foundation for future growth and profitability.</w:t>
      </w:r>
    </w:p>
    <w:p>
      <w:pPr>
        <w:pStyle w:val="ListParagraph"/>
        <w:numPr>
          <w:ilvl w:val="0"/>
          <w:numId w:val="25"/>
        </w:numPr>
        <w:tabs>
          <w:tab w:pos="373" w:val="left" w:leader="none"/>
        </w:tabs>
        <w:spacing w:line="259" w:lineRule="auto" w:before="84" w:after="0"/>
        <w:ind w:left="372" w:right="1517" w:hanging="187"/>
        <w:jc w:val="left"/>
        <w:rPr>
          <w:sz w:val="18"/>
        </w:rPr>
      </w:pPr>
      <w:r>
        <w:rPr>
          <w:w w:val="105"/>
          <w:sz w:val="18"/>
        </w:rPr>
        <w:t>Align</w:t>
      </w:r>
      <w:r>
        <w:rPr>
          <w:spacing w:val="35"/>
          <w:w w:val="105"/>
          <w:sz w:val="18"/>
        </w:rPr>
        <w:t> </w:t>
      </w:r>
      <w:r>
        <w:rPr>
          <w:w w:val="105"/>
          <w:sz w:val="18"/>
        </w:rPr>
        <w:t>executives</w:t>
      </w:r>
      <w:r>
        <w:rPr>
          <w:spacing w:val="35"/>
          <w:w w:val="105"/>
          <w:sz w:val="18"/>
        </w:rPr>
        <w:t> </w:t>
      </w:r>
      <w:r>
        <w:rPr>
          <w:w w:val="105"/>
          <w:sz w:val="18"/>
        </w:rPr>
        <w:t>with</w:t>
      </w:r>
      <w:r>
        <w:rPr>
          <w:spacing w:val="35"/>
          <w:w w:val="105"/>
          <w:sz w:val="18"/>
        </w:rPr>
        <w:t> </w:t>
      </w:r>
      <w:r>
        <w:rPr>
          <w:w w:val="105"/>
          <w:sz w:val="18"/>
        </w:rPr>
        <w:t>stockholders</w:t>
      </w:r>
      <w:r>
        <w:rPr>
          <w:spacing w:val="35"/>
          <w:w w:val="105"/>
          <w:sz w:val="18"/>
        </w:rPr>
        <w:t> </w:t>
      </w:r>
      <w:r>
        <w:rPr>
          <w:w w:val="105"/>
          <w:sz w:val="18"/>
        </w:rPr>
        <w:t>on</w:t>
      </w:r>
      <w:r>
        <w:rPr>
          <w:spacing w:val="35"/>
          <w:w w:val="105"/>
          <w:sz w:val="18"/>
        </w:rPr>
        <w:t> </w:t>
      </w:r>
      <w:r>
        <w:rPr>
          <w:w w:val="105"/>
          <w:sz w:val="18"/>
        </w:rPr>
        <w:t>gains</w:t>
      </w:r>
      <w:r>
        <w:rPr>
          <w:spacing w:val="35"/>
          <w:w w:val="105"/>
          <w:sz w:val="18"/>
        </w:rPr>
        <w:t> </w:t>
      </w:r>
      <w:r>
        <w:rPr>
          <w:w w:val="105"/>
          <w:sz w:val="18"/>
        </w:rPr>
        <w:t>in</w:t>
      </w:r>
      <w:r>
        <w:rPr>
          <w:spacing w:val="35"/>
          <w:w w:val="105"/>
          <w:sz w:val="18"/>
        </w:rPr>
        <w:t> </w:t>
      </w:r>
      <w:r>
        <w:rPr>
          <w:w w:val="105"/>
          <w:sz w:val="18"/>
        </w:rPr>
        <w:t>equity</w:t>
      </w:r>
      <w:r>
        <w:rPr>
          <w:spacing w:val="35"/>
          <w:w w:val="105"/>
          <w:sz w:val="18"/>
        </w:rPr>
        <w:t> </w:t>
      </w:r>
      <w:r>
        <w:rPr>
          <w:w w:val="105"/>
          <w:sz w:val="18"/>
        </w:rPr>
        <w:t>value (exercise price is set 10% higher than our closing stock price on the date of grant).</w:t>
      </w:r>
    </w:p>
    <w:p>
      <w:pPr>
        <w:pStyle w:val="ListParagraph"/>
        <w:numPr>
          <w:ilvl w:val="0"/>
          <w:numId w:val="25"/>
        </w:numPr>
        <w:tabs>
          <w:tab w:pos="373" w:val="left" w:leader="none"/>
        </w:tabs>
        <w:spacing w:line="259" w:lineRule="auto" w:before="84" w:after="0"/>
        <w:ind w:left="372" w:right="1494" w:hanging="187"/>
        <w:jc w:val="left"/>
        <w:rPr>
          <w:sz w:val="18"/>
        </w:rPr>
      </w:pPr>
      <w:r>
        <w:rPr>
          <w:w w:val="105"/>
          <w:sz w:val="18"/>
        </w:rPr>
        <w:t>Encourage retention and long-term performance through time-based vesting over four years.</w:t>
      </w:r>
    </w:p>
    <w:p>
      <w:pPr>
        <w:pStyle w:val="ListParagraph"/>
        <w:numPr>
          <w:ilvl w:val="0"/>
          <w:numId w:val="25"/>
        </w:numPr>
        <w:tabs>
          <w:tab w:pos="373" w:val="left" w:leader="none"/>
        </w:tabs>
        <w:spacing w:line="259" w:lineRule="auto" w:before="85" w:after="0"/>
        <w:ind w:left="372" w:right="1445" w:hanging="187"/>
        <w:jc w:val="left"/>
        <w:rPr>
          <w:sz w:val="18"/>
        </w:rPr>
      </w:pPr>
      <w:r>
        <w:rPr>
          <w:w w:val="105"/>
          <w:sz w:val="18"/>
        </w:rPr>
        <w:t>Align the interest of executives with those of our stockholders as the value of restricted stock units is tied to our stock price.</w:t>
      </w:r>
    </w:p>
    <w:p>
      <w:pPr>
        <w:pStyle w:val="ListParagraph"/>
        <w:numPr>
          <w:ilvl w:val="0"/>
          <w:numId w:val="25"/>
        </w:numPr>
        <w:tabs>
          <w:tab w:pos="373" w:val="left" w:leader="none"/>
        </w:tabs>
        <w:spacing w:line="259" w:lineRule="auto" w:before="84" w:after="0"/>
        <w:ind w:left="372" w:right="1601" w:hanging="187"/>
        <w:jc w:val="left"/>
        <w:rPr>
          <w:sz w:val="18"/>
        </w:rPr>
      </w:pPr>
      <w:r>
        <w:rPr>
          <w:w w:val="105"/>
          <w:sz w:val="18"/>
        </w:rPr>
        <w:t>Encourage executive retention and long-term performance through time-based vesting over four years.</w:t>
      </w:r>
    </w:p>
    <w:p>
      <w:pPr>
        <w:pStyle w:val="ListParagraph"/>
        <w:numPr>
          <w:ilvl w:val="0"/>
          <w:numId w:val="25"/>
        </w:numPr>
        <w:tabs>
          <w:tab w:pos="373" w:val="left" w:leader="none"/>
        </w:tabs>
        <w:spacing w:line="259" w:lineRule="auto" w:before="84" w:after="0"/>
        <w:ind w:left="372" w:right="2082" w:hanging="187"/>
        <w:jc w:val="left"/>
        <w:rPr>
          <w:sz w:val="18"/>
        </w:rPr>
      </w:pPr>
      <w:r>
        <w:rPr>
          <w:w w:val="105"/>
          <w:sz w:val="18"/>
        </w:rPr>
        <w:t>Provide the same 401(k) and other benefits as non-executive </w:t>
      </w:r>
      <w:r>
        <w:rPr>
          <w:spacing w:val="-2"/>
          <w:w w:val="105"/>
          <w:sz w:val="18"/>
        </w:rPr>
        <w:t>employees.</w:t>
      </w:r>
    </w:p>
    <w:p>
      <w:pPr>
        <w:pStyle w:val="ListParagraph"/>
        <w:numPr>
          <w:ilvl w:val="0"/>
          <w:numId w:val="25"/>
        </w:numPr>
        <w:tabs>
          <w:tab w:pos="373" w:val="left" w:leader="none"/>
        </w:tabs>
        <w:spacing w:line="259" w:lineRule="auto" w:before="154" w:after="0"/>
        <w:ind w:left="372" w:right="1600" w:hanging="187"/>
        <w:jc w:val="left"/>
        <w:rPr>
          <w:sz w:val="18"/>
        </w:rPr>
      </w:pPr>
      <w:r>
        <w:rPr>
          <w:w w:val="105"/>
          <w:sz w:val="18"/>
        </w:rPr>
        <w:t>Provide a competitive retirement benefit by allowing executives to defer compensation pursuant to a nonqualified deferred compensation plan.</w:t>
      </w:r>
    </w:p>
    <w:p>
      <w:pPr>
        <w:spacing w:after="0" w:line="259" w:lineRule="auto"/>
        <w:jc w:val="left"/>
        <w:rPr>
          <w:sz w:val="18"/>
        </w:rPr>
        <w:sectPr>
          <w:type w:val="continuous"/>
          <w:pgSz w:w="12240" w:h="15840"/>
          <w:pgMar w:header="529" w:footer="1023" w:top="600" w:bottom="960" w:left="480" w:right="460"/>
          <w:cols w:num="2" w:equalWidth="0">
            <w:col w:w="4075" w:space="40"/>
            <w:col w:w="7185"/>
          </w:cols>
        </w:sectPr>
      </w:pPr>
    </w:p>
    <w:p>
      <w:pPr>
        <w:pStyle w:val="BodyText"/>
        <w:spacing w:before="2"/>
        <w:rPr>
          <w:sz w:val="12"/>
        </w:rPr>
      </w:pPr>
      <w:r>
        <w:rPr/>
        <w:pict>
          <v:group style="position:absolute;margin-left:28.999998pt;margin-top:762.241821pt;width:555pt;height:1.4pt;mso-position-horizontal-relative:page;mso-position-vertical-relative:page;z-index:15763968" id="docshapegroup261" coordorigin="580,15245" coordsize="11100,28">
            <v:rect style="position:absolute;left:580;top:15244;width:11100;height:14" id="docshape262" filled="true" fillcolor="#999999" stroked="false">
              <v:fill type="solid"/>
            </v:rect>
            <v:shape style="position:absolute;left:579;top:15244;width:11100;height:28" id="docshape263" coordorigin="580,15245" coordsize="11100,28" path="m11680,15245l11666,15259,580,15259,580,15273,11666,15273,11680,15273,11680,15259,11680,15245xe" filled="true" fillcolor="#ededed" stroked="false">
              <v:path arrowok="t"/>
              <v:fill type="solid"/>
            </v:shape>
            <v:shape style="position:absolute;left:580;top:15244;width:14;height:28" id="docshape264" coordorigin="580,15245" coordsize="14,28" path="m580,15273l580,15245,594,15245,594,15259,580,15273xe" filled="true" fillcolor="#999999" stroked="false">
              <v:path arrowok="t"/>
              <v:fill type="solid"/>
            </v:shape>
            <w10:wrap type="none"/>
          </v:group>
        </w:pict>
      </w:r>
    </w:p>
    <w:p>
      <w:pPr>
        <w:pStyle w:val="Heading2"/>
        <w:spacing w:before="98"/>
      </w:pPr>
      <w:bookmarkStart w:name="_TOC_250015" w:id="28"/>
      <w:r>
        <w:rPr/>
        <w:t>Pay</w:t>
      </w:r>
      <w:r>
        <w:rPr>
          <w:spacing w:val="-7"/>
        </w:rPr>
        <w:t> </w:t>
      </w:r>
      <w:r>
        <w:rPr/>
        <w:t>for</w:t>
      </w:r>
      <w:r>
        <w:rPr>
          <w:spacing w:val="-10"/>
        </w:rPr>
        <w:t> </w:t>
      </w:r>
      <w:bookmarkEnd w:id="28"/>
      <w:r>
        <w:rPr>
          <w:spacing w:val="-2"/>
        </w:rPr>
        <w:t>Performance</w:t>
      </w:r>
    </w:p>
    <w:p>
      <w:pPr>
        <w:pStyle w:val="BodyText"/>
        <w:spacing w:line="259" w:lineRule="auto" w:before="157"/>
        <w:ind w:left="1400" w:right="1551" w:firstLine="372"/>
      </w:pPr>
      <w:r>
        <w:rPr>
          <w:w w:val="105"/>
        </w:rPr>
        <w:t>Our</w:t>
      </w:r>
      <w:r>
        <w:rPr>
          <w:spacing w:val="34"/>
          <w:w w:val="105"/>
        </w:rPr>
        <w:t> </w:t>
      </w:r>
      <w:r>
        <w:rPr>
          <w:w w:val="105"/>
        </w:rPr>
        <w:t>executive</w:t>
      </w:r>
      <w:r>
        <w:rPr>
          <w:spacing w:val="34"/>
          <w:w w:val="105"/>
        </w:rPr>
        <w:t> </w:t>
      </w:r>
      <w:r>
        <w:rPr>
          <w:w w:val="105"/>
        </w:rPr>
        <w:t>compensation</w:t>
      </w:r>
      <w:r>
        <w:rPr>
          <w:spacing w:val="34"/>
          <w:w w:val="105"/>
        </w:rPr>
        <w:t> </w:t>
      </w:r>
      <w:r>
        <w:rPr>
          <w:w w:val="105"/>
        </w:rPr>
        <w:t>programs</w:t>
      </w:r>
      <w:r>
        <w:rPr>
          <w:spacing w:val="34"/>
          <w:w w:val="105"/>
        </w:rPr>
        <w:t> </w:t>
      </w:r>
      <w:r>
        <w:rPr>
          <w:w w:val="105"/>
        </w:rPr>
        <w:t>are</w:t>
      </w:r>
      <w:r>
        <w:rPr>
          <w:spacing w:val="34"/>
          <w:w w:val="105"/>
        </w:rPr>
        <w:t> </w:t>
      </w:r>
      <w:r>
        <w:rPr>
          <w:w w:val="105"/>
        </w:rPr>
        <w:t>heavily</w:t>
      </w:r>
      <w:r>
        <w:rPr>
          <w:spacing w:val="34"/>
          <w:w w:val="105"/>
        </w:rPr>
        <w:t> </w:t>
      </w:r>
      <w:r>
        <w:rPr>
          <w:w w:val="105"/>
        </w:rPr>
        <w:t>weighted</w:t>
      </w:r>
      <w:r>
        <w:rPr>
          <w:spacing w:val="34"/>
          <w:w w:val="105"/>
        </w:rPr>
        <w:t> </w:t>
      </w:r>
      <w:r>
        <w:rPr>
          <w:w w:val="105"/>
        </w:rPr>
        <w:t>towards</w:t>
      </w:r>
      <w:r>
        <w:rPr>
          <w:spacing w:val="34"/>
          <w:w w:val="105"/>
        </w:rPr>
        <w:t> </w:t>
      </w:r>
      <w:r>
        <w:rPr>
          <w:w w:val="105"/>
        </w:rPr>
        <w:t>variable</w:t>
      </w:r>
      <w:r>
        <w:rPr>
          <w:spacing w:val="34"/>
          <w:w w:val="105"/>
        </w:rPr>
        <w:t> </w:t>
      </w:r>
      <w:r>
        <w:rPr>
          <w:w w:val="105"/>
        </w:rPr>
        <w:t>compensation</w:t>
      </w:r>
      <w:r>
        <w:rPr>
          <w:spacing w:val="34"/>
          <w:w w:val="105"/>
        </w:rPr>
        <w:t> </w:t>
      </w:r>
      <w:r>
        <w:rPr>
          <w:w w:val="105"/>
        </w:rPr>
        <w:t>that provides a direct link between corporate performance, stockholder value creation, and pay outcomes for our</w:t>
      </w:r>
      <w:r>
        <w:rPr>
          <w:spacing w:val="40"/>
          <w:w w:val="105"/>
        </w:rPr>
        <w:t> </w:t>
      </w:r>
      <w:r>
        <w:rPr>
          <w:w w:val="105"/>
        </w:rPr>
        <w:t>executives.</w:t>
      </w:r>
      <w:r>
        <w:rPr>
          <w:spacing w:val="24"/>
          <w:w w:val="105"/>
        </w:rPr>
        <w:t> </w:t>
      </w:r>
      <w:r>
        <w:rPr>
          <w:w w:val="105"/>
        </w:rPr>
        <w:t>Our</w:t>
      </w:r>
      <w:r>
        <w:rPr>
          <w:spacing w:val="24"/>
          <w:w w:val="105"/>
        </w:rPr>
        <w:t> </w:t>
      </w:r>
      <w:r>
        <w:rPr>
          <w:w w:val="105"/>
        </w:rPr>
        <w:t>programs</w:t>
      </w:r>
      <w:r>
        <w:rPr>
          <w:spacing w:val="24"/>
          <w:w w:val="105"/>
        </w:rPr>
        <w:t> </w:t>
      </w:r>
      <w:r>
        <w:rPr>
          <w:w w:val="105"/>
        </w:rPr>
        <w:t>also</w:t>
      </w:r>
      <w:r>
        <w:rPr>
          <w:spacing w:val="24"/>
          <w:w w:val="105"/>
        </w:rPr>
        <w:t> </w:t>
      </w:r>
      <w:r>
        <w:rPr>
          <w:w w:val="105"/>
        </w:rPr>
        <w:t>tie</w:t>
      </w:r>
      <w:r>
        <w:rPr>
          <w:spacing w:val="24"/>
          <w:w w:val="105"/>
        </w:rPr>
        <w:t> </w:t>
      </w:r>
      <w:r>
        <w:rPr>
          <w:w w:val="105"/>
        </w:rPr>
        <w:t>pay</w:t>
      </w:r>
      <w:r>
        <w:rPr>
          <w:spacing w:val="24"/>
          <w:w w:val="105"/>
        </w:rPr>
        <w:t> </w:t>
      </w:r>
      <w:r>
        <w:rPr>
          <w:w w:val="105"/>
        </w:rPr>
        <w:t>outcomes</w:t>
      </w:r>
      <w:r>
        <w:rPr>
          <w:spacing w:val="24"/>
          <w:w w:val="105"/>
        </w:rPr>
        <w:t> </w:t>
      </w:r>
      <w:r>
        <w:rPr>
          <w:w w:val="105"/>
        </w:rPr>
        <w:t>to</w:t>
      </w:r>
      <w:r>
        <w:rPr>
          <w:spacing w:val="24"/>
          <w:w w:val="105"/>
        </w:rPr>
        <w:t> </w:t>
      </w:r>
      <w:r>
        <w:rPr>
          <w:w w:val="105"/>
        </w:rPr>
        <w:t>the</w:t>
      </w:r>
      <w:r>
        <w:rPr>
          <w:spacing w:val="24"/>
          <w:w w:val="105"/>
        </w:rPr>
        <w:t> </w:t>
      </w:r>
      <w:r>
        <w:rPr>
          <w:w w:val="105"/>
        </w:rPr>
        <w:t>achievement</w:t>
      </w:r>
      <w:r>
        <w:rPr>
          <w:spacing w:val="24"/>
          <w:w w:val="105"/>
        </w:rPr>
        <w:t> </w:t>
      </w:r>
      <w:r>
        <w:rPr>
          <w:w w:val="105"/>
        </w:rPr>
        <w:t>of</w:t>
      </w:r>
      <w:r>
        <w:rPr>
          <w:spacing w:val="24"/>
          <w:w w:val="105"/>
        </w:rPr>
        <w:t> </w:t>
      </w:r>
      <w:r>
        <w:rPr>
          <w:w w:val="105"/>
        </w:rPr>
        <w:t>key</w:t>
      </w:r>
      <w:r>
        <w:rPr>
          <w:spacing w:val="24"/>
          <w:w w:val="105"/>
        </w:rPr>
        <w:t> </w:t>
      </w:r>
      <w:r>
        <w:rPr>
          <w:w w:val="105"/>
        </w:rPr>
        <w:t>strategic</w:t>
      </w:r>
      <w:r>
        <w:rPr>
          <w:spacing w:val="24"/>
          <w:w w:val="105"/>
        </w:rPr>
        <w:t> </w:t>
      </w:r>
      <w:r>
        <w:rPr>
          <w:w w:val="105"/>
        </w:rPr>
        <w:t>objectives</w:t>
      </w:r>
      <w:r>
        <w:rPr>
          <w:spacing w:val="24"/>
          <w:w w:val="105"/>
        </w:rPr>
        <w:t> </w:t>
      </w:r>
      <w:r>
        <w:rPr>
          <w:w w:val="105"/>
        </w:rPr>
        <w:t>that</w:t>
      </w:r>
      <w:r>
        <w:rPr>
          <w:spacing w:val="24"/>
          <w:w w:val="105"/>
        </w:rPr>
        <w:t> </w:t>
      </w:r>
      <w:r>
        <w:rPr>
          <w:w w:val="105"/>
        </w:rPr>
        <w:t>we believe will drive longer-term value to stockholders. The Compensation Committee regularly assesses our programs to ensure they are aligned with our evolving business strategy and are effective in supporting our</w:t>
      </w:r>
      <w:r>
        <w:rPr>
          <w:spacing w:val="40"/>
          <w:w w:val="105"/>
        </w:rPr>
        <w:t> </w:t>
      </w:r>
      <w:r>
        <w:rPr>
          <w:w w:val="105"/>
        </w:rPr>
        <w:t>talent needs.</w:t>
      </w:r>
    </w:p>
    <w:p>
      <w:pPr>
        <w:pStyle w:val="ListParagraph"/>
        <w:numPr>
          <w:ilvl w:val="1"/>
          <w:numId w:val="25"/>
        </w:numPr>
        <w:tabs>
          <w:tab w:pos="1960" w:val="left" w:leader="none"/>
        </w:tabs>
        <w:spacing w:line="259" w:lineRule="auto" w:before="112" w:after="0"/>
        <w:ind w:left="1959" w:right="1512" w:hanging="187"/>
        <w:jc w:val="both"/>
        <w:rPr>
          <w:sz w:val="18"/>
        </w:rPr>
      </w:pPr>
      <w:r>
        <w:rPr>
          <w:b/>
          <w:w w:val="105"/>
          <w:sz w:val="18"/>
        </w:rPr>
        <w:t>Compensation</w:t>
      </w:r>
      <w:r>
        <w:rPr>
          <w:b/>
          <w:spacing w:val="-12"/>
          <w:w w:val="105"/>
          <w:sz w:val="18"/>
        </w:rPr>
        <w:t> </w:t>
      </w:r>
      <w:r>
        <w:rPr>
          <w:b/>
          <w:w w:val="105"/>
          <w:sz w:val="18"/>
        </w:rPr>
        <w:t>Mix.</w:t>
      </w:r>
      <w:r>
        <w:rPr>
          <w:b/>
          <w:spacing w:val="79"/>
          <w:w w:val="105"/>
          <w:sz w:val="18"/>
        </w:rPr>
        <w:t> </w:t>
      </w:r>
      <w:r>
        <w:rPr>
          <w:w w:val="105"/>
          <w:sz w:val="18"/>
        </w:rPr>
        <w:t>The target total direct compensation (“</w:t>
      </w:r>
      <w:r>
        <w:rPr>
          <w:b/>
          <w:w w:val="105"/>
          <w:sz w:val="18"/>
        </w:rPr>
        <w:t>Target</w:t>
      </w:r>
      <w:r>
        <w:rPr>
          <w:b/>
          <w:spacing w:val="-12"/>
          <w:w w:val="105"/>
          <w:sz w:val="18"/>
        </w:rPr>
        <w:t> </w:t>
      </w:r>
      <w:r>
        <w:rPr>
          <w:b/>
          <w:w w:val="105"/>
          <w:sz w:val="18"/>
        </w:rPr>
        <w:t>TDC</w:t>
      </w:r>
      <w:r>
        <w:rPr>
          <w:w w:val="105"/>
          <w:sz w:val="18"/>
        </w:rPr>
        <w:t>”) of our NEOs is comprised of</w:t>
      </w:r>
      <w:r>
        <w:rPr>
          <w:spacing w:val="14"/>
          <w:w w:val="105"/>
          <w:sz w:val="18"/>
        </w:rPr>
        <w:t> </w:t>
      </w:r>
      <w:r>
        <w:rPr>
          <w:w w:val="105"/>
          <w:sz w:val="18"/>
        </w:rPr>
        <w:t>three</w:t>
      </w:r>
      <w:r>
        <w:rPr>
          <w:spacing w:val="14"/>
          <w:w w:val="105"/>
          <w:sz w:val="18"/>
        </w:rPr>
        <w:t> </w:t>
      </w:r>
      <w:r>
        <w:rPr>
          <w:w w:val="105"/>
          <w:sz w:val="18"/>
        </w:rPr>
        <w:t>elements:</w:t>
      </w:r>
      <w:r>
        <w:rPr>
          <w:spacing w:val="14"/>
          <w:w w:val="105"/>
          <w:sz w:val="18"/>
        </w:rPr>
        <w:t> </w:t>
      </w:r>
      <w:r>
        <w:rPr>
          <w:w w:val="105"/>
          <w:sz w:val="18"/>
        </w:rPr>
        <w:t>base</w:t>
      </w:r>
      <w:r>
        <w:rPr>
          <w:spacing w:val="14"/>
          <w:w w:val="105"/>
          <w:sz w:val="18"/>
        </w:rPr>
        <w:t> </w:t>
      </w:r>
      <w:r>
        <w:rPr>
          <w:w w:val="105"/>
          <w:sz w:val="18"/>
        </w:rPr>
        <w:t>salary,</w:t>
      </w:r>
      <w:r>
        <w:rPr>
          <w:spacing w:val="14"/>
          <w:w w:val="105"/>
          <w:sz w:val="18"/>
        </w:rPr>
        <w:t> </w:t>
      </w:r>
      <w:r>
        <w:rPr>
          <w:w w:val="105"/>
          <w:sz w:val="18"/>
        </w:rPr>
        <w:t>target</w:t>
      </w:r>
      <w:r>
        <w:rPr>
          <w:spacing w:val="14"/>
          <w:w w:val="105"/>
          <w:sz w:val="18"/>
        </w:rPr>
        <w:t> </w:t>
      </w:r>
      <w:r>
        <w:rPr>
          <w:w w:val="105"/>
          <w:sz w:val="18"/>
        </w:rPr>
        <w:t>annual</w:t>
      </w:r>
      <w:r>
        <w:rPr>
          <w:spacing w:val="14"/>
          <w:w w:val="105"/>
          <w:sz w:val="18"/>
        </w:rPr>
        <w:t> </w:t>
      </w:r>
      <w:r>
        <w:rPr>
          <w:w w:val="105"/>
          <w:sz w:val="18"/>
        </w:rPr>
        <w:t>cash</w:t>
      </w:r>
      <w:r>
        <w:rPr>
          <w:spacing w:val="14"/>
          <w:w w:val="105"/>
          <w:sz w:val="18"/>
        </w:rPr>
        <w:t> </w:t>
      </w:r>
      <w:r>
        <w:rPr>
          <w:w w:val="105"/>
          <w:sz w:val="18"/>
        </w:rPr>
        <w:t>incentive</w:t>
      </w:r>
      <w:r>
        <w:rPr>
          <w:spacing w:val="14"/>
          <w:w w:val="105"/>
          <w:sz w:val="18"/>
        </w:rPr>
        <w:t> </w:t>
      </w:r>
      <w:r>
        <w:rPr>
          <w:w w:val="105"/>
          <w:sz w:val="18"/>
        </w:rPr>
        <w:t>opportunity,</w:t>
      </w:r>
      <w:r>
        <w:rPr>
          <w:spacing w:val="14"/>
          <w:w w:val="105"/>
          <w:sz w:val="18"/>
        </w:rPr>
        <w:t> </w:t>
      </w:r>
      <w:r>
        <w:rPr>
          <w:w w:val="105"/>
          <w:sz w:val="18"/>
        </w:rPr>
        <w:t>and</w:t>
      </w:r>
      <w:r>
        <w:rPr>
          <w:spacing w:val="14"/>
          <w:w w:val="105"/>
          <w:sz w:val="18"/>
        </w:rPr>
        <w:t> </w:t>
      </w:r>
      <w:r>
        <w:rPr>
          <w:w w:val="105"/>
          <w:sz w:val="18"/>
        </w:rPr>
        <w:t>the</w:t>
      </w:r>
      <w:r>
        <w:rPr>
          <w:spacing w:val="14"/>
          <w:w w:val="105"/>
          <w:sz w:val="18"/>
        </w:rPr>
        <w:t> </w:t>
      </w:r>
      <w:r>
        <w:rPr>
          <w:w w:val="105"/>
          <w:sz w:val="18"/>
        </w:rPr>
        <w:t>grant</w:t>
      </w:r>
      <w:r>
        <w:rPr>
          <w:spacing w:val="14"/>
          <w:w w:val="105"/>
          <w:sz w:val="18"/>
        </w:rPr>
        <w:t> </w:t>
      </w:r>
      <w:r>
        <w:rPr>
          <w:w w:val="105"/>
          <w:sz w:val="18"/>
        </w:rPr>
        <w:t>date</w:t>
      </w:r>
      <w:r>
        <w:rPr>
          <w:spacing w:val="14"/>
          <w:w w:val="105"/>
          <w:sz w:val="18"/>
        </w:rPr>
        <w:t> </w:t>
      </w:r>
      <w:r>
        <w:rPr>
          <w:w w:val="105"/>
          <w:sz w:val="18"/>
        </w:rPr>
        <w:t>fair</w:t>
      </w:r>
      <w:r>
        <w:rPr>
          <w:spacing w:val="14"/>
          <w:w w:val="105"/>
          <w:sz w:val="18"/>
        </w:rPr>
        <w:t> </w:t>
      </w:r>
      <w:r>
        <w:rPr>
          <w:w w:val="105"/>
          <w:sz w:val="18"/>
        </w:rPr>
        <w:t>value of LTIs. As illustrated by the segments in the following graphs, 84% of the Target TDC of our</w:t>
      </w:r>
    </w:p>
    <w:p>
      <w:pPr>
        <w:spacing w:after="0" w:line="259" w:lineRule="auto"/>
        <w:jc w:val="both"/>
        <w:rPr>
          <w:sz w:val="18"/>
        </w:rPr>
        <w:sectPr>
          <w:type w:val="continuous"/>
          <w:pgSz w:w="12240" w:h="15840"/>
          <w:pgMar w:header="529" w:footer="1023" w:top="600" w:bottom="960" w:left="480" w:right="460"/>
        </w:sectPr>
      </w:pPr>
    </w:p>
    <w:p>
      <w:pPr>
        <w:pStyle w:val="BodyText"/>
        <w:rPr>
          <w:sz w:val="20"/>
        </w:rPr>
      </w:pPr>
    </w:p>
    <w:p>
      <w:pPr>
        <w:pStyle w:val="BodyText"/>
        <w:rPr>
          <w:sz w:val="20"/>
        </w:rPr>
      </w:pPr>
    </w:p>
    <w:p>
      <w:pPr>
        <w:pStyle w:val="BodyText"/>
        <w:spacing w:before="2"/>
        <w:rPr>
          <w:sz w:val="27"/>
        </w:rPr>
      </w:pPr>
    </w:p>
    <w:p>
      <w:pPr>
        <w:pStyle w:val="BodyText"/>
        <w:spacing w:line="249" w:lineRule="auto" w:before="98"/>
        <w:ind w:left="1959" w:right="1451"/>
      </w:pPr>
      <w:r>
        <w:rPr>
          <w:w w:val="105"/>
        </w:rPr>
        <w:t>Chief Executive Officer (“</w:t>
      </w:r>
      <w:r>
        <w:rPr>
          <w:b/>
          <w:w w:val="105"/>
        </w:rPr>
        <w:t>CEO</w:t>
      </w:r>
      <w:r>
        <w:rPr>
          <w:w w:val="105"/>
        </w:rPr>
        <w:t>”) was at-risk and/or performance based in the form of annual cash incentives and LTIs. For our other NEOs as a group on average, 68% of their Target TDC was at-risk and/or</w:t>
      </w:r>
      <w:r>
        <w:rPr>
          <w:spacing w:val="33"/>
          <w:w w:val="105"/>
        </w:rPr>
        <w:t> </w:t>
      </w:r>
      <w:r>
        <w:rPr>
          <w:w w:val="105"/>
        </w:rPr>
        <w:t>performance-based.</w:t>
      </w:r>
      <w:r>
        <w:rPr>
          <w:spacing w:val="27"/>
          <w:w w:val="105"/>
        </w:rPr>
        <w:t> </w:t>
      </w:r>
      <w:r>
        <w:rPr>
          <w:w w:val="105"/>
        </w:rPr>
        <w:t>The</w:t>
      </w:r>
      <w:r>
        <w:rPr>
          <w:spacing w:val="33"/>
          <w:w w:val="105"/>
        </w:rPr>
        <w:t> </w:t>
      </w:r>
      <w:r>
        <w:rPr>
          <w:w w:val="105"/>
        </w:rPr>
        <w:t>Compensation</w:t>
      </w:r>
      <w:r>
        <w:rPr>
          <w:spacing w:val="33"/>
          <w:w w:val="105"/>
        </w:rPr>
        <w:t> </w:t>
      </w:r>
      <w:r>
        <w:rPr>
          <w:w w:val="105"/>
        </w:rPr>
        <w:t>Committee</w:t>
      </w:r>
      <w:r>
        <w:rPr>
          <w:spacing w:val="33"/>
          <w:w w:val="105"/>
        </w:rPr>
        <w:t> </w:t>
      </w:r>
      <w:r>
        <w:rPr>
          <w:w w:val="105"/>
        </w:rPr>
        <w:t>determined</w:t>
      </w:r>
      <w:r>
        <w:rPr>
          <w:spacing w:val="33"/>
          <w:w w:val="105"/>
        </w:rPr>
        <w:t> </w:t>
      </w:r>
      <w:r>
        <w:rPr>
          <w:w w:val="105"/>
        </w:rPr>
        <w:t>that,</w:t>
      </w:r>
      <w:r>
        <w:rPr>
          <w:spacing w:val="33"/>
          <w:w w:val="105"/>
        </w:rPr>
        <w:t> </w:t>
      </w:r>
      <w:r>
        <w:rPr>
          <w:w w:val="105"/>
        </w:rPr>
        <w:t>as</w:t>
      </w:r>
      <w:r>
        <w:rPr>
          <w:spacing w:val="33"/>
          <w:w w:val="105"/>
        </w:rPr>
        <w:t> </w:t>
      </w:r>
      <w:r>
        <w:rPr>
          <w:w w:val="105"/>
        </w:rPr>
        <w:t>we</w:t>
      </w:r>
      <w:r>
        <w:rPr>
          <w:spacing w:val="33"/>
          <w:w w:val="105"/>
        </w:rPr>
        <w:t> </w:t>
      </w:r>
      <w:r>
        <w:rPr>
          <w:w w:val="105"/>
        </w:rPr>
        <w:t>have</w:t>
      </w:r>
      <w:r>
        <w:rPr>
          <w:spacing w:val="33"/>
          <w:w w:val="105"/>
        </w:rPr>
        <w:t> </w:t>
      </w:r>
      <w:r>
        <w:rPr>
          <w:w w:val="105"/>
        </w:rPr>
        <w:t>matured, target TDC for the NEOs should generally be reflective of the median in terms of mix and value of</w:t>
      </w:r>
      <w:r>
        <w:rPr>
          <w:spacing w:val="80"/>
          <w:w w:val="105"/>
        </w:rPr>
        <w:t> </w:t>
      </w:r>
      <w:r>
        <w:rPr>
          <w:w w:val="105"/>
        </w:rPr>
        <w:t>base salary, annual cash incentive, and long-term equity incentives. This is a change from the prior compensation philosophy of target TDC disproportionately emphasizing long-term incentives over</w:t>
      </w:r>
      <w:r>
        <w:rPr>
          <w:spacing w:val="80"/>
          <w:w w:val="105"/>
        </w:rPr>
        <w:t> </w:t>
      </w:r>
      <w:r>
        <w:rPr>
          <w:w w:val="105"/>
        </w:rPr>
        <w:t>base salary and annual cash incentives versus market practice during the first several years of the</w:t>
      </w:r>
      <w:r>
        <w:rPr>
          <w:spacing w:val="40"/>
          <w:w w:val="105"/>
        </w:rPr>
        <w:t> </w:t>
      </w:r>
      <w:r>
        <w:rPr>
          <w:w w:val="105"/>
        </w:rPr>
        <w:t>Company</w:t>
      </w:r>
      <w:r>
        <w:rPr>
          <w:spacing w:val="22"/>
          <w:w w:val="105"/>
        </w:rPr>
        <w:t> </w:t>
      </w:r>
      <w:r>
        <w:rPr>
          <w:w w:val="105"/>
        </w:rPr>
        <w:t>being</w:t>
      </w:r>
      <w:r>
        <w:rPr>
          <w:spacing w:val="22"/>
          <w:w w:val="105"/>
        </w:rPr>
        <w:t> </w:t>
      </w:r>
      <w:r>
        <w:rPr>
          <w:w w:val="105"/>
        </w:rPr>
        <w:t>public.</w:t>
      </w:r>
      <w:r>
        <w:rPr>
          <w:spacing w:val="22"/>
          <w:w w:val="105"/>
        </w:rPr>
        <w:t> </w:t>
      </w:r>
      <w:r>
        <w:rPr>
          <w:w w:val="105"/>
        </w:rPr>
        <w:t>In</w:t>
      </w:r>
      <w:r>
        <w:rPr>
          <w:spacing w:val="22"/>
          <w:w w:val="105"/>
        </w:rPr>
        <w:t> </w:t>
      </w:r>
      <w:r>
        <w:rPr>
          <w:w w:val="105"/>
        </w:rPr>
        <w:t>particular,</w:t>
      </w:r>
      <w:r>
        <w:rPr>
          <w:spacing w:val="22"/>
          <w:w w:val="105"/>
        </w:rPr>
        <w:t> </w:t>
      </w:r>
      <w:r>
        <w:rPr>
          <w:w w:val="105"/>
        </w:rPr>
        <w:t>for</w:t>
      </w:r>
      <w:r>
        <w:rPr>
          <w:spacing w:val="22"/>
          <w:w w:val="105"/>
        </w:rPr>
        <w:t> </w:t>
      </w:r>
      <w:r>
        <w:rPr>
          <w:w w:val="105"/>
        </w:rPr>
        <w:t>fiscal</w:t>
      </w:r>
      <w:r>
        <w:rPr>
          <w:spacing w:val="22"/>
          <w:w w:val="105"/>
        </w:rPr>
        <w:t> </w:t>
      </w:r>
      <w:r>
        <w:rPr>
          <w:w w:val="105"/>
        </w:rPr>
        <w:t>year</w:t>
      </w:r>
      <w:r>
        <w:rPr>
          <w:spacing w:val="22"/>
          <w:w w:val="105"/>
        </w:rPr>
        <w:t> </w:t>
      </w:r>
      <w:r>
        <w:rPr>
          <w:w w:val="105"/>
        </w:rPr>
        <w:t>2022,</w:t>
      </w:r>
      <w:r>
        <w:rPr>
          <w:spacing w:val="22"/>
          <w:w w:val="105"/>
        </w:rPr>
        <w:t> </w:t>
      </w:r>
      <w:r>
        <w:rPr>
          <w:w w:val="105"/>
        </w:rPr>
        <w:t>this</w:t>
      </w:r>
      <w:r>
        <w:rPr>
          <w:spacing w:val="22"/>
          <w:w w:val="105"/>
        </w:rPr>
        <w:t> </w:t>
      </w:r>
      <w:r>
        <w:rPr>
          <w:w w:val="105"/>
        </w:rPr>
        <w:t>was</w:t>
      </w:r>
      <w:r>
        <w:rPr>
          <w:spacing w:val="22"/>
          <w:w w:val="105"/>
        </w:rPr>
        <w:t> </w:t>
      </w:r>
      <w:r>
        <w:rPr>
          <w:w w:val="105"/>
        </w:rPr>
        <w:t>reflected</w:t>
      </w:r>
      <w:r>
        <w:rPr>
          <w:spacing w:val="22"/>
          <w:w w:val="105"/>
        </w:rPr>
        <w:t> </w:t>
      </w:r>
      <w:r>
        <w:rPr>
          <w:w w:val="105"/>
        </w:rPr>
        <w:t>in</w:t>
      </w:r>
      <w:r>
        <w:rPr>
          <w:spacing w:val="22"/>
          <w:w w:val="105"/>
        </w:rPr>
        <w:t> </w:t>
      </w:r>
      <w:r>
        <w:rPr>
          <w:w w:val="105"/>
        </w:rPr>
        <w:t>a</w:t>
      </w:r>
      <w:r>
        <w:rPr>
          <w:spacing w:val="22"/>
          <w:w w:val="105"/>
        </w:rPr>
        <w:t> </w:t>
      </w:r>
      <w:r>
        <w:rPr>
          <w:w w:val="105"/>
        </w:rPr>
        <w:t>slight</w:t>
      </w:r>
      <w:r>
        <w:rPr>
          <w:spacing w:val="22"/>
          <w:w w:val="105"/>
        </w:rPr>
        <w:t> </w:t>
      </w:r>
      <w:r>
        <w:rPr>
          <w:w w:val="105"/>
        </w:rPr>
        <w:t>re-balancing of</w:t>
      </w:r>
      <w:r>
        <w:rPr>
          <w:spacing w:val="20"/>
          <w:w w:val="105"/>
        </w:rPr>
        <w:t> </w:t>
      </w:r>
      <w:r>
        <w:rPr>
          <w:w w:val="105"/>
        </w:rPr>
        <w:t>our</w:t>
      </w:r>
      <w:r>
        <w:rPr>
          <w:spacing w:val="20"/>
          <w:w w:val="105"/>
        </w:rPr>
        <w:t> </w:t>
      </w:r>
      <w:r>
        <w:rPr>
          <w:w w:val="105"/>
        </w:rPr>
        <w:t>CEO’s</w:t>
      </w:r>
      <w:r>
        <w:rPr>
          <w:spacing w:val="20"/>
          <w:w w:val="105"/>
        </w:rPr>
        <w:t> </w:t>
      </w:r>
      <w:r>
        <w:rPr>
          <w:w w:val="105"/>
        </w:rPr>
        <w:t>target TDC</w:t>
      </w:r>
      <w:r>
        <w:rPr>
          <w:spacing w:val="20"/>
          <w:w w:val="105"/>
        </w:rPr>
        <w:t> </w:t>
      </w:r>
      <w:r>
        <w:rPr>
          <w:w w:val="105"/>
        </w:rPr>
        <w:t>via</w:t>
      </w:r>
      <w:r>
        <w:rPr>
          <w:spacing w:val="20"/>
          <w:w w:val="105"/>
        </w:rPr>
        <w:t> </w:t>
      </w:r>
      <w:r>
        <w:rPr>
          <w:w w:val="105"/>
        </w:rPr>
        <w:t>a</w:t>
      </w:r>
      <w:r>
        <w:rPr>
          <w:spacing w:val="20"/>
          <w:w w:val="105"/>
        </w:rPr>
        <w:t> </w:t>
      </w:r>
      <w:r>
        <w:rPr>
          <w:w w:val="105"/>
        </w:rPr>
        <w:t>market-based</w:t>
      </w:r>
      <w:r>
        <w:rPr>
          <w:spacing w:val="20"/>
          <w:w w:val="105"/>
        </w:rPr>
        <w:t> </w:t>
      </w:r>
      <w:r>
        <w:rPr>
          <w:w w:val="105"/>
        </w:rPr>
        <w:t>increase</w:t>
      </w:r>
      <w:r>
        <w:rPr>
          <w:spacing w:val="20"/>
          <w:w w:val="105"/>
        </w:rPr>
        <w:t> </w:t>
      </w:r>
      <w:r>
        <w:rPr>
          <w:w w:val="105"/>
        </w:rPr>
        <w:t>to</w:t>
      </w:r>
      <w:r>
        <w:rPr>
          <w:spacing w:val="20"/>
          <w:w w:val="105"/>
        </w:rPr>
        <w:t> </w:t>
      </w:r>
      <w:r>
        <w:rPr>
          <w:w w:val="105"/>
        </w:rPr>
        <w:t>base</w:t>
      </w:r>
      <w:r>
        <w:rPr>
          <w:spacing w:val="20"/>
          <w:w w:val="105"/>
        </w:rPr>
        <w:t> </w:t>
      </w:r>
      <w:r>
        <w:rPr>
          <w:w w:val="105"/>
        </w:rPr>
        <w:t>salary,</w:t>
      </w:r>
      <w:r>
        <w:rPr>
          <w:spacing w:val="20"/>
          <w:w w:val="105"/>
        </w:rPr>
        <w:t> </w:t>
      </w:r>
      <w:r>
        <w:rPr>
          <w:w w:val="105"/>
        </w:rPr>
        <w:t>and</w:t>
      </w:r>
      <w:r>
        <w:rPr>
          <w:spacing w:val="20"/>
          <w:w w:val="105"/>
        </w:rPr>
        <w:t> </w:t>
      </w:r>
      <w:r>
        <w:rPr>
          <w:w w:val="105"/>
        </w:rPr>
        <w:t>a</w:t>
      </w:r>
      <w:r>
        <w:rPr>
          <w:spacing w:val="20"/>
          <w:w w:val="105"/>
        </w:rPr>
        <w:t> </w:t>
      </w:r>
      <w:r>
        <w:rPr>
          <w:w w:val="105"/>
        </w:rPr>
        <w:t>slight</w:t>
      </w:r>
      <w:r>
        <w:rPr>
          <w:spacing w:val="20"/>
          <w:w w:val="105"/>
        </w:rPr>
        <w:t> </w:t>
      </w:r>
      <w:r>
        <w:rPr>
          <w:w w:val="105"/>
        </w:rPr>
        <w:t>decrease</w:t>
      </w:r>
      <w:r>
        <w:rPr>
          <w:spacing w:val="20"/>
          <w:w w:val="105"/>
        </w:rPr>
        <w:t> </w:t>
      </w:r>
      <w:r>
        <w:rPr>
          <w:w w:val="105"/>
        </w:rPr>
        <w:t>in</w:t>
      </w:r>
      <w:r>
        <w:rPr>
          <w:spacing w:val="20"/>
          <w:w w:val="105"/>
        </w:rPr>
        <w:t> </w:t>
      </w:r>
      <w:r>
        <w:rPr>
          <w:w w:val="105"/>
        </w:rPr>
        <w:t>target LTI value.</w:t>
      </w:r>
    </w:p>
    <w:p>
      <w:pPr>
        <w:pStyle w:val="BodyText"/>
        <w:spacing w:before="9"/>
        <w:rPr>
          <w:sz w:val="13"/>
        </w:rPr>
      </w:pPr>
      <w:r>
        <w:rPr/>
        <w:drawing>
          <wp:anchor distT="0" distB="0" distL="0" distR="0" allowOverlap="1" layoutInCell="1" locked="0" behindDoc="0" simplePos="0" relativeHeight="70">
            <wp:simplePos x="0" y="0"/>
            <wp:positionH relativeFrom="page">
              <wp:posOffset>1759049</wp:posOffset>
            </wp:positionH>
            <wp:positionV relativeFrom="paragraph">
              <wp:posOffset>116211</wp:posOffset>
            </wp:positionV>
            <wp:extent cx="4279456" cy="1854327"/>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7" cstate="print"/>
                    <a:stretch>
                      <a:fillRect/>
                    </a:stretch>
                  </pic:blipFill>
                  <pic:spPr>
                    <a:xfrm>
                      <a:off x="0" y="0"/>
                      <a:ext cx="4279456" cy="1854327"/>
                    </a:xfrm>
                    <a:prstGeom prst="rect">
                      <a:avLst/>
                    </a:prstGeom>
                  </pic:spPr>
                </pic:pic>
              </a:graphicData>
            </a:graphic>
          </wp:anchor>
        </w:drawing>
      </w:r>
    </w:p>
    <w:p>
      <w:pPr>
        <w:pStyle w:val="ListParagraph"/>
        <w:numPr>
          <w:ilvl w:val="1"/>
          <w:numId w:val="25"/>
        </w:numPr>
        <w:tabs>
          <w:tab w:pos="1960" w:val="left" w:leader="none"/>
        </w:tabs>
        <w:spacing w:line="259" w:lineRule="auto" w:before="155" w:after="0"/>
        <w:ind w:left="1959" w:right="1441" w:hanging="187"/>
        <w:jc w:val="left"/>
        <w:rPr>
          <w:sz w:val="18"/>
        </w:rPr>
      </w:pPr>
      <w:r>
        <w:rPr>
          <w:b/>
          <w:w w:val="105"/>
          <w:sz w:val="18"/>
        </w:rPr>
        <w:t>Use</w:t>
      </w:r>
      <w:r>
        <w:rPr>
          <w:b/>
          <w:spacing w:val="-12"/>
          <w:w w:val="105"/>
          <w:sz w:val="18"/>
        </w:rPr>
        <w:t> </w:t>
      </w:r>
      <w:r>
        <w:rPr>
          <w:b/>
          <w:w w:val="105"/>
          <w:sz w:val="18"/>
        </w:rPr>
        <w:t>of</w:t>
      </w:r>
      <w:r>
        <w:rPr>
          <w:b/>
          <w:spacing w:val="-12"/>
          <w:w w:val="105"/>
          <w:sz w:val="18"/>
        </w:rPr>
        <w:t> </w:t>
      </w:r>
      <w:r>
        <w:rPr>
          <w:b/>
          <w:w w:val="105"/>
          <w:sz w:val="18"/>
        </w:rPr>
        <w:t>rigorous</w:t>
      </w:r>
      <w:r>
        <w:rPr>
          <w:b/>
          <w:spacing w:val="-12"/>
          <w:w w:val="105"/>
          <w:sz w:val="18"/>
        </w:rPr>
        <w:t> </w:t>
      </w:r>
      <w:r>
        <w:rPr>
          <w:b/>
          <w:w w:val="105"/>
          <w:sz w:val="18"/>
        </w:rPr>
        <w:t>performance</w:t>
      </w:r>
      <w:r>
        <w:rPr>
          <w:b/>
          <w:spacing w:val="-12"/>
          <w:w w:val="105"/>
          <w:sz w:val="18"/>
        </w:rPr>
        <w:t> </w:t>
      </w:r>
      <w:r>
        <w:rPr>
          <w:b/>
          <w:w w:val="105"/>
          <w:sz w:val="18"/>
        </w:rPr>
        <w:t>goals</w:t>
      </w:r>
      <w:r>
        <w:rPr>
          <w:b/>
          <w:spacing w:val="-12"/>
          <w:w w:val="105"/>
          <w:sz w:val="18"/>
        </w:rPr>
        <w:t> </w:t>
      </w:r>
      <w:r>
        <w:rPr>
          <w:b/>
          <w:w w:val="105"/>
          <w:sz w:val="18"/>
        </w:rPr>
        <w:t>in</w:t>
      </w:r>
      <w:r>
        <w:rPr>
          <w:b/>
          <w:spacing w:val="-11"/>
          <w:w w:val="105"/>
          <w:sz w:val="18"/>
        </w:rPr>
        <w:t> </w:t>
      </w:r>
      <w:r>
        <w:rPr>
          <w:b/>
          <w:w w:val="105"/>
          <w:sz w:val="18"/>
        </w:rPr>
        <w:t>our</w:t>
      </w:r>
      <w:r>
        <w:rPr>
          <w:b/>
          <w:spacing w:val="-13"/>
          <w:w w:val="105"/>
          <w:sz w:val="18"/>
        </w:rPr>
        <w:t> </w:t>
      </w:r>
      <w:r>
        <w:rPr>
          <w:b/>
          <w:w w:val="105"/>
          <w:sz w:val="18"/>
        </w:rPr>
        <w:t>annual</w:t>
      </w:r>
      <w:r>
        <w:rPr>
          <w:b/>
          <w:spacing w:val="-11"/>
          <w:w w:val="105"/>
          <w:sz w:val="18"/>
        </w:rPr>
        <w:t> </w:t>
      </w:r>
      <w:r>
        <w:rPr>
          <w:b/>
          <w:w w:val="105"/>
          <w:sz w:val="18"/>
        </w:rPr>
        <w:t>incentive</w:t>
      </w:r>
      <w:r>
        <w:rPr>
          <w:b/>
          <w:spacing w:val="-12"/>
          <w:w w:val="105"/>
          <w:sz w:val="18"/>
        </w:rPr>
        <w:t> </w:t>
      </w:r>
      <w:r>
        <w:rPr>
          <w:b/>
          <w:w w:val="105"/>
          <w:sz w:val="18"/>
        </w:rPr>
        <w:t>plan.</w:t>
      </w:r>
      <w:r>
        <w:rPr>
          <w:b/>
          <w:spacing w:val="80"/>
          <w:w w:val="105"/>
          <w:sz w:val="18"/>
        </w:rPr>
        <w:t> </w:t>
      </w:r>
      <w:r>
        <w:rPr>
          <w:w w:val="105"/>
          <w:sz w:val="18"/>
        </w:rPr>
        <w:t>Target objectives are set at the beginning of the fiscal year to be challenging, but attainable with solid performance. For fiscal year</w:t>
      </w:r>
      <w:r>
        <w:rPr>
          <w:spacing w:val="40"/>
          <w:w w:val="105"/>
          <w:sz w:val="18"/>
        </w:rPr>
        <w:t> </w:t>
      </w:r>
      <w:r>
        <w:rPr>
          <w:w w:val="105"/>
          <w:sz w:val="18"/>
        </w:rPr>
        <w:t>2022,</w:t>
      </w:r>
      <w:r>
        <w:rPr>
          <w:spacing w:val="14"/>
          <w:w w:val="105"/>
          <w:sz w:val="18"/>
        </w:rPr>
        <w:t> </w:t>
      </w:r>
      <w:r>
        <w:rPr>
          <w:w w:val="105"/>
          <w:sz w:val="18"/>
        </w:rPr>
        <w:t>adjusted</w:t>
      </w:r>
      <w:r>
        <w:rPr>
          <w:spacing w:val="14"/>
          <w:w w:val="105"/>
          <w:sz w:val="18"/>
        </w:rPr>
        <w:t> </w:t>
      </w:r>
      <w:r>
        <w:rPr>
          <w:w w:val="105"/>
          <w:sz w:val="18"/>
        </w:rPr>
        <w:t>EBIT</w:t>
      </w:r>
      <w:r>
        <w:rPr>
          <w:spacing w:val="9"/>
          <w:w w:val="105"/>
          <w:sz w:val="18"/>
        </w:rPr>
        <w:t> </w:t>
      </w:r>
      <w:r>
        <w:rPr>
          <w:w w:val="105"/>
          <w:sz w:val="18"/>
        </w:rPr>
        <w:t>was</w:t>
      </w:r>
      <w:r>
        <w:rPr>
          <w:spacing w:val="14"/>
          <w:w w:val="105"/>
          <w:sz w:val="18"/>
        </w:rPr>
        <w:t> </w:t>
      </w:r>
      <w:r>
        <w:rPr>
          <w:w w:val="105"/>
          <w:sz w:val="18"/>
        </w:rPr>
        <w:t>the</w:t>
      </w:r>
      <w:r>
        <w:rPr>
          <w:spacing w:val="14"/>
          <w:w w:val="105"/>
          <w:sz w:val="18"/>
        </w:rPr>
        <w:t> </w:t>
      </w:r>
      <w:r>
        <w:rPr>
          <w:w w:val="105"/>
          <w:sz w:val="18"/>
        </w:rPr>
        <w:t>financial</w:t>
      </w:r>
      <w:r>
        <w:rPr>
          <w:spacing w:val="14"/>
          <w:w w:val="105"/>
          <w:sz w:val="18"/>
        </w:rPr>
        <w:t> </w:t>
      </w:r>
      <w:r>
        <w:rPr>
          <w:w w:val="105"/>
          <w:sz w:val="18"/>
        </w:rPr>
        <w:t>measure</w:t>
      </w:r>
      <w:r>
        <w:rPr>
          <w:spacing w:val="14"/>
          <w:w w:val="105"/>
          <w:sz w:val="18"/>
        </w:rPr>
        <w:t> </w:t>
      </w:r>
      <w:r>
        <w:rPr>
          <w:w w:val="105"/>
          <w:sz w:val="18"/>
        </w:rPr>
        <w:t>utilized</w:t>
      </w:r>
      <w:r>
        <w:rPr>
          <w:spacing w:val="14"/>
          <w:w w:val="105"/>
          <w:sz w:val="18"/>
        </w:rPr>
        <w:t> </w:t>
      </w:r>
      <w:r>
        <w:rPr>
          <w:w w:val="105"/>
          <w:sz w:val="18"/>
        </w:rPr>
        <w:t>as</w:t>
      </w:r>
      <w:r>
        <w:rPr>
          <w:spacing w:val="14"/>
          <w:w w:val="105"/>
          <w:sz w:val="18"/>
        </w:rPr>
        <w:t> </w:t>
      </w:r>
      <w:r>
        <w:rPr>
          <w:w w:val="105"/>
          <w:sz w:val="18"/>
        </w:rPr>
        <w:t>the</w:t>
      </w:r>
      <w:r>
        <w:rPr>
          <w:spacing w:val="14"/>
          <w:w w:val="105"/>
          <w:sz w:val="18"/>
        </w:rPr>
        <w:t> </w:t>
      </w:r>
      <w:r>
        <w:rPr>
          <w:w w:val="105"/>
          <w:sz w:val="18"/>
        </w:rPr>
        <w:t>financial</w:t>
      </w:r>
      <w:r>
        <w:rPr>
          <w:spacing w:val="14"/>
          <w:w w:val="105"/>
          <w:sz w:val="18"/>
        </w:rPr>
        <w:t> </w:t>
      </w:r>
      <w:r>
        <w:rPr>
          <w:w w:val="105"/>
          <w:sz w:val="18"/>
        </w:rPr>
        <w:t>target</w:t>
      </w:r>
      <w:r>
        <w:rPr>
          <w:spacing w:val="14"/>
          <w:w w:val="105"/>
          <w:sz w:val="18"/>
        </w:rPr>
        <w:t> </w:t>
      </w:r>
      <w:r>
        <w:rPr>
          <w:w w:val="105"/>
          <w:sz w:val="18"/>
        </w:rPr>
        <w:t>for</w:t>
      </w:r>
      <w:r>
        <w:rPr>
          <w:spacing w:val="14"/>
          <w:w w:val="105"/>
          <w:sz w:val="18"/>
        </w:rPr>
        <w:t> </w:t>
      </w:r>
      <w:r>
        <w:rPr>
          <w:w w:val="105"/>
          <w:sz w:val="18"/>
        </w:rPr>
        <w:t>all</w:t>
      </w:r>
      <w:r>
        <w:rPr>
          <w:spacing w:val="14"/>
          <w:w w:val="105"/>
          <w:sz w:val="18"/>
        </w:rPr>
        <w:t> </w:t>
      </w:r>
      <w:r>
        <w:rPr>
          <w:w w:val="105"/>
          <w:sz w:val="18"/>
        </w:rPr>
        <w:t>NEOs.</w:t>
      </w:r>
      <w:r>
        <w:rPr>
          <w:spacing w:val="9"/>
          <w:w w:val="105"/>
          <w:sz w:val="18"/>
        </w:rPr>
        <w:t> </w:t>
      </w:r>
      <w:r>
        <w:rPr>
          <w:w w:val="105"/>
          <w:sz w:val="18"/>
        </w:rPr>
        <w:t>This</w:t>
      </w:r>
      <w:r>
        <w:rPr>
          <w:spacing w:val="14"/>
          <w:w w:val="105"/>
          <w:sz w:val="18"/>
        </w:rPr>
        <w:t> </w:t>
      </w:r>
      <w:r>
        <w:rPr>
          <w:w w:val="105"/>
          <w:sz w:val="18"/>
        </w:rPr>
        <w:t>was a design change from 2021, when separate solution line measures were also utilized for Messrs. Giambattista</w:t>
      </w:r>
      <w:r>
        <w:rPr>
          <w:spacing w:val="27"/>
          <w:w w:val="105"/>
          <w:sz w:val="18"/>
        </w:rPr>
        <w:t> </w:t>
      </w:r>
      <w:r>
        <w:rPr>
          <w:w w:val="105"/>
          <w:sz w:val="18"/>
        </w:rPr>
        <w:t>and</w:t>
      </w:r>
      <w:r>
        <w:rPr>
          <w:spacing w:val="27"/>
          <w:w w:val="105"/>
          <w:sz w:val="18"/>
        </w:rPr>
        <w:t> </w:t>
      </w:r>
      <w:r>
        <w:rPr>
          <w:w w:val="105"/>
          <w:sz w:val="18"/>
        </w:rPr>
        <w:t>Hartmann. The</w:t>
      </w:r>
      <w:r>
        <w:rPr>
          <w:spacing w:val="27"/>
          <w:w w:val="105"/>
          <w:sz w:val="18"/>
        </w:rPr>
        <w:t> </w:t>
      </w:r>
      <w:r>
        <w:rPr>
          <w:w w:val="105"/>
          <w:sz w:val="18"/>
        </w:rPr>
        <w:t>EBIT target</w:t>
      </w:r>
      <w:r>
        <w:rPr>
          <w:spacing w:val="27"/>
          <w:w w:val="105"/>
          <w:sz w:val="18"/>
        </w:rPr>
        <w:t> </w:t>
      </w:r>
      <w:r>
        <w:rPr>
          <w:w w:val="105"/>
          <w:sz w:val="18"/>
        </w:rPr>
        <w:t>was</w:t>
      </w:r>
      <w:r>
        <w:rPr>
          <w:spacing w:val="27"/>
          <w:w w:val="105"/>
          <w:sz w:val="18"/>
        </w:rPr>
        <w:t> </w:t>
      </w:r>
      <w:r>
        <w:rPr>
          <w:w w:val="105"/>
          <w:sz w:val="18"/>
        </w:rPr>
        <w:t>established</w:t>
      </w:r>
      <w:r>
        <w:rPr>
          <w:spacing w:val="27"/>
          <w:w w:val="105"/>
          <w:sz w:val="18"/>
        </w:rPr>
        <w:t> </w:t>
      </w:r>
      <w:r>
        <w:rPr>
          <w:w w:val="105"/>
          <w:sz w:val="18"/>
        </w:rPr>
        <w:t>at</w:t>
      </w:r>
      <w:r>
        <w:rPr>
          <w:spacing w:val="27"/>
          <w:w w:val="105"/>
          <w:sz w:val="18"/>
        </w:rPr>
        <w:t> </w:t>
      </w:r>
      <w:r>
        <w:rPr>
          <w:w w:val="105"/>
          <w:sz w:val="18"/>
        </w:rPr>
        <w:t>a</w:t>
      </w:r>
      <w:r>
        <w:rPr>
          <w:spacing w:val="27"/>
          <w:w w:val="105"/>
          <w:sz w:val="18"/>
        </w:rPr>
        <w:t> </w:t>
      </w:r>
      <w:r>
        <w:rPr>
          <w:w w:val="105"/>
          <w:sz w:val="18"/>
        </w:rPr>
        <w:t>level</w:t>
      </w:r>
      <w:r>
        <w:rPr>
          <w:spacing w:val="27"/>
          <w:w w:val="105"/>
          <w:sz w:val="18"/>
        </w:rPr>
        <w:t> </w:t>
      </w:r>
      <w:r>
        <w:rPr>
          <w:w w:val="105"/>
          <w:sz w:val="18"/>
        </w:rPr>
        <w:t>that</w:t>
      </w:r>
      <w:r>
        <w:rPr>
          <w:spacing w:val="27"/>
          <w:w w:val="105"/>
          <w:sz w:val="18"/>
        </w:rPr>
        <w:t> </w:t>
      </w:r>
      <w:r>
        <w:rPr>
          <w:w w:val="105"/>
          <w:sz w:val="18"/>
        </w:rPr>
        <w:t>required</w:t>
      </w:r>
      <w:r>
        <w:rPr>
          <w:spacing w:val="27"/>
          <w:w w:val="105"/>
          <w:sz w:val="18"/>
        </w:rPr>
        <w:t> </w:t>
      </w:r>
      <w:r>
        <w:rPr>
          <w:w w:val="105"/>
          <w:sz w:val="18"/>
        </w:rPr>
        <w:t>improvement over</w:t>
      </w:r>
      <w:r>
        <w:rPr>
          <w:spacing w:val="29"/>
          <w:w w:val="105"/>
          <w:sz w:val="18"/>
        </w:rPr>
        <w:t> </w:t>
      </w:r>
      <w:r>
        <w:rPr>
          <w:w w:val="105"/>
          <w:sz w:val="18"/>
        </w:rPr>
        <w:t>2021</w:t>
      </w:r>
      <w:r>
        <w:rPr>
          <w:spacing w:val="29"/>
          <w:w w:val="105"/>
          <w:sz w:val="18"/>
        </w:rPr>
        <w:t> </w:t>
      </w:r>
      <w:r>
        <w:rPr>
          <w:w w:val="105"/>
          <w:sz w:val="18"/>
        </w:rPr>
        <w:t>results.</w:t>
      </w:r>
      <w:r>
        <w:rPr>
          <w:spacing w:val="29"/>
          <w:w w:val="105"/>
          <w:sz w:val="18"/>
        </w:rPr>
        <w:t> </w:t>
      </w:r>
      <w:r>
        <w:rPr>
          <w:w w:val="105"/>
          <w:sz w:val="18"/>
        </w:rPr>
        <w:t>In</w:t>
      </w:r>
      <w:r>
        <w:rPr>
          <w:spacing w:val="29"/>
          <w:w w:val="105"/>
          <w:sz w:val="18"/>
        </w:rPr>
        <w:t> </w:t>
      </w:r>
      <w:r>
        <w:rPr>
          <w:w w:val="105"/>
          <w:sz w:val="18"/>
        </w:rPr>
        <w:t>addition,</w:t>
      </w:r>
      <w:r>
        <w:rPr>
          <w:spacing w:val="29"/>
          <w:w w:val="105"/>
          <w:sz w:val="18"/>
        </w:rPr>
        <w:t> </w:t>
      </w:r>
      <w:r>
        <w:rPr>
          <w:w w:val="105"/>
          <w:sz w:val="18"/>
        </w:rPr>
        <w:t>individual</w:t>
      </w:r>
      <w:r>
        <w:rPr>
          <w:spacing w:val="29"/>
          <w:w w:val="105"/>
          <w:sz w:val="18"/>
        </w:rPr>
        <w:t> </w:t>
      </w:r>
      <w:r>
        <w:rPr>
          <w:w w:val="105"/>
          <w:sz w:val="18"/>
        </w:rPr>
        <w:t>goal</w:t>
      </w:r>
      <w:r>
        <w:rPr>
          <w:spacing w:val="29"/>
          <w:w w:val="105"/>
          <w:sz w:val="18"/>
        </w:rPr>
        <w:t> </w:t>
      </w:r>
      <w:r>
        <w:rPr>
          <w:w w:val="105"/>
          <w:sz w:val="18"/>
        </w:rPr>
        <w:t>achievement</w:t>
      </w:r>
      <w:r>
        <w:rPr>
          <w:spacing w:val="29"/>
          <w:w w:val="105"/>
          <w:sz w:val="18"/>
        </w:rPr>
        <w:t> </w:t>
      </w:r>
      <w:r>
        <w:rPr>
          <w:w w:val="105"/>
          <w:sz w:val="18"/>
        </w:rPr>
        <w:t>was</w:t>
      </w:r>
      <w:r>
        <w:rPr>
          <w:spacing w:val="29"/>
          <w:w w:val="105"/>
          <w:sz w:val="18"/>
        </w:rPr>
        <w:t> </w:t>
      </w:r>
      <w:r>
        <w:rPr>
          <w:w w:val="105"/>
          <w:sz w:val="18"/>
        </w:rPr>
        <w:t>eliminated</w:t>
      </w:r>
      <w:r>
        <w:rPr>
          <w:spacing w:val="29"/>
          <w:w w:val="105"/>
          <w:sz w:val="18"/>
        </w:rPr>
        <w:t> </w:t>
      </w:r>
      <w:r>
        <w:rPr>
          <w:w w:val="105"/>
          <w:sz w:val="18"/>
        </w:rPr>
        <w:t>as</w:t>
      </w:r>
      <w:r>
        <w:rPr>
          <w:spacing w:val="29"/>
          <w:w w:val="105"/>
          <w:sz w:val="18"/>
        </w:rPr>
        <w:t> </w:t>
      </w:r>
      <w:r>
        <w:rPr>
          <w:w w:val="105"/>
          <w:sz w:val="18"/>
        </w:rPr>
        <w:t>an</w:t>
      </w:r>
      <w:r>
        <w:rPr>
          <w:spacing w:val="29"/>
          <w:w w:val="105"/>
          <w:sz w:val="18"/>
        </w:rPr>
        <w:t> </w:t>
      </w:r>
      <w:r>
        <w:rPr>
          <w:w w:val="105"/>
          <w:sz w:val="18"/>
        </w:rPr>
        <w:t>independent measure in fiscal year 2022, and instead the individual achievement goals were used as a modifier of</w:t>
      </w:r>
      <w:r>
        <w:rPr>
          <w:spacing w:val="80"/>
          <w:w w:val="105"/>
          <w:sz w:val="18"/>
        </w:rPr>
        <w:t> </w:t>
      </w:r>
      <w:r>
        <w:rPr>
          <w:w w:val="105"/>
          <w:sz w:val="18"/>
        </w:rPr>
        <w:t>the financial goal (EBIT) achievement. We believe that using one comprehensive corporate measure</w:t>
      </w:r>
      <w:r>
        <w:rPr>
          <w:spacing w:val="40"/>
          <w:w w:val="105"/>
          <w:sz w:val="18"/>
        </w:rPr>
        <w:t> </w:t>
      </w:r>
      <w:r>
        <w:rPr>
          <w:w w:val="105"/>
          <w:sz w:val="18"/>
        </w:rPr>
        <w:t>will align and focus our executives on the overall success of the Company, while the individual achievement modifier will recognize personal performance. As a result of our strong financial performance in fiscal year 2022, and consistent with our pay for performance philosophy, executives earned between 100% and 126% of their target annual cash incentive awards (100% for the Chief Executive Officer and 110% on average for all other NEOs).</w:t>
      </w:r>
    </w:p>
    <w:p>
      <w:pPr>
        <w:pStyle w:val="ListParagraph"/>
        <w:numPr>
          <w:ilvl w:val="1"/>
          <w:numId w:val="25"/>
        </w:numPr>
        <w:tabs>
          <w:tab w:pos="1960" w:val="left" w:leader="none"/>
        </w:tabs>
        <w:spacing w:line="259" w:lineRule="auto" w:before="113" w:after="0"/>
        <w:ind w:left="1959" w:right="1445" w:hanging="187"/>
        <w:jc w:val="left"/>
        <w:rPr>
          <w:sz w:val="18"/>
        </w:rPr>
      </w:pPr>
      <w:r>
        <w:rPr>
          <w:b/>
          <w:spacing w:val="-2"/>
          <w:w w:val="105"/>
          <w:sz w:val="18"/>
        </w:rPr>
        <w:t>50%</w:t>
      </w:r>
      <w:r>
        <w:rPr>
          <w:b/>
          <w:spacing w:val="-10"/>
          <w:w w:val="105"/>
          <w:sz w:val="18"/>
        </w:rPr>
        <w:t> </w:t>
      </w:r>
      <w:r>
        <w:rPr>
          <w:b/>
          <w:spacing w:val="-2"/>
          <w:w w:val="105"/>
          <w:sz w:val="18"/>
        </w:rPr>
        <w:t>of</w:t>
      </w:r>
      <w:r>
        <w:rPr>
          <w:b/>
          <w:spacing w:val="-10"/>
          <w:w w:val="105"/>
          <w:sz w:val="18"/>
        </w:rPr>
        <w:t> </w:t>
      </w:r>
      <w:r>
        <w:rPr>
          <w:b/>
          <w:spacing w:val="-2"/>
          <w:w w:val="105"/>
          <w:sz w:val="18"/>
        </w:rPr>
        <w:t>LTI</w:t>
      </w:r>
      <w:r>
        <w:rPr>
          <w:b/>
          <w:spacing w:val="-10"/>
          <w:w w:val="105"/>
          <w:sz w:val="18"/>
        </w:rPr>
        <w:t> </w:t>
      </w:r>
      <w:r>
        <w:rPr>
          <w:b/>
          <w:spacing w:val="-2"/>
          <w:w w:val="105"/>
          <w:sz w:val="18"/>
        </w:rPr>
        <w:t>value</w:t>
      </w:r>
      <w:r>
        <w:rPr>
          <w:b/>
          <w:spacing w:val="-10"/>
          <w:w w:val="105"/>
          <w:sz w:val="18"/>
        </w:rPr>
        <w:t> </w:t>
      </w:r>
      <w:r>
        <w:rPr>
          <w:b/>
          <w:spacing w:val="-2"/>
          <w:w w:val="105"/>
          <w:sz w:val="18"/>
        </w:rPr>
        <w:t>granted</w:t>
      </w:r>
      <w:r>
        <w:rPr>
          <w:b/>
          <w:spacing w:val="-10"/>
          <w:w w:val="105"/>
          <w:sz w:val="18"/>
        </w:rPr>
        <w:t> </w:t>
      </w:r>
      <w:r>
        <w:rPr>
          <w:b/>
          <w:spacing w:val="-2"/>
          <w:w w:val="105"/>
          <w:sz w:val="18"/>
        </w:rPr>
        <w:t>in</w:t>
      </w:r>
      <w:r>
        <w:rPr>
          <w:b/>
          <w:spacing w:val="-9"/>
          <w:w w:val="105"/>
          <w:sz w:val="18"/>
        </w:rPr>
        <w:t> </w:t>
      </w:r>
      <w:r>
        <w:rPr>
          <w:b/>
          <w:spacing w:val="-2"/>
          <w:w w:val="105"/>
          <w:sz w:val="18"/>
        </w:rPr>
        <w:t>the</w:t>
      </w:r>
      <w:r>
        <w:rPr>
          <w:b/>
          <w:spacing w:val="-10"/>
          <w:w w:val="105"/>
          <w:sz w:val="18"/>
        </w:rPr>
        <w:t> </w:t>
      </w:r>
      <w:r>
        <w:rPr>
          <w:b/>
          <w:spacing w:val="-2"/>
          <w:w w:val="105"/>
          <w:sz w:val="18"/>
        </w:rPr>
        <w:t>form</w:t>
      </w:r>
      <w:r>
        <w:rPr>
          <w:b/>
          <w:spacing w:val="-10"/>
          <w:w w:val="105"/>
          <w:sz w:val="18"/>
        </w:rPr>
        <w:t> </w:t>
      </w:r>
      <w:r>
        <w:rPr>
          <w:b/>
          <w:spacing w:val="-2"/>
          <w:w w:val="105"/>
          <w:sz w:val="18"/>
        </w:rPr>
        <w:t>of</w:t>
      </w:r>
      <w:r>
        <w:rPr>
          <w:b/>
          <w:spacing w:val="-10"/>
          <w:w w:val="105"/>
          <w:sz w:val="18"/>
        </w:rPr>
        <w:t> </w:t>
      </w:r>
      <w:r>
        <w:rPr>
          <w:b/>
          <w:spacing w:val="-2"/>
          <w:w w:val="105"/>
          <w:sz w:val="18"/>
        </w:rPr>
        <w:t>performance-based</w:t>
      </w:r>
      <w:r>
        <w:rPr>
          <w:b/>
          <w:spacing w:val="-10"/>
          <w:w w:val="105"/>
          <w:sz w:val="18"/>
        </w:rPr>
        <w:t> </w:t>
      </w:r>
      <w:r>
        <w:rPr>
          <w:b/>
          <w:spacing w:val="-2"/>
          <w:w w:val="105"/>
          <w:sz w:val="18"/>
        </w:rPr>
        <w:t>stock</w:t>
      </w:r>
      <w:r>
        <w:rPr>
          <w:b/>
          <w:spacing w:val="-9"/>
          <w:w w:val="105"/>
          <w:sz w:val="18"/>
        </w:rPr>
        <w:t> </w:t>
      </w:r>
      <w:r>
        <w:rPr>
          <w:b/>
          <w:spacing w:val="-2"/>
          <w:w w:val="105"/>
          <w:sz w:val="18"/>
        </w:rPr>
        <w:t>options.</w:t>
      </w:r>
      <w:r>
        <w:rPr>
          <w:b/>
          <w:spacing w:val="48"/>
          <w:w w:val="105"/>
          <w:sz w:val="18"/>
        </w:rPr>
        <w:t> </w:t>
      </w:r>
      <w:r>
        <w:rPr>
          <w:spacing w:val="-2"/>
          <w:w w:val="105"/>
          <w:sz w:val="18"/>
        </w:rPr>
        <w:t>For</w:t>
      </w:r>
      <w:r>
        <w:rPr>
          <w:spacing w:val="-10"/>
          <w:w w:val="105"/>
          <w:sz w:val="18"/>
        </w:rPr>
        <w:t> </w:t>
      </w:r>
      <w:r>
        <w:rPr>
          <w:spacing w:val="-2"/>
          <w:w w:val="105"/>
          <w:sz w:val="18"/>
        </w:rPr>
        <w:t>2022,</w:t>
      </w:r>
      <w:r>
        <w:rPr>
          <w:spacing w:val="-10"/>
          <w:w w:val="105"/>
          <w:sz w:val="18"/>
        </w:rPr>
        <w:t> </w:t>
      </w:r>
      <w:r>
        <w:rPr>
          <w:spacing w:val="-2"/>
          <w:w w:val="105"/>
          <w:sz w:val="18"/>
        </w:rPr>
        <w:t>the</w:t>
      </w:r>
      <w:r>
        <w:rPr>
          <w:spacing w:val="-10"/>
          <w:w w:val="105"/>
          <w:sz w:val="18"/>
        </w:rPr>
        <w:t> </w:t>
      </w:r>
      <w:r>
        <w:rPr>
          <w:spacing w:val="-2"/>
          <w:w w:val="105"/>
          <w:sz w:val="18"/>
        </w:rPr>
        <w:t>LTI</w:t>
      </w:r>
      <w:r>
        <w:rPr>
          <w:spacing w:val="-6"/>
          <w:w w:val="105"/>
          <w:sz w:val="18"/>
        </w:rPr>
        <w:t> </w:t>
      </w:r>
      <w:r>
        <w:rPr>
          <w:spacing w:val="-2"/>
          <w:w w:val="105"/>
          <w:sz w:val="18"/>
        </w:rPr>
        <w:t>program </w:t>
      </w:r>
      <w:r>
        <w:rPr>
          <w:w w:val="105"/>
          <w:sz w:val="18"/>
        </w:rPr>
        <w:t>was comprised of time-based RSUs (50%) and performance-based stock options (50%). The performance-based</w:t>
      </w:r>
      <w:r>
        <w:rPr>
          <w:spacing w:val="25"/>
          <w:w w:val="105"/>
          <w:sz w:val="18"/>
        </w:rPr>
        <w:t> </w:t>
      </w:r>
      <w:r>
        <w:rPr>
          <w:w w:val="105"/>
          <w:sz w:val="18"/>
        </w:rPr>
        <w:t>stock</w:t>
      </w:r>
      <w:r>
        <w:rPr>
          <w:spacing w:val="25"/>
          <w:w w:val="105"/>
          <w:sz w:val="18"/>
        </w:rPr>
        <w:t> </w:t>
      </w:r>
      <w:r>
        <w:rPr>
          <w:w w:val="105"/>
          <w:sz w:val="18"/>
        </w:rPr>
        <w:t>options</w:t>
      </w:r>
      <w:r>
        <w:rPr>
          <w:spacing w:val="25"/>
          <w:w w:val="105"/>
          <w:sz w:val="18"/>
        </w:rPr>
        <w:t> </w:t>
      </w:r>
      <w:r>
        <w:rPr>
          <w:w w:val="105"/>
          <w:sz w:val="18"/>
        </w:rPr>
        <w:t>have</w:t>
      </w:r>
      <w:r>
        <w:rPr>
          <w:spacing w:val="25"/>
          <w:w w:val="105"/>
          <w:sz w:val="18"/>
        </w:rPr>
        <w:t> </w:t>
      </w:r>
      <w:r>
        <w:rPr>
          <w:w w:val="105"/>
          <w:sz w:val="18"/>
        </w:rPr>
        <w:t>an</w:t>
      </w:r>
      <w:r>
        <w:rPr>
          <w:spacing w:val="25"/>
          <w:w w:val="105"/>
          <w:sz w:val="18"/>
        </w:rPr>
        <w:t> </w:t>
      </w:r>
      <w:r>
        <w:rPr>
          <w:w w:val="105"/>
          <w:sz w:val="18"/>
        </w:rPr>
        <w:t>exercise</w:t>
      </w:r>
      <w:r>
        <w:rPr>
          <w:spacing w:val="25"/>
          <w:w w:val="105"/>
          <w:sz w:val="18"/>
        </w:rPr>
        <w:t> </w:t>
      </w:r>
      <w:r>
        <w:rPr>
          <w:w w:val="105"/>
          <w:sz w:val="18"/>
        </w:rPr>
        <w:t>price</w:t>
      </w:r>
      <w:r>
        <w:rPr>
          <w:spacing w:val="25"/>
          <w:w w:val="105"/>
          <w:sz w:val="18"/>
        </w:rPr>
        <w:t> </w:t>
      </w:r>
      <w:r>
        <w:rPr>
          <w:w w:val="105"/>
          <w:sz w:val="18"/>
        </w:rPr>
        <w:t>that</w:t>
      </w:r>
      <w:r>
        <w:rPr>
          <w:spacing w:val="25"/>
          <w:w w:val="105"/>
          <w:sz w:val="18"/>
        </w:rPr>
        <w:t> </w:t>
      </w:r>
      <w:r>
        <w:rPr>
          <w:w w:val="105"/>
          <w:sz w:val="18"/>
        </w:rPr>
        <w:t>is</w:t>
      </w:r>
      <w:r>
        <w:rPr>
          <w:spacing w:val="25"/>
          <w:w w:val="105"/>
          <w:sz w:val="18"/>
        </w:rPr>
        <w:t> </w:t>
      </w:r>
      <w:r>
        <w:rPr>
          <w:w w:val="105"/>
          <w:sz w:val="18"/>
        </w:rPr>
        <w:t>10%</w:t>
      </w:r>
      <w:r>
        <w:rPr>
          <w:spacing w:val="25"/>
          <w:w w:val="105"/>
          <w:sz w:val="18"/>
        </w:rPr>
        <w:t> </w:t>
      </w:r>
      <w:r>
        <w:rPr>
          <w:w w:val="105"/>
          <w:sz w:val="18"/>
        </w:rPr>
        <w:t>higher</w:t>
      </w:r>
      <w:r>
        <w:rPr>
          <w:spacing w:val="25"/>
          <w:w w:val="105"/>
          <w:sz w:val="18"/>
        </w:rPr>
        <w:t> </w:t>
      </w:r>
      <w:r>
        <w:rPr>
          <w:w w:val="105"/>
          <w:sz w:val="18"/>
        </w:rPr>
        <w:t>than</w:t>
      </w:r>
      <w:r>
        <w:rPr>
          <w:spacing w:val="25"/>
          <w:w w:val="105"/>
          <w:sz w:val="18"/>
        </w:rPr>
        <w:t> </w:t>
      </w:r>
      <w:r>
        <w:rPr>
          <w:w w:val="105"/>
          <w:sz w:val="18"/>
        </w:rPr>
        <w:t>our</w:t>
      </w:r>
      <w:r>
        <w:rPr>
          <w:spacing w:val="25"/>
          <w:w w:val="105"/>
          <w:sz w:val="18"/>
        </w:rPr>
        <w:t> </w:t>
      </w:r>
      <w:r>
        <w:rPr>
          <w:w w:val="105"/>
          <w:sz w:val="18"/>
        </w:rPr>
        <w:t>closing</w:t>
      </w:r>
      <w:r>
        <w:rPr>
          <w:spacing w:val="25"/>
          <w:w w:val="105"/>
          <w:sz w:val="18"/>
        </w:rPr>
        <w:t> </w:t>
      </w:r>
      <w:r>
        <w:rPr>
          <w:w w:val="105"/>
          <w:sz w:val="18"/>
        </w:rPr>
        <w:t>stock price on the date of grant, thus requiring achievement of a 10% stock price increase before the stock</w:t>
      </w:r>
      <w:r>
        <w:rPr>
          <w:spacing w:val="40"/>
          <w:w w:val="105"/>
          <w:sz w:val="18"/>
        </w:rPr>
        <w:t> </w:t>
      </w:r>
      <w:r>
        <w:rPr>
          <w:w w:val="105"/>
          <w:sz w:val="18"/>
        </w:rPr>
        <w:t>options begin to have realizable value to the executives, subject to additional service-based vesting</w:t>
      </w:r>
      <w:r>
        <w:rPr>
          <w:spacing w:val="40"/>
          <w:w w:val="105"/>
          <w:sz w:val="18"/>
        </w:rPr>
        <w:t> </w:t>
      </w:r>
      <w:r>
        <w:rPr>
          <w:spacing w:val="-2"/>
          <w:w w:val="105"/>
          <w:sz w:val="18"/>
        </w:rPr>
        <w:t>conditions.</w:t>
      </w:r>
    </w:p>
    <w:p>
      <w:pPr>
        <w:pStyle w:val="ListParagraph"/>
        <w:numPr>
          <w:ilvl w:val="1"/>
          <w:numId w:val="25"/>
        </w:numPr>
        <w:tabs>
          <w:tab w:pos="1960" w:val="left" w:leader="none"/>
        </w:tabs>
        <w:spacing w:line="259" w:lineRule="auto" w:before="113" w:after="0"/>
        <w:ind w:left="1959" w:right="1424" w:hanging="187"/>
        <w:jc w:val="left"/>
        <w:rPr>
          <w:sz w:val="18"/>
        </w:rPr>
      </w:pPr>
      <w:r>
        <w:rPr>
          <w:b/>
          <w:w w:val="105"/>
          <w:sz w:val="18"/>
        </w:rPr>
        <w:t>Use</w:t>
      </w:r>
      <w:r>
        <w:rPr>
          <w:b/>
          <w:spacing w:val="-4"/>
          <w:w w:val="105"/>
          <w:sz w:val="18"/>
        </w:rPr>
        <w:t> </w:t>
      </w:r>
      <w:r>
        <w:rPr>
          <w:b/>
          <w:w w:val="105"/>
          <w:sz w:val="18"/>
        </w:rPr>
        <w:t>of</w:t>
      </w:r>
      <w:r>
        <w:rPr>
          <w:b/>
          <w:spacing w:val="-4"/>
          <w:w w:val="105"/>
          <w:sz w:val="18"/>
        </w:rPr>
        <w:t> </w:t>
      </w:r>
      <w:r>
        <w:rPr>
          <w:b/>
          <w:w w:val="105"/>
          <w:sz w:val="18"/>
        </w:rPr>
        <w:t>Strategic</w:t>
      </w:r>
      <w:r>
        <w:rPr>
          <w:b/>
          <w:spacing w:val="-4"/>
          <w:w w:val="105"/>
          <w:sz w:val="18"/>
        </w:rPr>
        <w:t> </w:t>
      </w:r>
      <w:r>
        <w:rPr>
          <w:b/>
          <w:w w:val="105"/>
          <w:sz w:val="18"/>
        </w:rPr>
        <w:t>Goals.</w:t>
      </w:r>
      <w:r>
        <w:rPr>
          <w:b/>
          <w:spacing w:val="80"/>
          <w:w w:val="105"/>
          <w:sz w:val="18"/>
        </w:rPr>
        <w:t> </w:t>
      </w:r>
      <w:r>
        <w:rPr>
          <w:w w:val="105"/>
          <w:sz w:val="18"/>
        </w:rPr>
        <w:t>Achievement of individual strategic goals continues to be used in the annual cash incentive opportunity for our executive officers, as a modifier of the quantitatively determined</w:t>
      </w:r>
      <w:r>
        <w:rPr>
          <w:spacing w:val="40"/>
          <w:w w:val="105"/>
          <w:sz w:val="18"/>
        </w:rPr>
        <w:t> </w:t>
      </w:r>
      <w:r>
        <w:rPr>
          <w:w w:val="105"/>
          <w:sz w:val="18"/>
        </w:rPr>
        <w:t>bonus</w:t>
      </w:r>
      <w:r>
        <w:rPr>
          <w:spacing w:val="18"/>
          <w:w w:val="105"/>
          <w:sz w:val="18"/>
        </w:rPr>
        <w:t> </w:t>
      </w:r>
      <w:r>
        <w:rPr>
          <w:w w:val="105"/>
          <w:sz w:val="18"/>
        </w:rPr>
        <w:t>based</w:t>
      </w:r>
      <w:r>
        <w:rPr>
          <w:spacing w:val="18"/>
          <w:w w:val="105"/>
          <w:sz w:val="18"/>
        </w:rPr>
        <w:t> </w:t>
      </w:r>
      <w:r>
        <w:rPr>
          <w:w w:val="105"/>
          <w:sz w:val="18"/>
        </w:rPr>
        <w:t>on</w:t>
      </w:r>
      <w:r>
        <w:rPr>
          <w:spacing w:val="18"/>
          <w:w w:val="105"/>
          <w:sz w:val="18"/>
        </w:rPr>
        <w:t> </w:t>
      </w:r>
      <w:r>
        <w:rPr>
          <w:w w:val="105"/>
          <w:sz w:val="18"/>
        </w:rPr>
        <w:t>the</w:t>
      </w:r>
      <w:r>
        <w:rPr>
          <w:spacing w:val="18"/>
          <w:w w:val="105"/>
          <w:sz w:val="18"/>
        </w:rPr>
        <w:t> </w:t>
      </w:r>
      <w:r>
        <w:rPr>
          <w:w w:val="105"/>
          <w:sz w:val="18"/>
        </w:rPr>
        <w:t>EBIT financial</w:t>
      </w:r>
      <w:r>
        <w:rPr>
          <w:spacing w:val="18"/>
          <w:w w:val="105"/>
          <w:sz w:val="18"/>
        </w:rPr>
        <w:t> </w:t>
      </w:r>
      <w:r>
        <w:rPr>
          <w:w w:val="105"/>
          <w:sz w:val="18"/>
        </w:rPr>
        <w:t>achievement</w:t>
      </w:r>
      <w:r>
        <w:rPr>
          <w:spacing w:val="18"/>
          <w:w w:val="105"/>
          <w:sz w:val="18"/>
        </w:rPr>
        <w:t> </w:t>
      </w:r>
      <w:r>
        <w:rPr>
          <w:w w:val="105"/>
          <w:sz w:val="18"/>
        </w:rPr>
        <w:t>of</w:t>
      </w:r>
      <w:r>
        <w:rPr>
          <w:spacing w:val="18"/>
          <w:w w:val="105"/>
          <w:sz w:val="18"/>
        </w:rPr>
        <w:t> </w:t>
      </w:r>
      <w:r>
        <w:rPr>
          <w:w w:val="105"/>
          <w:sz w:val="18"/>
        </w:rPr>
        <w:t>the</w:t>
      </w:r>
      <w:r>
        <w:rPr>
          <w:spacing w:val="18"/>
          <w:w w:val="105"/>
          <w:sz w:val="18"/>
        </w:rPr>
        <w:t> </w:t>
      </w:r>
      <w:r>
        <w:rPr>
          <w:w w:val="105"/>
          <w:sz w:val="18"/>
        </w:rPr>
        <w:t>Company. We</w:t>
      </w:r>
      <w:r>
        <w:rPr>
          <w:spacing w:val="18"/>
          <w:w w:val="105"/>
          <w:sz w:val="18"/>
        </w:rPr>
        <w:t> </w:t>
      </w:r>
      <w:r>
        <w:rPr>
          <w:w w:val="105"/>
          <w:sz w:val="18"/>
        </w:rPr>
        <w:t>believe</w:t>
      </w:r>
      <w:r>
        <w:rPr>
          <w:spacing w:val="18"/>
          <w:w w:val="105"/>
          <w:sz w:val="18"/>
        </w:rPr>
        <w:t> </w:t>
      </w:r>
      <w:r>
        <w:rPr>
          <w:w w:val="105"/>
          <w:sz w:val="18"/>
        </w:rPr>
        <w:t>this</w:t>
      </w:r>
      <w:r>
        <w:rPr>
          <w:spacing w:val="18"/>
          <w:w w:val="105"/>
          <w:sz w:val="18"/>
        </w:rPr>
        <w:t> </w:t>
      </w:r>
      <w:r>
        <w:rPr>
          <w:w w:val="105"/>
          <w:sz w:val="18"/>
        </w:rPr>
        <w:t>is</w:t>
      </w:r>
      <w:r>
        <w:rPr>
          <w:spacing w:val="18"/>
          <w:w w:val="105"/>
          <w:sz w:val="18"/>
        </w:rPr>
        <w:t> </w:t>
      </w:r>
      <w:r>
        <w:rPr>
          <w:w w:val="105"/>
          <w:sz w:val="18"/>
        </w:rPr>
        <w:t>a</w:t>
      </w:r>
      <w:r>
        <w:rPr>
          <w:spacing w:val="18"/>
          <w:w w:val="105"/>
          <w:sz w:val="18"/>
        </w:rPr>
        <w:t> </w:t>
      </w:r>
      <w:r>
        <w:rPr>
          <w:w w:val="105"/>
          <w:sz w:val="18"/>
        </w:rPr>
        <w:t>useful</w:t>
      </w:r>
      <w:r>
        <w:rPr>
          <w:spacing w:val="18"/>
          <w:w w:val="105"/>
          <w:sz w:val="18"/>
        </w:rPr>
        <w:t> </w:t>
      </w:r>
      <w:r>
        <w:rPr>
          <w:w w:val="105"/>
          <w:sz w:val="18"/>
        </w:rPr>
        <w:t>method for adjusting the quantitatively determined portion of the bonus to reward achievement of key</w:t>
      </w:r>
      <w:r>
        <w:rPr>
          <w:spacing w:val="40"/>
          <w:w w:val="105"/>
          <w:sz w:val="18"/>
        </w:rPr>
        <w:t> </w:t>
      </w:r>
      <w:r>
        <w:rPr>
          <w:w w:val="105"/>
          <w:sz w:val="18"/>
        </w:rPr>
        <w:t>milestones in the implementation of our strategies. The Compensation Committee carefully evaluates management’s accomplishments relative to our key strategic goals.</w:t>
      </w:r>
    </w:p>
    <w:p>
      <w:pPr>
        <w:pStyle w:val="ListParagraph"/>
        <w:numPr>
          <w:ilvl w:val="1"/>
          <w:numId w:val="25"/>
        </w:numPr>
        <w:tabs>
          <w:tab w:pos="1960" w:val="left" w:leader="none"/>
        </w:tabs>
        <w:spacing w:line="259" w:lineRule="auto" w:before="113" w:after="0"/>
        <w:ind w:left="1959" w:right="1620" w:hanging="187"/>
        <w:jc w:val="left"/>
        <w:rPr>
          <w:sz w:val="18"/>
        </w:rPr>
      </w:pPr>
      <w:r>
        <w:rPr>
          <w:b/>
          <w:w w:val="105"/>
          <w:sz w:val="18"/>
        </w:rPr>
        <w:t>Alignment</w:t>
      </w:r>
      <w:r>
        <w:rPr>
          <w:b/>
          <w:spacing w:val="-12"/>
          <w:w w:val="105"/>
          <w:sz w:val="18"/>
        </w:rPr>
        <w:t> </w:t>
      </w:r>
      <w:r>
        <w:rPr>
          <w:b/>
          <w:w w:val="105"/>
          <w:sz w:val="18"/>
        </w:rPr>
        <w:t>of</w:t>
      </w:r>
      <w:r>
        <w:rPr>
          <w:b/>
          <w:spacing w:val="-12"/>
          <w:w w:val="105"/>
          <w:sz w:val="18"/>
        </w:rPr>
        <w:t> </w:t>
      </w:r>
      <w:r>
        <w:rPr>
          <w:b/>
          <w:w w:val="105"/>
          <w:sz w:val="18"/>
        </w:rPr>
        <w:t>pay</w:t>
      </w:r>
      <w:r>
        <w:rPr>
          <w:b/>
          <w:spacing w:val="-12"/>
          <w:w w:val="105"/>
          <w:sz w:val="18"/>
        </w:rPr>
        <w:t> </w:t>
      </w:r>
      <w:r>
        <w:rPr>
          <w:b/>
          <w:w w:val="105"/>
          <w:sz w:val="18"/>
        </w:rPr>
        <w:t>and</w:t>
      </w:r>
      <w:r>
        <w:rPr>
          <w:b/>
          <w:spacing w:val="-12"/>
          <w:w w:val="105"/>
          <w:sz w:val="18"/>
        </w:rPr>
        <w:t> </w:t>
      </w:r>
      <w:r>
        <w:rPr>
          <w:b/>
          <w:w w:val="105"/>
          <w:sz w:val="18"/>
        </w:rPr>
        <w:t>stockholders’</w:t>
      </w:r>
      <w:r>
        <w:rPr>
          <w:b/>
          <w:spacing w:val="-22"/>
          <w:w w:val="105"/>
          <w:sz w:val="18"/>
        </w:rPr>
        <w:t> </w:t>
      </w:r>
      <w:r>
        <w:rPr>
          <w:b/>
          <w:w w:val="105"/>
          <w:sz w:val="18"/>
        </w:rPr>
        <w:t>returns.</w:t>
      </w:r>
      <w:r>
        <w:rPr>
          <w:b/>
          <w:spacing w:val="50"/>
          <w:w w:val="105"/>
          <w:sz w:val="18"/>
        </w:rPr>
        <w:t> </w:t>
      </w:r>
      <w:r>
        <w:rPr>
          <w:w w:val="105"/>
          <w:sz w:val="18"/>
        </w:rPr>
        <w:t>The</w:t>
      </w:r>
      <w:r>
        <w:rPr>
          <w:spacing w:val="-3"/>
          <w:w w:val="105"/>
          <w:sz w:val="18"/>
        </w:rPr>
        <w:t> </w:t>
      </w:r>
      <w:r>
        <w:rPr>
          <w:w w:val="105"/>
          <w:sz w:val="18"/>
        </w:rPr>
        <w:t>Compensation</w:t>
      </w:r>
      <w:r>
        <w:rPr>
          <w:spacing w:val="-4"/>
          <w:w w:val="105"/>
          <w:sz w:val="18"/>
        </w:rPr>
        <w:t> </w:t>
      </w:r>
      <w:r>
        <w:rPr>
          <w:w w:val="105"/>
          <w:sz w:val="18"/>
        </w:rPr>
        <w:t>Committee</w:t>
      </w:r>
      <w:r>
        <w:rPr>
          <w:spacing w:val="-4"/>
          <w:w w:val="105"/>
          <w:sz w:val="18"/>
        </w:rPr>
        <w:t> </w:t>
      </w:r>
      <w:r>
        <w:rPr>
          <w:w w:val="105"/>
          <w:sz w:val="18"/>
        </w:rPr>
        <w:t>carefully</w:t>
      </w:r>
      <w:r>
        <w:rPr>
          <w:spacing w:val="-4"/>
          <w:w w:val="105"/>
          <w:sz w:val="18"/>
        </w:rPr>
        <w:t> </w:t>
      </w:r>
      <w:r>
        <w:rPr>
          <w:w w:val="105"/>
          <w:sz w:val="18"/>
        </w:rPr>
        <w:t>structures</w:t>
      </w:r>
      <w:r>
        <w:rPr>
          <w:spacing w:val="-4"/>
          <w:w w:val="105"/>
          <w:sz w:val="18"/>
        </w:rPr>
        <w:t> </w:t>
      </w:r>
      <w:r>
        <w:rPr>
          <w:w w:val="105"/>
          <w:sz w:val="18"/>
        </w:rPr>
        <w:t>the compensation program to achieve alignment with stockholder interests, while providing target pay opportunities that are competitive with the market and appropriate to the specific contributions of</w:t>
      </w:r>
      <w:r>
        <w:rPr>
          <w:spacing w:val="40"/>
          <w:w w:val="105"/>
          <w:sz w:val="18"/>
        </w:rPr>
        <w:t> </w:t>
      </w:r>
      <w:r>
        <w:rPr>
          <w:w w:val="105"/>
          <w:sz w:val="18"/>
        </w:rPr>
        <w:t>each executive. Because 84% of our CEO’s Target TDC is tied to the achievement of operating</w:t>
      </w:r>
      <w:r>
        <w:rPr>
          <w:spacing w:val="40"/>
          <w:w w:val="105"/>
          <w:sz w:val="18"/>
        </w:rPr>
        <w:t> </w:t>
      </w:r>
      <w:r>
        <w:rPr>
          <w:w w:val="105"/>
          <w:sz w:val="18"/>
        </w:rPr>
        <w:t>results</w:t>
      </w:r>
      <w:r>
        <w:rPr>
          <w:spacing w:val="17"/>
          <w:w w:val="105"/>
          <w:sz w:val="18"/>
        </w:rPr>
        <w:t> </w:t>
      </w:r>
      <w:r>
        <w:rPr>
          <w:w w:val="105"/>
          <w:sz w:val="18"/>
        </w:rPr>
        <w:t>and/or</w:t>
      </w:r>
      <w:r>
        <w:rPr>
          <w:spacing w:val="17"/>
          <w:w w:val="105"/>
          <w:sz w:val="18"/>
        </w:rPr>
        <w:t> </w:t>
      </w:r>
      <w:r>
        <w:rPr>
          <w:w w:val="105"/>
          <w:sz w:val="18"/>
        </w:rPr>
        <w:t>share</w:t>
      </w:r>
      <w:r>
        <w:rPr>
          <w:spacing w:val="17"/>
          <w:w w:val="105"/>
          <w:sz w:val="18"/>
        </w:rPr>
        <w:t> </w:t>
      </w:r>
      <w:r>
        <w:rPr>
          <w:w w:val="105"/>
          <w:sz w:val="18"/>
        </w:rPr>
        <w:t>price</w:t>
      </w:r>
      <w:r>
        <w:rPr>
          <w:spacing w:val="17"/>
          <w:w w:val="105"/>
          <w:sz w:val="18"/>
        </w:rPr>
        <w:t> </w:t>
      </w:r>
      <w:r>
        <w:rPr>
          <w:w w:val="105"/>
          <w:sz w:val="18"/>
        </w:rPr>
        <w:t>performance,</w:t>
      </w:r>
      <w:r>
        <w:rPr>
          <w:spacing w:val="17"/>
          <w:w w:val="105"/>
          <w:sz w:val="18"/>
        </w:rPr>
        <w:t> </w:t>
      </w:r>
      <w:r>
        <w:rPr>
          <w:w w:val="105"/>
          <w:sz w:val="18"/>
        </w:rPr>
        <w:t>it</w:t>
      </w:r>
      <w:r>
        <w:rPr>
          <w:spacing w:val="17"/>
          <w:w w:val="105"/>
          <w:sz w:val="18"/>
        </w:rPr>
        <w:t> </w:t>
      </w:r>
      <w:r>
        <w:rPr>
          <w:w w:val="105"/>
          <w:sz w:val="18"/>
        </w:rPr>
        <w:t>is</w:t>
      </w:r>
      <w:r>
        <w:rPr>
          <w:spacing w:val="17"/>
          <w:w w:val="105"/>
          <w:sz w:val="18"/>
        </w:rPr>
        <w:t> </w:t>
      </w:r>
      <w:r>
        <w:rPr>
          <w:w w:val="105"/>
          <w:sz w:val="18"/>
        </w:rPr>
        <w:t>valuable</w:t>
      </w:r>
      <w:r>
        <w:rPr>
          <w:spacing w:val="17"/>
          <w:w w:val="105"/>
          <w:sz w:val="18"/>
        </w:rPr>
        <w:t> </w:t>
      </w:r>
      <w:r>
        <w:rPr>
          <w:w w:val="105"/>
          <w:sz w:val="18"/>
        </w:rPr>
        <w:t>to</w:t>
      </w:r>
      <w:r>
        <w:rPr>
          <w:spacing w:val="17"/>
          <w:w w:val="105"/>
          <w:sz w:val="18"/>
        </w:rPr>
        <w:t> </w:t>
      </w:r>
      <w:r>
        <w:rPr>
          <w:w w:val="105"/>
          <w:sz w:val="18"/>
        </w:rPr>
        <w:t>assess</w:t>
      </w:r>
      <w:r>
        <w:rPr>
          <w:spacing w:val="17"/>
          <w:w w:val="105"/>
          <w:sz w:val="18"/>
        </w:rPr>
        <w:t> </w:t>
      </w:r>
      <w:r>
        <w:rPr>
          <w:w w:val="105"/>
          <w:sz w:val="18"/>
        </w:rPr>
        <w:t>the</w:t>
      </w:r>
      <w:r>
        <w:rPr>
          <w:spacing w:val="17"/>
          <w:w w:val="105"/>
          <w:sz w:val="18"/>
        </w:rPr>
        <w:t> </w:t>
      </w:r>
      <w:r>
        <w:rPr>
          <w:w w:val="105"/>
          <w:sz w:val="18"/>
        </w:rPr>
        <w:t>pay</w:t>
      </w:r>
      <w:r>
        <w:rPr>
          <w:spacing w:val="17"/>
          <w:w w:val="105"/>
          <w:sz w:val="18"/>
        </w:rPr>
        <w:t> </w:t>
      </w:r>
      <w:r>
        <w:rPr>
          <w:w w:val="105"/>
          <w:sz w:val="18"/>
        </w:rPr>
        <w:t>that</w:t>
      </w:r>
      <w:r>
        <w:rPr>
          <w:spacing w:val="17"/>
          <w:w w:val="105"/>
          <w:sz w:val="18"/>
        </w:rPr>
        <w:t> </w:t>
      </w:r>
      <w:r>
        <w:rPr>
          <w:w w:val="105"/>
          <w:sz w:val="18"/>
        </w:rPr>
        <w:t>is</w:t>
      </w:r>
      <w:r>
        <w:rPr>
          <w:spacing w:val="17"/>
          <w:w w:val="105"/>
          <w:sz w:val="18"/>
        </w:rPr>
        <w:t> </w:t>
      </w:r>
      <w:r>
        <w:rPr>
          <w:w w:val="105"/>
          <w:sz w:val="18"/>
        </w:rPr>
        <w:t>realized</w:t>
      </w:r>
      <w:r>
        <w:rPr>
          <w:spacing w:val="17"/>
          <w:w w:val="105"/>
          <w:sz w:val="18"/>
        </w:rPr>
        <w:t> </w:t>
      </w:r>
      <w:r>
        <w:rPr>
          <w:w w:val="105"/>
          <w:sz w:val="18"/>
        </w:rPr>
        <w:t>compared</w:t>
      </w:r>
      <w:r>
        <w:rPr>
          <w:spacing w:val="17"/>
          <w:w w:val="105"/>
          <w:sz w:val="18"/>
        </w:rPr>
        <w:t> </w:t>
      </w:r>
      <w:r>
        <w:rPr>
          <w:w w:val="105"/>
          <w:sz w:val="18"/>
        </w:rPr>
        <w:t>to the pay</w:t>
      </w:r>
    </w:p>
    <w:p>
      <w:pPr>
        <w:spacing w:after="0" w:line="259" w:lineRule="auto"/>
        <w:jc w:val="left"/>
        <w:rPr>
          <w:sz w:val="18"/>
        </w:rPr>
        <w:sectPr>
          <w:headerReference w:type="default" r:id="rId115"/>
          <w:footerReference w:type="default" r:id="rId116"/>
          <w:pgSz w:w="12240" w:h="15840"/>
          <w:pgMar w:header="529" w:footer="953" w:top="720" w:bottom="114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267" coordorigin="0,0" coordsize="11100,28">
            <v:rect style="position:absolute;left:0;top:0;width:11100;height:14" id="docshape268" filled="true" fillcolor="#999999" stroked="false">
              <v:fill type="solid"/>
            </v:rect>
            <v:shape style="position:absolute;left:-1;top:0;width:11100;height:28" id="docshape269" coordorigin="0,0" coordsize="11100,28" path="m11100,0l11086,14,0,14,0,28,11086,28,11100,28,11100,14,11100,0xe" filled="true" fillcolor="#ededed" stroked="false">
              <v:path arrowok="t"/>
              <v:fill type="solid"/>
            </v:shape>
            <v:shape style="position:absolute;left:0;top:0;width:14;height:28" id="docshape270"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118"/>
          <w:footerReference w:type="default" r:id="rId119"/>
          <w:pgSz w:w="12240" w:h="15840"/>
          <w:pgMar w:header="0" w:footer="0" w:top="580" w:bottom="280" w:left="480" w:right="460"/>
        </w:sectPr>
      </w:pPr>
    </w:p>
    <w:p>
      <w:pPr>
        <w:pStyle w:val="BodyText"/>
        <w:rPr>
          <w:sz w:val="20"/>
        </w:rPr>
      </w:pPr>
    </w:p>
    <w:p>
      <w:pPr>
        <w:pStyle w:val="BodyText"/>
        <w:rPr>
          <w:sz w:val="20"/>
        </w:rPr>
      </w:pPr>
    </w:p>
    <w:p>
      <w:pPr>
        <w:pStyle w:val="BodyText"/>
        <w:spacing w:before="2"/>
        <w:rPr>
          <w:sz w:val="27"/>
        </w:rPr>
      </w:pPr>
    </w:p>
    <w:p>
      <w:pPr>
        <w:pStyle w:val="BodyText"/>
        <w:spacing w:line="249" w:lineRule="auto" w:before="98"/>
        <w:ind w:left="1959" w:right="1551"/>
      </w:pPr>
      <w:r>
        <w:rPr>
          <w:w w:val="105"/>
        </w:rPr>
        <w:t>opportunity. Our NEOs’ Realized Target TDC for fiscal year 2022, which includes actual short-term incentives value paid and the intrinsic value of LTIs granted in fiscal year 2022 as of the end of fiscal</w:t>
      </w:r>
      <w:r>
        <w:rPr>
          <w:spacing w:val="40"/>
          <w:w w:val="105"/>
        </w:rPr>
        <w:t> </w:t>
      </w:r>
      <w:r>
        <w:rPr>
          <w:w w:val="105"/>
        </w:rPr>
        <w:t>year 2022, was lower than their fiscal year 2022 Target TDC. While the short-term incentive value realized and RSU value exceeded the target levels as of the end of the year, the value of the</w:t>
      </w:r>
      <w:r>
        <w:rPr>
          <w:spacing w:val="80"/>
          <w:w w:val="105"/>
        </w:rPr>
        <w:t> </w:t>
      </w:r>
      <w:r>
        <w:rPr>
          <w:w w:val="105"/>
        </w:rPr>
        <w:t>performance stock options was lower than the target grant value. This reflects the long-term nature of</w:t>
      </w:r>
      <w:r>
        <w:rPr>
          <w:spacing w:val="40"/>
          <w:w w:val="105"/>
        </w:rPr>
        <w:t> </w:t>
      </w:r>
      <w:r>
        <w:rPr>
          <w:w w:val="105"/>
        </w:rPr>
        <w:t>the LTIs and particularly, the performance stock options that are granted with an option price 10%</w:t>
      </w:r>
      <w:r>
        <w:rPr>
          <w:spacing w:val="40"/>
          <w:w w:val="105"/>
        </w:rPr>
        <w:t> </w:t>
      </w:r>
      <w:r>
        <w:rPr>
          <w:w w:val="105"/>
        </w:rPr>
        <w:t>above the Company’s stock price on the date of the grant, as their value is realized over the entire</w:t>
      </w:r>
      <w:r>
        <w:rPr>
          <w:spacing w:val="40"/>
          <w:w w:val="105"/>
        </w:rPr>
        <w:t> </w:t>
      </w:r>
      <w:r>
        <w:rPr>
          <w:w w:val="105"/>
        </w:rPr>
        <w:t>vesting period rather than in the first year of the grant. Below is the calculation of Realized TDC and</w:t>
      </w:r>
      <w:r>
        <w:rPr>
          <w:spacing w:val="40"/>
          <w:w w:val="105"/>
        </w:rPr>
        <w:t> </w:t>
      </w:r>
      <w:r>
        <w:rPr>
          <w:w w:val="105"/>
        </w:rPr>
        <w:t>comparison</w:t>
      </w:r>
      <w:r>
        <w:rPr>
          <w:spacing w:val="26"/>
          <w:w w:val="105"/>
        </w:rPr>
        <w:t> </w:t>
      </w:r>
      <w:r>
        <w:rPr>
          <w:w w:val="105"/>
        </w:rPr>
        <w:t>of</w:t>
      </w:r>
      <w:r>
        <w:rPr>
          <w:spacing w:val="26"/>
          <w:w w:val="105"/>
        </w:rPr>
        <w:t> </w:t>
      </w:r>
      <w:r>
        <w:rPr>
          <w:w w:val="105"/>
        </w:rPr>
        <w:t>these</w:t>
      </w:r>
      <w:r>
        <w:rPr>
          <w:spacing w:val="26"/>
          <w:w w:val="105"/>
        </w:rPr>
        <w:t> </w:t>
      </w:r>
      <w:r>
        <w:rPr>
          <w:w w:val="105"/>
        </w:rPr>
        <w:t>values</w:t>
      </w:r>
      <w:r>
        <w:rPr>
          <w:spacing w:val="26"/>
          <w:w w:val="105"/>
        </w:rPr>
        <w:t> </w:t>
      </w:r>
      <w:r>
        <w:rPr>
          <w:w w:val="105"/>
        </w:rPr>
        <w:t>to Target TDC,</w:t>
      </w:r>
      <w:r>
        <w:rPr>
          <w:spacing w:val="26"/>
          <w:w w:val="105"/>
        </w:rPr>
        <w:t> </w:t>
      </w:r>
      <w:r>
        <w:rPr>
          <w:w w:val="105"/>
        </w:rPr>
        <w:t>which</w:t>
      </w:r>
      <w:r>
        <w:rPr>
          <w:spacing w:val="26"/>
          <w:w w:val="105"/>
        </w:rPr>
        <w:t> </w:t>
      </w:r>
      <w:r>
        <w:rPr>
          <w:w w:val="105"/>
        </w:rPr>
        <w:t>we</w:t>
      </w:r>
      <w:r>
        <w:rPr>
          <w:spacing w:val="26"/>
          <w:w w:val="105"/>
        </w:rPr>
        <w:t> </w:t>
      </w:r>
      <w:r>
        <w:rPr>
          <w:w w:val="105"/>
        </w:rPr>
        <w:t>believe</w:t>
      </w:r>
      <w:r>
        <w:rPr>
          <w:spacing w:val="26"/>
          <w:w w:val="105"/>
        </w:rPr>
        <w:t> </w:t>
      </w:r>
      <w:r>
        <w:rPr>
          <w:w w:val="105"/>
        </w:rPr>
        <w:t>demonstrates</w:t>
      </w:r>
      <w:r>
        <w:rPr>
          <w:spacing w:val="26"/>
          <w:w w:val="105"/>
        </w:rPr>
        <w:t> </w:t>
      </w:r>
      <w:r>
        <w:rPr>
          <w:w w:val="105"/>
        </w:rPr>
        <w:t>alignment</w:t>
      </w:r>
      <w:r>
        <w:rPr>
          <w:spacing w:val="26"/>
          <w:w w:val="105"/>
        </w:rPr>
        <w:t> </w:t>
      </w:r>
      <w:r>
        <w:rPr>
          <w:w w:val="105"/>
        </w:rPr>
        <w:t>with </w:t>
      </w:r>
      <w:r>
        <w:rPr>
          <w:spacing w:val="-2"/>
          <w:w w:val="105"/>
        </w:rPr>
        <w:t>stockholders.</w:t>
      </w:r>
    </w:p>
    <w:p>
      <w:pPr>
        <w:pStyle w:val="BodyText"/>
        <w:spacing w:before="5"/>
        <w:rPr>
          <w:sz w:val="13"/>
        </w:rPr>
      </w:pPr>
    </w:p>
    <w:p>
      <w:pPr>
        <w:tabs>
          <w:tab w:pos="9045" w:val="left" w:leader="none"/>
        </w:tabs>
        <w:spacing w:before="0"/>
        <w:ind w:left="4620" w:right="0" w:firstLine="0"/>
        <w:jc w:val="left"/>
        <w:rPr>
          <w:b/>
          <w:sz w:val="15"/>
        </w:rPr>
      </w:pPr>
      <w:r>
        <w:rPr/>
        <w:pict>
          <v:shape style="position:absolute;margin-left:91.506287pt;margin-top:10.146520pt;width:427.5pt;height:27.9pt;mso-position-horizontal-relative:page;mso-position-vertical-relative:paragraph;z-index:15768576" type="#_x0000_t202" id="docshape27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582"/>
                    <w:gridCol w:w="245"/>
                    <w:gridCol w:w="683"/>
                    <w:gridCol w:w="205"/>
                    <w:gridCol w:w="554"/>
                    <w:gridCol w:w="287"/>
                    <w:gridCol w:w="630"/>
                    <w:gridCol w:w="376"/>
                    <w:gridCol w:w="649"/>
                    <w:gridCol w:w="800"/>
                    <w:gridCol w:w="305"/>
                    <w:gridCol w:w="641"/>
                    <w:gridCol w:w="437"/>
                  </w:tblGrid>
                  <w:tr>
                    <w:trPr>
                      <w:trHeight w:val="172" w:hRule="atLeast"/>
                    </w:trPr>
                    <w:tc>
                      <w:tcPr>
                        <w:tcW w:w="2988" w:type="dxa"/>
                        <w:gridSpan w:val="3"/>
                      </w:tcPr>
                      <w:p>
                        <w:pPr>
                          <w:pStyle w:val="TableParagraph"/>
                          <w:rPr>
                            <w:sz w:val="10"/>
                          </w:rPr>
                        </w:pPr>
                      </w:p>
                    </w:tc>
                    <w:tc>
                      <w:tcPr>
                        <w:tcW w:w="683" w:type="dxa"/>
                        <w:tcBorders>
                          <w:top w:val="single" w:sz="6" w:space="0" w:color="000000"/>
                        </w:tcBorders>
                      </w:tcPr>
                      <w:p>
                        <w:pPr>
                          <w:pStyle w:val="TableParagraph"/>
                          <w:spacing w:line="153" w:lineRule="exact"/>
                          <w:ind w:left="34" w:right="35"/>
                          <w:jc w:val="center"/>
                          <w:rPr>
                            <w:b/>
                            <w:sz w:val="15"/>
                          </w:rPr>
                        </w:pPr>
                        <w:r>
                          <w:rPr>
                            <w:b/>
                            <w:spacing w:val="-2"/>
                            <w:sz w:val="15"/>
                          </w:rPr>
                          <w:t>Actual</w:t>
                        </w:r>
                      </w:p>
                    </w:tc>
                    <w:tc>
                      <w:tcPr>
                        <w:tcW w:w="205" w:type="dxa"/>
                        <w:tcBorders>
                          <w:top w:val="single" w:sz="6" w:space="0" w:color="000000"/>
                        </w:tcBorders>
                      </w:tcPr>
                      <w:p>
                        <w:pPr>
                          <w:pStyle w:val="TableParagraph"/>
                          <w:rPr>
                            <w:sz w:val="10"/>
                          </w:rPr>
                        </w:pPr>
                      </w:p>
                    </w:tc>
                    <w:tc>
                      <w:tcPr>
                        <w:tcW w:w="554" w:type="dxa"/>
                        <w:tcBorders>
                          <w:top w:val="single" w:sz="6" w:space="0" w:color="000000"/>
                        </w:tcBorders>
                      </w:tcPr>
                      <w:p>
                        <w:pPr>
                          <w:pStyle w:val="TableParagraph"/>
                          <w:rPr>
                            <w:sz w:val="10"/>
                          </w:rPr>
                        </w:pPr>
                      </w:p>
                    </w:tc>
                    <w:tc>
                      <w:tcPr>
                        <w:tcW w:w="287" w:type="dxa"/>
                        <w:tcBorders>
                          <w:top w:val="single" w:sz="6" w:space="0" w:color="000000"/>
                        </w:tcBorders>
                      </w:tcPr>
                      <w:p>
                        <w:pPr>
                          <w:pStyle w:val="TableParagraph"/>
                          <w:rPr>
                            <w:sz w:val="10"/>
                          </w:rPr>
                        </w:pPr>
                      </w:p>
                    </w:tc>
                    <w:tc>
                      <w:tcPr>
                        <w:tcW w:w="630" w:type="dxa"/>
                        <w:tcBorders>
                          <w:top w:val="single" w:sz="6" w:space="0" w:color="000000"/>
                        </w:tcBorders>
                      </w:tcPr>
                      <w:p>
                        <w:pPr>
                          <w:pStyle w:val="TableParagraph"/>
                          <w:rPr>
                            <w:sz w:val="10"/>
                          </w:rPr>
                        </w:pPr>
                      </w:p>
                    </w:tc>
                    <w:tc>
                      <w:tcPr>
                        <w:tcW w:w="376" w:type="dxa"/>
                        <w:tcBorders>
                          <w:top w:val="single" w:sz="6" w:space="0" w:color="000000"/>
                        </w:tcBorders>
                      </w:tcPr>
                      <w:p>
                        <w:pPr>
                          <w:pStyle w:val="TableParagraph"/>
                          <w:rPr>
                            <w:sz w:val="10"/>
                          </w:rPr>
                        </w:pPr>
                      </w:p>
                    </w:tc>
                    <w:tc>
                      <w:tcPr>
                        <w:tcW w:w="649" w:type="dxa"/>
                        <w:tcBorders>
                          <w:top w:val="single" w:sz="6" w:space="0" w:color="000000"/>
                        </w:tcBorders>
                      </w:tcPr>
                      <w:p>
                        <w:pPr>
                          <w:pStyle w:val="TableParagraph"/>
                          <w:rPr>
                            <w:sz w:val="10"/>
                          </w:rPr>
                        </w:pPr>
                      </w:p>
                    </w:tc>
                    <w:tc>
                      <w:tcPr>
                        <w:tcW w:w="800" w:type="dxa"/>
                      </w:tcPr>
                      <w:p>
                        <w:pPr>
                          <w:pStyle w:val="TableParagraph"/>
                          <w:spacing w:line="153" w:lineRule="exact"/>
                          <w:ind w:right="101"/>
                          <w:jc w:val="right"/>
                          <w:rPr>
                            <w:b/>
                            <w:sz w:val="15"/>
                          </w:rPr>
                        </w:pPr>
                        <w:r>
                          <w:rPr>
                            <w:b/>
                            <w:spacing w:val="-4"/>
                            <w:sz w:val="15"/>
                          </w:rPr>
                          <w:t>FY</w:t>
                        </w:r>
                        <w:r>
                          <w:rPr>
                            <w:b/>
                            <w:spacing w:val="-9"/>
                            <w:sz w:val="15"/>
                          </w:rPr>
                          <w:t> </w:t>
                        </w:r>
                        <w:r>
                          <w:rPr>
                            <w:b/>
                            <w:spacing w:val="-4"/>
                            <w:sz w:val="15"/>
                          </w:rPr>
                          <w:t>2022</w:t>
                        </w:r>
                      </w:p>
                    </w:tc>
                    <w:tc>
                      <w:tcPr>
                        <w:tcW w:w="1383" w:type="dxa"/>
                        <w:gridSpan w:val="3"/>
                      </w:tcPr>
                      <w:p>
                        <w:pPr>
                          <w:pStyle w:val="TableParagraph"/>
                          <w:rPr>
                            <w:sz w:val="10"/>
                          </w:rPr>
                        </w:pPr>
                      </w:p>
                    </w:tc>
                  </w:tr>
                  <w:tr>
                    <w:trPr>
                      <w:trHeight w:val="164" w:hRule="atLeast"/>
                    </w:trPr>
                    <w:tc>
                      <w:tcPr>
                        <w:tcW w:w="2161" w:type="dxa"/>
                      </w:tcPr>
                      <w:p>
                        <w:pPr>
                          <w:pStyle w:val="TableParagraph"/>
                          <w:rPr>
                            <w:sz w:val="10"/>
                          </w:rPr>
                        </w:pPr>
                      </w:p>
                    </w:tc>
                    <w:tc>
                      <w:tcPr>
                        <w:tcW w:w="582" w:type="dxa"/>
                      </w:tcPr>
                      <w:p>
                        <w:pPr>
                          <w:pStyle w:val="TableParagraph"/>
                          <w:spacing w:line="145" w:lineRule="exact"/>
                          <w:ind w:right="98"/>
                          <w:jc w:val="right"/>
                          <w:rPr>
                            <w:b/>
                            <w:sz w:val="15"/>
                          </w:rPr>
                        </w:pPr>
                        <w:r>
                          <w:rPr>
                            <w:b/>
                            <w:spacing w:val="-2"/>
                            <w:sz w:val="15"/>
                          </w:rPr>
                          <w:t>Salary</w:t>
                        </w:r>
                      </w:p>
                    </w:tc>
                    <w:tc>
                      <w:tcPr>
                        <w:tcW w:w="245" w:type="dxa"/>
                      </w:tcPr>
                      <w:p>
                        <w:pPr>
                          <w:pStyle w:val="TableParagraph"/>
                          <w:rPr>
                            <w:sz w:val="10"/>
                          </w:rPr>
                        </w:pPr>
                      </w:p>
                    </w:tc>
                    <w:tc>
                      <w:tcPr>
                        <w:tcW w:w="683" w:type="dxa"/>
                      </w:tcPr>
                      <w:p>
                        <w:pPr>
                          <w:pStyle w:val="TableParagraph"/>
                          <w:spacing w:line="145" w:lineRule="exact"/>
                          <w:ind w:left="34" w:right="35"/>
                          <w:jc w:val="center"/>
                          <w:rPr>
                            <w:b/>
                            <w:sz w:val="15"/>
                          </w:rPr>
                        </w:pPr>
                        <w:r>
                          <w:rPr>
                            <w:b/>
                            <w:spacing w:val="-2"/>
                            <w:sz w:val="15"/>
                          </w:rPr>
                          <w:t>Annual</w:t>
                        </w:r>
                      </w:p>
                    </w:tc>
                    <w:tc>
                      <w:tcPr>
                        <w:tcW w:w="205" w:type="dxa"/>
                      </w:tcPr>
                      <w:p>
                        <w:pPr>
                          <w:pStyle w:val="TableParagraph"/>
                          <w:rPr>
                            <w:sz w:val="10"/>
                          </w:rPr>
                        </w:pPr>
                      </w:p>
                    </w:tc>
                    <w:tc>
                      <w:tcPr>
                        <w:tcW w:w="554" w:type="dxa"/>
                      </w:tcPr>
                      <w:p>
                        <w:pPr>
                          <w:pStyle w:val="TableParagraph"/>
                          <w:spacing w:line="145" w:lineRule="exact"/>
                          <w:ind w:left="37" w:right="37"/>
                          <w:jc w:val="center"/>
                          <w:rPr>
                            <w:b/>
                            <w:sz w:val="15"/>
                          </w:rPr>
                        </w:pPr>
                        <w:r>
                          <w:rPr>
                            <w:b/>
                            <w:spacing w:val="-2"/>
                            <w:sz w:val="15"/>
                          </w:rPr>
                          <w:t>Option</w:t>
                        </w:r>
                      </w:p>
                    </w:tc>
                    <w:tc>
                      <w:tcPr>
                        <w:tcW w:w="287" w:type="dxa"/>
                      </w:tcPr>
                      <w:p>
                        <w:pPr>
                          <w:pStyle w:val="TableParagraph"/>
                          <w:rPr>
                            <w:sz w:val="10"/>
                          </w:rPr>
                        </w:pPr>
                      </w:p>
                    </w:tc>
                    <w:tc>
                      <w:tcPr>
                        <w:tcW w:w="630" w:type="dxa"/>
                      </w:tcPr>
                      <w:p>
                        <w:pPr>
                          <w:pStyle w:val="TableParagraph"/>
                          <w:spacing w:line="145" w:lineRule="exact"/>
                          <w:ind w:left="112" w:right="113"/>
                          <w:jc w:val="center"/>
                          <w:rPr>
                            <w:b/>
                            <w:sz w:val="15"/>
                          </w:rPr>
                        </w:pPr>
                        <w:r>
                          <w:rPr>
                            <w:b/>
                            <w:spacing w:val="-5"/>
                            <w:sz w:val="15"/>
                          </w:rPr>
                          <w:t>RSU</w:t>
                        </w:r>
                      </w:p>
                    </w:tc>
                    <w:tc>
                      <w:tcPr>
                        <w:tcW w:w="376" w:type="dxa"/>
                      </w:tcPr>
                      <w:p>
                        <w:pPr>
                          <w:pStyle w:val="TableParagraph"/>
                          <w:rPr>
                            <w:sz w:val="10"/>
                          </w:rPr>
                        </w:pPr>
                      </w:p>
                    </w:tc>
                    <w:tc>
                      <w:tcPr>
                        <w:tcW w:w="649" w:type="dxa"/>
                      </w:tcPr>
                      <w:p>
                        <w:pPr>
                          <w:pStyle w:val="TableParagraph"/>
                          <w:rPr>
                            <w:sz w:val="10"/>
                          </w:rPr>
                        </w:pPr>
                      </w:p>
                    </w:tc>
                    <w:tc>
                      <w:tcPr>
                        <w:tcW w:w="800" w:type="dxa"/>
                      </w:tcPr>
                      <w:p>
                        <w:pPr>
                          <w:pStyle w:val="TableParagraph"/>
                          <w:spacing w:line="145" w:lineRule="exact"/>
                          <w:ind w:right="156"/>
                          <w:jc w:val="right"/>
                          <w:rPr>
                            <w:b/>
                            <w:sz w:val="15"/>
                          </w:rPr>
                        </w:pPr>
                        <w:r>
                          <w:rPr>
                            <w:b/>
                            <w:spacing w:val="-2"/>
                            <w:sz w:val="15"/>
                          </w:rPr>
                          <w:t>Target</w:t>
                        </w:r>
                      </w:p>
                    </w:tc>
                    <w:tc>
                      <w:tcPr>
                        <w:tcW w:w="305" w:type="dxa"/>
                      </w:tcPr>
                      <w:p>
                        <w:pPr>
                          <w:pStyle w:val="TableParagraph"/>
                          <w:rPr>
                            <w:sz w:val="10"/>
                          </w:rPr>
                        </w:pPr>
                      </w:p>
                    </w:tc>
                    <w:tc>
                      <w:tcPr>
                        <w:tcW w:w="641" w:type="dxa"/>
                      </w:tcPr>
                      <w:p>
                        <w:pPr>
                          <w:pStyle w:val="TableParagraph"/>
                          <w:rPr>
                            <w:sz w:val="10"/>
                          </w:rPr>
                        </w:pPr>
                      </w:p>
                    </w:tc>
                    <w:tc>
                      <w:tcPr>
                        <w:tcW w:w="437" w:type="dxa"/>
                      </w:tcPr>
                      <w:p>
                        <w:pPr>
                          <w:pStyle w:val="TableParagraph"/>
                          <w:rPr>
                            <w:sz w:val="10"/>
                          </w:rPr>
                        </w:pPr>
                      </w:p>
                    </w:tc>
                  </w:tr>
                  <w:tr>
                    <w:trPr>
                      <w:trHeight w:val="207" w:hRule="atLeast"/>
                    </w:trPr>
                    <w:tc>
                      <w:tcPr>
                        <w:tcW w:w="2161" w:type="dxa"/>
                      </w:tcPr>
                      <w:p>
                        <w:pPr>
                          <w:pStyle w:val="TableParagraph"/>
                          <w:spacing w:line="170" w:lineRule="exact"/>
                          <w:ind w:left="50"/>
                          <w:rPr>
                            <w:b/>
                            <w:sz w:val="15"/>
                          </w:rPr>
                        </w:pPr>
                        <w:r>
                          <w:rPr>
                            <w:b/>
                            <w:spacing w:val="-4"/>
                            <w:sz w:val="15"/>
                          </w:rPr>
                          <w:t>Name</w:t>
                        </w:r>
                      </w:p>
                    </w:tc>
                    <w:tc>
                      <w:tcPr>
                        <w:tcW w:w="582" w:type="dxa"/>
                      </w:tcPr>
                      <w:p>
                        <w:pPr>
                          <w:pStyle w:val="TableParagraph"/>
                          <w:spacing w:line="170" w:lineRule="exact"/>
                          <w:ind w:right="157"/>
                          <w:jc w:val="right"/>
                          <w:rPr>
                            <w:b/>
                            <w:sz w:val="15"/>
                          </w:rPr>
                        </w:pPr>
                        <w:r>
                          <w:rPr>
                            <w:b/>
                            <w:spacing w:val="-4"/>
                            <w:sz w:val="15"/>
                          </w:rPr>
                          <w:t>Paid</w:t>
                        </w:r>
                      </w:p>
                    </w:tc>
                    <w:tc>
                      <w:tcPr>
                        <w:tcW w:w="245" w:type="dxa"/>
                      </w:tcPr>
                      <w:p>
                        <w:pPr>
                          <w:pStyle w:val="TableParagraph"/>
                          <w:spacing w:line="170" w:lineRule="exact"/>
                          <w:ind w:left="99"/>
                          <w:rPr>
                            <w:b/>
                            <w:sz w:val="15"/>
                          </w:rPr>
                        </w:pPr>
                        <w:r>
                          <w:rPr>
                            <w:b/>
                            <w:w w:val="99"/>
                            <w:sz w:val="15"/>
                          </w:rPr>
                          <w:t>+</w:t>
                        </w:r>
                      </w:p>
                    </w:tc>
                    <w:tc>
                      <w:tcPr>
                        <w:tcW w:w="683" w:type="dxa"/>
                      </w:tcPr>
                      <w:p>
                        <w:pPr>
                          <w:pStyle w:val="TableParagraph"/>
                          <w:spacing w:line="170" w:lineRule="exact"/>
                          <w:ind w:left="34" w:right="35"/>
                          <w:jc w:val="center"/>
                          <w:rPr>
                            <w:b/>
                            <w:sz w:val="15"/>
                          </w:rPr>
                        </w:pPr>
                        <w:r>
                          <w:rPr>
                            <w:b/>
                            <w:spacing w:val="-2"/>
                            <w:sz w:val="15"/>
                          </w:rPr>
                          <w:t>Incentive</w:t>
                        </w:r>
                      </w:p>
                    </w:tc>
                    <w:tc>
                      <w:tcPr>
                        <w:tcW w:w="205" w:type="dxa"/>
                      </w:tcPr>
                      <w:p>
                        <w:pPr>
                          <w:pStyle w:val="TableParagraph"/>
                          <w:spacing w:line="170" w:lineRule="exact"/>
                          <w:ind w:left="58"/>
                          <w:rPr>
                            <w:b/>
                            <w:sz w:val="15"/>
                          </w:rPr>
                        </w:pPr>
                        <w:r>
                          <w:rPr>
                            <w:b/>
                            <w:w w:val="99"/>
                            <w:sz w:val="15"/>
                          </w:rPr>
                          <w:t>+</w:t>
                        </w:r>
                      </w:p>
                    </w:tc>
                    <w:tc>
                      <w:tcPr>
                        <w:tcW w:w="554" w:type="dxa"/>
                      </w:tcPr>
                      <w:p>
                        <w:pPr>
                          <w:pStyle w:val="TableParagraph"/>
                          <w:spacing w:line="170" w:lineRule="exact"/>
                          <w:ind w:left="37" w:right="37"/>
                          <w:jc w:val="center"/>
                          <w:rPr>
                            <w:b/>
                            <w:sz w:val="15"/>
                          </w:rPr>
                        </w:pPr>
                        <w:r>
                          <w:rPr>
                            <w:b/>
                            <w:spacing w:val="-2"/>
                            <w:sz w:val="15"/>
                          </w:rPr>
                          <w:t>Value</w:t>
                        </w:r>
                      </w:p>
                    </w:tc>
                    <w:tc>
                      <w:tcPr>
                        <w:tcW w:w="287" w:type="dxa"/>
                      </w:tcPr>
                      <w:p>
                        <w:pPr>
                          <w:pStyle w:val="TableParagraph"/>
                          <w:spacing w:line="170" w:lineRule="exact"/>
                          <w:ind w:left="59"/>
                          <w:rPr>
                            <w:b/>
                            <w:sz w:val="15"/>
                          </w:rPr>
                        </w:pPr>
                        <w:r>
                          <w:rPr>
                            <w:b/>
                            <w:w w:val="99"/>
                            <w:sz w:val="15"/>
                          </w:rPr>
                          <w:t>+</w:t>
                        </w:r>
                      </w:p>
                    </w:tc>
                    <w:tc>
                      <w:tcPr>
                        <w:tcW w:w="630" w:type="dxa"/>
                      </w:tcPr>
                      <w:p>
                        <w:pPr>
                          <w:pStyle w:val="TableParagraph"/>
                          <w:spacing w:line="170" w:lineRule="exact"/>
                          <w:ind w:left="112" w:right="113"/>
                          <w:jc w:val="center"/>
                          <w:rPr>
                            <w:b/>
                            <w:sz w:val="15"/>
                          </w:rPr>
                        </w:pPr>
                        <w:r>
                          <w:rPr>
                            <w:b/>
                            <w:spacing w:val="-2"/>
                            <w:sz w:val="15"/>
                          </w:rPr>
                          <w:t>Value</w:t>
                        </w:r>
                      </w:p>
                    </w:tc>
                    <w:tc>
                      <w:tcPr>
                        <w:tcW w:w="376" w:type="dxa"/>
                      </w:tcPr>
                      <w:p>
                        <w:pPr>
                          <w:pStyle w:val="TableParagraph"/>
                          <w:spacing w:line="170" w:lineRule="exact"/>
                          <w:ind w:right="10"/>
                          <w:jc w:val="center"/>
                          <w:rPr>
                            <w:b/>
                            <w:sz w:val="15"/>
                          </w:rPr>
                        </w:pPr>
                        <w:r>
                          <w:rPr>
                            <w:b/>
                            <w:w w:val="99"/>
                            <w:sz w:val="15"/>
                          </w:rPr>
                          <w:t>=</w:t>
                        </w:r>
                      </w:p>
                    </w:tc>
                    <w:tc>
                      <w:tcPr>
                        <w:tcW w:w="649" w:type="dxa"/>
                      </w:tcPr>
                      <w:p>
                        <w:pPr>
                          <w:pStyle w:val="TableParagraph"/>
                          <w:spacing w:line="170" w:lineRule="exact"/>
                          <w:ind w:left="147"/>
                          <w:rPr>
                            <w:b/>
                            <w:sz w:val="15"/>
                          </w:rPr>
                        </w:pPr>
                        <w:r>
                          <w:rPr>
                            <w:b/>
                            <w:spacing w:val="-2"/>
                            <w:sz w:val="15"/>
                          </w:rPr>
                          <w:t>Total</w:t>
                        </w:r>
                      </w:p>
                    </w:tc>
                    <w:tc>
                      <w:tcPr>
                        <w:tcW w:w="800" w:type="dxa"/>
                      </w:tcPr>
                      <w:p>
                        <w:pPr>
                          <w:pStyle w:val="TableParagraph"/>
                          <w:spacing w:line="139" w:lineRule="auto" w:before="31"/>
                          <w:ind w:right="152"/>
                          <w:jc w:val="right"/>
                          <w:rPr>
                            <w:b/>
                            <w:sz w:val="9"/>
                          </w:rPr>
                        </w:pPr>
                        <w:r>
                          <w:rPr>
                            <w:b/>
                            <w:spacing w:val="-2"/>
                            <w:position w:val="-5"/>
                            <w:sz w:val="15"/>
                          </w:rPr>
                          <w:t>TDC</w:t>
                        </w:r>
                        <w:r>
                          <w:rPr>
                            <w:b/>
                            <w:spacing w:val="-2"/>
                            <w:sz w:val="9"/>
                          </w:rPr>
                          <w:t>(2)</w:t>
                        </w:r>
                      </w:p>
                    </w:tc>
                    <w:tc>
                      <w:tcPr>
                        <w:tcW w:w="305" w:type="dxa"/>
                      </w:tcPr>
                      <w:p>
                        <w:pPr>
                          <w:pStyle w:val="TableParagraph"/>
                          <w:spacing w:line="170" w:lineRule="exact"/>
                          <w:ind w:left="96"/>
                          <w:rPr>
                            <w:b/>
                            <w:sz w:val="15"/>
                          </w:rPr>
                        </w:pPr>
                        <w:r>
                          <w:rPr>
                            <w:b/>
                            <w:w w:val="99"/>
                            <w:sz w:val="15"/>
                          </w:rPr>
                          <w:t>=</w:t>
                        </w:r>
                      </w:p>
                    </w:tc>
                    <w:tc>
                      <w:tcPr>
                        <w:tcW w:w="641" w:type="dxa"/>
                      </w:tcPr>
                      <w:p>
                        <w:pPr>
                          <w:pStyle w:val="TableParagraph"/>
                          <w:spacing w:line="170" w:lineRule="exact"/>
                          <w:ind w:left="273"/>
                          <w:rPr>
                            <w:b/>
                            <w:sz w:val="15"/>
                          </w:rPr>
                        </w:pPr>
                        <w:r>
                          <w:rPr>
                            <w:b/>
                            <w:spacing w:val="-5"/>
                            <w:sz w:val="15"/>
                          </w:rPr>
                          <w:t>($)</w:t>
                        </w:r>
                      </w:p>
                    </w:tc>
                    <w:tc>
                      <w:tcPr>
                        <w:tcW w:w="437" w:type="dxa"/>
                      </w:tcPr>
                      <w:p>
                        <w:pPr>
                          <w:pStyle w:val="TableParagraph"/>
                          <w:spacing w:line="170" w:lineRule="exact"/>
                          <w:ind w:left="190"/>
                          <w:rPr>
                            <w:b/>
                            <w:sz w:val="15"/>
                          </w:rPr>
                        </w:pPr>
                        <w:r>
                          <w:rPr>
                            <w:b/>
                            <w:spacing w:val="-6"/>
                            <w:sz w:val="15"/>
                          </w:rPr>
                          <w:t>(%)</w:t>
                        </w:r>
                      </w:p>
                    </w:tc>
                  </w:tr>
                </w:tbl>
                <w:p>
                  <w:pPr>
                    <w:pStyle w:val="BodyText"/>
                  </w:pPr>
                </w:p>
              </w:txbxContent>
            </v:textbox>
            <w10:wrap type="none"/>
          </v:shape>
        </w:pict>
      </w:r>
      <w:r>
        <w:rPr>
          <w:b/>
          <w:spacing w:val="-4"/>
          <w:sz w:val="15"/>
        </w:rPr>
        <w:t>Fiscal</w:t>
      </w:r>
      <w:r>
        <w:rPr>
          <w:b/>
          <w:spacing w:val="-12"/>
          <w:sz w:val="15"/>
        </w:rPr>
        <w:t> </w:t>
      </w:r>
      <w:r>
        <w:rPr>
          <w:b/>
          <w:spacing w:val="-4"/>
          <w:sz w:val="15"/>
        </w:rPr>
        <w:t>Year</w:t>
      </w:r>
      <w:r>
        <w:rPr>
          <w:b/>
          <w:spacing w:val="-9"/>
          <w:sz w:val="15"/>
        </w:rPr>
        <w:t> </w:t>
      </w:r>
      <w:r>
        <w:rPr>
          <w:b/>
          <w:spacing w:val="-4"/>
          <w:sz w:val="15"/>
        </w:rPr>
        <w:t>2022</w:t>
      </w:r>
      <w:r>
        <w:rPr>
          <w:b/>
          <w:spacing w:val="-6"/>
          <w:sz w:val="15"/>
        </w:rPr>
        <w:t> </w:t>
      </w:r>
      <w:r>
        <w:rPr>
          <w:b/>
          <w:spacing w:val="-4"/>
          <w:sz w:val="15"/>
        </w:rPr>
        <w:t>Realized</w:t>
      </w:r>
      <w:r>
        <w:rPr>
          <w:b/>
          <w:spacing w:val="-9"/>
          <w:sz w:val="15"/>
        </w:rPr>
        <w:t> </w:t>
      </w:r>
      <w:r>
        <w:rPr>
          <w:b/>
          <w:spacing w:val="-4"/>
          <w:sz w:val="15"/>
        </w:rPr>
        <w:t>TDC</w:t>
      </w:r>
      <w:r>
        <w:rPr>
          <w:b/>
          <w:spacing w:val="-4"/>
          <w:sz w:val="15"/>
          <w:vertAlign w:val="superscript"/>
        </w:rPr>
        <w:t>(1)</w:t>
      </w:r>
      <w:r>
        <w:rPr>
          <w:b/>
          <w:sz w:val="15"/>
          <w:vertAlign w:val="baseline"/>
        </w:rPr>
        <w:tab/>
      </w:r>
      <w:r>
        <w:rPr>
          <w:b/>
          <w:spacing w:val="-2"/>
          <w:sz w:val="15"/>
          <w:vertAlign w:val="baseline"/>
        </w:rPr>
        <w:t>Difference</w:t>
      </w:r>
    </w:p>
    <w:p>
      <w:pPr>
        <w:pStyle w:val="BodyText"/>
        <w:rPr>
          <w:b/>
          <w:sz w:val="20"/>
        </w:rPr>
      </w:pPr>
    </w:p>
    <w:p>
      <w:pPr>
        <w:pStyle w:val="BodyText"/>
        <w:rPr>
          <w:b/>
          <w:sz w:val="20"/>
        </w:rPr>
      </w:pPr>
    </w:p>
    <w:p>
      <w:pPr>
        <w:pStyle w:val="BodyText"/>
        <w:spacing w:before="1"/>
        <w:rPr>
          <w:b/>
          <w:sz w:val="10"/>
        </w:rPr>
      </w:pPr>
    </w:p>
    <w:tbl>
      <w:tblPr>
        <w:tblW w:w="0" w:type="auto"/>
        <w:jc w:val="left"/>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9"/>
        <w:gridCol w:w="112"/>
        <w:gridCol w:w="559"/>
        <w:gridCol w:w="321"/>
        <w:gridCol w:w="573"/>
        <w:gridCol w:w="321"/>
        <w:gridCol w:w="433"/>
        <w:gridCol w:w="321"/>
        <w:gridCol w:w="670"/>
        <w:gridCol w:w="321"/>
        <w:gridCol w:w="684"/>
        <w:gridCol w:w="105"/>
        <w:gridCol w:w="676"/>
        <w:gridCol w:w="319"/>
        <w:gridCol w:w="1285"/>
      </w:tblGrid>
      <w:tr>
        <w:trPr>
          <w:trHeight w:val="185" w:hRule="atLeast"/>
        </w:trPr>
        <w:tc>
          <w:tcPr>
            <w:tcW w:w="2049" w:type="dxa"/>
            <w:tcBorders>
              <w:top w:val="single" w:sz="6" w:space="0" w:color="000000"/>
            </w:tcBorders>
          </w:tcPr>
          <w:p>
            <w:pPr>
              <w:pStyle w:val="TableParagraph"/>
              <w:spacing w:line="152" w:lineRule="exact" w:before="13"/>
              <w:ind w:left="50"/>
              <w:rPr>
                <w:sz w:val="15"/>
              </w:rPr>
            </w:pPr>
            <w:r>
              <w:rPr>
                <w:sz w:val="15"/>
              </w:rPr>
              <w:t>Sunny</w:t>
            </w:r>
            <w:r>
              <w:rPr>
                <w:spacing w:val="7"/>
                <w:sz w:val="15"/>
              </w:rPr>
              <w:t> </w:t>
            </w:r>
            <w:r>
              <w:rPr>
                <w:sz w:val="15"/>
              </w:rPr>
              <w:t>S.</w:t>
            </w:r>
            <w:r>
              <w:rPr>
                <w:spacing w:val="7"/>
                <w:sz w:val="15"/>
              </w:rPr>
              <w:t> </w:t>
            </w:r>
            <w:r>
              <w:rPr>
                <w:spacing w:val="-2"/>
                <w:sz w:val="15"/>
              </w:rPr>
              <w:t>Sanyal</w:t>
            </w:r>
          </w:p>
        </w:tc>
        <w:tc>
          <w:tcPr>
            <w:tcW w:w="112" w:type="dxa"/>
          </w:tcPr>
          <w:p>
            <w:pPr>
              <w:pStyle w:val="TableParagraph"/>
              <w:rPr>
                <w:sz w:val="12"/>
              </w:rPr>
            </w:pPr>
          </w:p>
        </w:tc>
        <w:tc>
          <w:tcPr>
            <w:tcW w:w="559" w:type="dxa"/>
            <w:tcBorders>
              <w:top w:val="single" w:sz="6" w:space="0" w:color="000000"/>
            </w:tcBorders>
          </w:tcPr>
          <w:p>
            <w:pPr>
              <w:pStyle w:val="TableParagraph"/>
              <w:spacing w:line="152" w:lineRule="exact" w:before="13"/>
              <w:ind w:right="-15"/>
              <w:rPr>
                <w:sz w:val="15"/>
              </w:rPr>
            </w:pPr>
            <w:r>
              <w:rPr>
                <w:spacing w:val="-2"/>
                <w:sz w:val="15"/>
              </w:rPr>
              <w:t>$714,776</w:t>
            </w:r>
          </w:p>
        </w:tc>
        <w:tc>
          <w:tcPr>
            <w:tcW w:w="321" w:type="dxa"/>
          </w:tcPr>
          <w:p>
            <w:pPr>
              <w:pStyle w:val="TableParagraph"/>
              <w:rPr>
                <w:sz w:val="12"/>
              </w:rPr>
            </w:pPr>
          </w:p>
        </w:tc>
        <w:tc>
          <w:tcPr>
            <w:tcW w:w="573" w:type="dxa"/>
            <w:tcBorders>
              <w:top w:val="single" w:sz="6" w:space="0" w:color="000000"/>
            </w:tcBorders>
          </w:tcPr>
          <w:p>
            <w:pPr>
              <w:pStyle w:val="TableParagraph"/>
              <w:spacing w:line="152" w:lineRule="exact" w:before="13"/>
              <w:ind w:left="5"/>
              <w:rPr>
                <w:sz w:val="15"/>
              </w:rPr>
            </w:pPr>
            <w:r>
              <w:rPr>
                <w:spacing w:val="-2"/>
                <w:sz w:val="15"/>
              </w:rPr>
              <w:t>$734,753</w:t>
            </w:r>
          </w:p>
        </w:tc>
        <w:tc>
          <w:tcPr>
            <w:tcW w:w="321" w:type="dxa"/>
          </w:tcPr>
          <w:p>
            <w:pPr>
              <w:pStyle w:val="TableParagraph"/>
              <w:rPr>
                <w:sz w:val="12"/>
              </w:rPr>
            </w:pPr>
          </w:p>
        </w:tc>
        <w:tc>
          <w:tcPr>
            <w:tcW w:w="433" w:type="dxa"/>
            <w:tcBorders>
              <w:top w:val="single" w:sz="6" w:space="0" w:color="000000"/>
            </w:tcBorders>
          </w:tcPr>
          <w:p>
            <w:pPr>
              <w:pStyle w:val="TableParagraph"/>
              <w:spacing w:line="152" w:lineRule="exact" w:before="13"/>
              <w:ind w:left="140"/>
              <w:rPr>
                <w:sz w:val="15"/>
              </w:rPr>
            </w:pPr>
            <w:r>
              <w:rPr>
                <w:spacing w:val="-5"/>
                <w:sz w:val="15"/>
              </w:rPr>
              <w:t>$0</w:t>
            </w:r>
          </w:p>
        </w:tc>
        <w:tc>
          <w:tcPr>
            <w:tcW w:w="321" w:type="dxa"/>
          </w:tcPr>
          <w:p>
            <w:pPr>
              <w:pStyle w:val="TableParagraph"/>
              <w:rPr>
                <w:sz w:val="12"/>
              </w:rPr>
            </w:pPr>
          </w:p>
        </w:tc>
        <w:tc>
          <w:tcPr>
            <w:tcW w:w="670" w:type="dxa"/>
            <w:tcBorders>
              <w:top w:val="single" w:sz="6" w:space="0" w:color="000000"/>
            </w:tcBorders>
          </w:tcPr>
          <w:p>
            <w:pPr>
              <w:pStyle w:val="TableParagraph"/>
              <w:spacing w:line="152" w:lineRule="exact" w:before="13"/>
              <w:ind w:left="3" w:right="-15"/>
              <w:rPr>
                <w:sz w:val="15"/>
              </w:rPr>
            </w:pPr>
            <w:r>
              <w:rPr>
                <w:spacing w:val="-2"/>
                <w:sz w:val="15"/>
              </w:rPr>
              <w:t>$1,126,847</w:t>
            </w:r>
          </w:p>
        </w:tc>
        <w:tc>
          <w:tcPr>
            <w:tcW w:w="321" w:type="dxa"/>
          </w:tcPr>
          <w:p>
            <w:pPr>
              <w:pStyle w:val="TableParagraph"/>
              <w:rPr>
                <w:sz w:val="12"/>
              </w:rPr>
            </w:pPr>
          </w:p>
        </w:tc>
        <w:tc>
          <w:tcPr>
            <w:tcW w:w="684" w:type="dxa"/>
            <w:tcBorders>
              <w:top w:val="single" w:sz="6" w:space="0" w:color="000000"/>
            </w:tcBorders>
          </w:tcPr>
          <w:p>
            <w:pPr>
              <w:pStyle w:val="TableParagraph"/>
              <w:spacing w:line="152" w:lineRule="exact" w:before="13"/>
              <w:ind w:left="9"/>
              <w:rPr>
                <w:sz w:val="15"/>
              </w:rPr>
            </w:pPr>
            <w:r>
              <w:rPr>
                <w:spacing w:val="-2"/>
                <w:sz w:val="15"/>
              </w:rPr>
              <w:t>$2,576,375</w:t>
            </w:r>
          </w:p>
        </w:tc>
        <w:tc>
          <w:tcPr>
            <w:tcW w:w="105" w:type="dxa"/>
          </w:tcPr>
          <w:p>
            <w:pPr>
              <w:pStyle w:val="TableParagraph"/>
              <w:rPr>
                <w:sz w:val="12"/>
              </w:rPr>
            </w:pPr>
          </w:p>
        </w:tc>
        <w:tc>
          <w:tcPr>
            <w:tcW w:w="676" w:type="dxa"/>
            <w:tcBorders>
              <w:top w:val="single" w:sz="6" w:space="0" w:color="000000"/>
            </w:tcBorders>
          </w:tcPr>
          <w:p>
            <w:pPr>
              <w:pStyle w:val="TableParagraph"/>
              <w:spacing w:line="152" w:lineRule="exact" w:before="13"/>
              <w:ind w:left="5" w:right="-15"/>
              <w:rPr>
                <w:sz w:val="15"/>
              </w:rPr>
            </w:pPr>
            <w:r>
              <w:rPr>
                <w:spacing w:val="-2"/>
                <w:sz w:val="15"/>
              </w:rPr>
              <w:t>$4,452,750</w:t>
            </w:r>
          </w:p>
        </w:tc>
        <w:tc>
          <w:tcPr>
            <w:tcW w:w="319" w:type="dxa"/>
          </w:tcPr>
          <w:p>
            <w:pPr>
              <w:pStyle w:val="TableParagraph"/>
              <w:rPr>
                <w:sz w:val="12"/>
              </w:rPr>
            </w:pPr>
          </w:p>
        </w:tc>
        <w:tc>
          <w:tcPr>
            <w:tcW w:w="1285" w:type="dxa"/>
          </w:tcPr>
          <w:p>
            <w:pPr>
              <w:pStyle w:val="TableParagraph"/>
              <w:spacing w:line="20" w:lineRule="exact"/>
              <w:ind w:left="9"/>
              <w:rPr>
                <w:sz w:val="2"/>
              </w:rPr>
            </w:pPr>
            <w:r>
              <w:rPr>
                <w:sz w:val="2"/>
              </w:rPr>
              <w:pict>
                <v:group style="width:36.35pt;height:.7pt;mso-position-horizontal-relative:char;mso-position-vertical-relative:line" id="docshapegroup274" coordorigin="0,0" coordsize="727,14">
                  <v:shape style="position:absolute;left:0;top:0;width:727;height:14" id="docshape275" coordorigin="0,0" coordsize="727,14" path="m727,0l70,0,0,0,0,14,70,14,727,14,727,0xe" filled="true" fillcolor="#000000" stroked="false">
                    <v:path arrowok="t"/>
                    <v:fill type="solid"/>
                  </v:shape>
                </v:group>
              </w:pict>
            </w:r>
            <w:r>
              <w:rPr>
                <w:sz w:val="2"/>
              </w:rPr>
            </w:r>
            <w:r>
              <w:rPr>
                <w:spacing w:val="91"/>
                <w:sz w:val="2"/>
              </w:rPr>
              <w:t> </w:t>
            </w:r>
            <w:r>
              <w:rPr>
                <w:spacing w:val="91"/>
                <w:sz w:val="2"/>
              </w:rPr>
              <w:pict>
                <v:group style="width:11.9pt;height:.7pt;mso-position-horizontal-relative:char;mso-position-vertical-relative:line" id="docshapegroup276" coordorigin="0,0" coordsize="238,14">
                  <v:shape style="position:absolute;left:-1;top:0;width:238;height:14" id="docshape277" coordorigin="0,0" coordsize="238,14" path="m238,0l224,0,14,0,0,0,0,14,14,14,224,14,238,14,238,0xe" filled="true" fillcolor="#000000" stroked="false">
                    <v:path arrowok="t"/>
                    <v:fill type="solid"/>
                  </v:shape>
                </v:group>
              </w:pict>
            </w:r>
            <w:r>
              <w:rPr>
                <w:spacing w:val="91"/>
                <w:sz w:val="2"/>
              </w:rPr>
            </w:r>
          </w:p>
          <w:p>
            <w:pPr>
              <w:pStyle w:val="TableParagraph"/>
              <w:spacing w:line="145" w:lineRule="exact"/>
              <w:ind w:left="7"/>
              <w:rPr>
                <w:sz w:val="15"/>
              </w:rPr>
            </w:pPr>
            <w:r>
              <w:rPr>
                <w:sz w:val="15"/>
              </w:rPr>
              <w:t>$(1,876,374)</w:t>
            </w:r>
            <w:r>
              <w:rPr>
                <w:spacing w:val="47"/>
                <w:sz w:val="15"/>
              </w:rPr>
              <w:t> </w:t>
            </w:r>
            <w:r>
              <w:rPr>
                <w:spacing w:val="-2"/>
                <w:sz w:val="15"/>
              </w:rPr>
              <w:t>(42)%</w:t>
            </w:r>
          </w:p>
        </w:tc>
      </w:tr>
      <w:tr>
        <w:trPr>
          <w:trHeight w:val="211" w:hRule="atLeast"/>
        </w:trPr>
        <w:tc>
          <w:tcPr>
            <w:tcW w:w="2049" w:type="dxa"/>
          </w:tcPr>
          <w:p>
            <w:pPr>
              <w:pStyle w:val="TableParagraph"/>
              <w:spacing w:line="168" w:lineRule="exact" w:before="23"/>
              <w:ind w:left="50"/>
              <w:rPr>
                <w:sz w:val="15"/>
              </w:rPr>
            </w:pPr>
            <w:r>
              <w:rPr>
                <w:sz w:val="15"/>
              </w:rPr>
              <w:t>Shubham</w:t>
            </w:r>
            <w:r>
              <w:rPr>
                <w:spacing w:val="11"/>
                <w:sz w:val="15"/>
              </w:rPr>
              <w:t> </w:t>
            </w:r>
            <w:r>
              <w:rPr>
                <w:spacing w:val="-2"/>
                <w:sz w:val="15"/>
              </w:rPr>
              <w:t>Maheshwari</w:t>
            </w:r>
          </w:p>
        </w:tc>
        <w:tc>
          <w:tcPr>
            <w:tcW w:w="671" w:type="dxa"/>
            <w:gridSpan w:val="2"/>
          </w:tcPr>
          <w:p>
            <w:pPr>
              <w:pStyle w:val="TableParagraph"/>
              <w:spacing w:line="168" w:lineRule="exact" w:before="23"/>
              <w:ind w:left="112" w:right="-15"/>
              <w:rPr>
                <w:sz w:val="15"/>
              </w:rPr>
            </w:pPr>
            <w:r>
              <w:rPr>
                <w:spacing w:val="-2"/>
                <w:sz w:val="15"/>
              </w:rPr>
              <w:t>$470,769</w:t>
            </w:r>
          </w:p>
        </w:tc>
        <w:tc>
          <w:tcPr>
            <w:tcW w:w="894" w:type="dxa"/>
            <w:gridSpan w:val="2"/>
          </w:tcPr>
          <w:p>
            <w:pPr>
              <w:pStyle w:val="TableParagraph"/>
              <w:spacing w:line="168" w:lineRule="exact" w:before="23"/>
              <w:ind w:left="326"/>
              <w:rPr>
                <w:sz w:val="15"/>
              </w:rPr>
            </w:pPr>
            <w:r>
              <w:rPr>
                <w:spacing w:val="-2"/>
                <w:sz w:val="15"/>
              </w:rPr>
              <w:t>$339,000</w:t>
            </w:r>
          </w:p>
        </w:tc>
        <w:tc>
          <w:tcPr>
            <w:tcW w:w="754" w:type="dxa"/>
            <w:gridSpan w:val="2"/>
          </w:tcPr>
          <w:p>
            <w:pPr>
              <w:pStyle w:val="TableParagraph"/>
              <w:spacing w:line="168" w:lineRule="exact" w:before="23"/>
              <w:ind w:left="461"/>
              <w:rPr>
                <w:sz w:val="15"/>
              </w:rPr>
            </w:pPr>
            <w:r>
              <w:rPr>
                <w:spacing w:val="-5"/>
                <w:sz w:val="15"/>
              </w:rPr>
              <w:t>$0</w:t>
            </w:r>
          </w:p>
        </w:tc>
        <w:tc>
          <w:tcPr>
            <w:tcW w:w="991" w:type="dxa"/>
            <w:gridSpan w:val="2"/>
          </w:tcPr>
          <w:p>
            <w:pPr>
              <w:pStyle w:val="TableParagraph"/>
              <w:spacing w:line="168" w:lineRule="exact" w:before="23"/>
              <w:ind w:left="324" w:right="-15"/>
              <w:rPr>
                <w:sz w:val="15"/>
              </w:rPr>
            </w:pPr>
            <w:r>
              <w:rPr>
                <w:sz w:val="15"/>
              </w:rPr>
              <w:t>$</w:t>
            </w:r>
            <w:r>
              <w:rPr>
                <w:spacing w:val="76"/>
                <w:sz w:val="15"/>
              </w:rPr>
              <w:t> </w:t>
            </w:r>
            <w:r>
              <w:rPr>
                <w:spacing w:val="-2"/>
                <w:sz w:val="15"/>
              </w:rPr>
              <w:t>298,603</w:t>
            </w:r>
          </w:p>
        </w:tc>
        <w:tc>
          <w:tcPr>
            <w:tcW w:w="1005" w:type="dxa"/>
            <w:gridSpan w:val="2"/>
          </w:tcPr>
          <w:p>
            <w:pPr>
              <w:pStyle w:val="TableParagraph"/>
              <w:spacing w:line="168" w:lineRule="exact" w:before="23"/>
              <w:ind w:left="330"/>
              <w:rPr>
                <w:sz w:val="15"/>
              </w:rPr>
            </w:pPr>
            <w:r>
              <w:rPr>
                <w:spacing w:val="-2"/>
                <w:sz w:val="15"/>
              </w:rPr>
              <w:t>$1,108,372</w:t>
            </w:r>
          </w:p>
        </w:tc>
        <w:tc>
          <w:tcPr>
            <w:tcW w:w="781" w:type="dxa"/>
            <w:gridSpan w:val="2"/>
          </w:tcPr>
          <w:p>
            <w:pPr>
              <w:pStyle w:val="TableParagraph"/>
              <w:spacing w:line="168" w:lineRule="exact" w:before="23"/>
              <w:ind w:left="110" w:right="-15"/>
              <w:rPr>
                <w:sz w:val="15"/>
              </w:rPr>
            </w:pPr>
            <w:r>
              <w:rPr>
                <w:spacing w:val="-2"/>
                <w:sz w:val="15"/>
              </w:rPr>
              <w:t>$1,573,836</w:t>
            </w:r>
          </w:p>
        </w:tc>
        <w:tc>
          <w:tcPr>
            <w:tcW w:w="1604" w:type="dxa"/>
            <w:gridSpan w:val="2"/>
          </w:tcPr>
          <w:p>
            <w:pPr>
              <w:pStyle w:val="TableParagraph"/>
              <w:spacing w:line="168" w:lineRule="exact" w:before="23"/>
              <w:ind w:left="326"/>
              <w:rPr>
                <w:sz w:val="15"/>
              </w:rPr>
            </w:pPr>
            <w:r>
              <w:rPr>
                <w:sz w:val="15"/>
              </w:rPr>
              <w:t>$</w:t>
            </w:r>
            <w:r>
              <w:rPr>
                <w:spacing w:val="73"/>
                <w:sz w:val="15"/>
              </w:rPr>
              <w:t> </w:t>
            </w:r>
            <w:r>
              <w:rPr>
                <w:sz w:val="15"/>
              </w:rPr>
              <w:t>(465,465)</w:t>
            </w:r>
            <w:r>
              <w:rPr>
                <w:spacing w:val="49"/>
                <w:sz w:val="15"/>
              </w:rPr>
              <w:t> </w:t>
            </w:r>
            <w:r>
              <w:rPr>
                <w:spacing w:val="-2"/>
                <w:sz w:val="15"/>
              </w:rPr>
              <w:t>(30)%</w:t>
            </w:r>
          </w:p>
        </w:tc>
      </w:tr>
      <w:tr>
        <w:trPr>
          <w:trHeight w:val="195" w:hRule="atLeast"/>
        </w:trPr>
        <w:tc>
          <w:tcPr>
            <w:tcW w:w="2049" w:type="dxa"/>
          </w:tcPr>
          <w:p>
            <w:pPr>
              <w:pStyle w:val="TableParagraph"/>
              <w:spacing w:line="168" w:lineRule="exact" w:before="8"/>
              <w:ind w:left="50"/>
              <w:rPr>
                <w:sz w:val="15"/>
              </w:rPr>
            </w:pPr>
            <w:r>
              <w:rPr>
                <w:sz w:val="15"/>
              </w:rPr>
              <w:t>Kimberley</w:t>
            </w:r>
            <w:r>
              <w:rPr>
                <w:spacing w:val="10"/>
                <w:sz w:val="15"/>
              </w:rPr>
              <w:t> </w:t>
            </w:r>
            <w:r>
              <w:rPr>
                <w:sz w:val="15"/>
              </w:rPr>
              <w:t>E.</w:t>
            </w:r>
            <w:r>
              <w:rPr>
                <w:spacing w:val="10"/>
                <w:sz w:val="15"/>
              </w:rPr>
              <w:t> </w:t>
            </w:r>
            <w:r>
              <w:rPr>
                <w:spacing w:val="-2"/>
                <w:sz w:val="15"/>
              </w:rPr>
              <w:t>Honeysett</w:t>
            </w:r>
          </w:p>
        </w:tc>
        <w:tc>
          <w:tcPr>
            <w:tcW w:w="671" w:type="dxa"/>
            <w:gridSpan w:val="2"/>
          </w:tcPr>
          <w:p>
            <w:pPr>
              <w:pStyle w:val="TableParagraph"/>
              <w:spacing w:line="168" w:lineRule="exact" w:before="8"/>
              <w:ind w:left="112" w:right="-15"/>
              <w:rPr>
                <w:sz w:val="15"/>
              </w:rPr>
            </w:pPr>
            <w:r>
              <w:rPr>
                <w:spacing w:val="-2"/>
                <w:sz w:val="15"/>
              </w:rPr>
              <w:t>$373,077</w:t>
            </w:r>
          </w:p>
        </w:tc>
        <w:tc>
          <w:tcPr>
            <w:tcW w:w="894" w:type="dxa"/>
            <w:gridSpan w:val="2"/>
          </w:tcPr>
          <w:p>
            <w:pPr>
              <w:pStyle w:val="TableParagraph"/>
              <w:spacing w:line="168" w:lineRule="exact" w:before="8"/>
              <w:ind w:left="326"/>
              <w:rPr>
                <w:sz w:val="15"/>
              </w:rPr>
            </w:pPr>
            <w:r>
              <w:rPr>
                <w:spacing w:val="-2"/>
                <w:sz w:val="15"/>
              </w:rPr>
              <w:t>$263,000</w:t>
            </w:r>
          </w:p>
        </w:tc>
        <w:tc>
          <w:tcPr>
            <w:tcW w:w="754" w:type="dxa"/>
            <w:gridSpan w:val="2"/>
          </w:tcPr>
          <w:p>
            <w:pPr>
              <w:pStyle w:val="TableParagraph"/>
              <w:spacing w:line="168" w:lineRule="exact" w:before="8"/>
              <w:ind w:left="461"/>
              <w:rPr>
                <w:sz w:val="15"/>
              </w:rPr>
            </w:pPr>
            <w:r>
              <w:rPr>
                <w:spacing w:val="-5"/>
                <w:sz w:val="15"/>
              </w:rPr>
              <w:t>$0</w:t>
            </w:r>
          </w:p>
        </w:tc>
        <w:tc>
          <w:tcPr>
            <w:tcW w:w="991" w:type="dxa"/>
            <w:gridSpan w:val="2"/>
          </w:tcPr>
          <w:p>
            <w:pPr>
              <w:pStyle w:val="TableParagraph"/>
              <w:spacing w:line="168" w:lineRule="exact" w:before="8"/>
              <w:ind w:left="324" w:right="-15"/>
              <w:rPr>
                <w:sz w:val="15"/>
              </w:rPr>
            </w:pPr>
            <w:r>
              <w:rPr>
                <w:sz w:val="15"/>
              </w:rPr>
              <w:t>$</w:t>
            </w:r>
            <w:r>
              <w:rPr>
                <w:spacing w:val="76"/>
                <w:sz w:val="15"/>
              </w:rPr>
              <w:t> </w:t>
            </w:r>
            <w:r>
              <w:rPr>
                <w:spacing w:val="-2"/>
                <w:sz w:val="15"/>
              </w:rPr>
              <w:t>215,996</w:t>
            </w:r>
          </w:p>
        </w:tc>
        <w:tc>
          <w:tcPr>
            <w:tcW w:w="1005" w:type="dxa"/>
            <w:gridSpan w:val="2"/>
          </w:tcPr>
          <w:p>
            <w:pPr>
              <w:pStyle w:val="TableParagraph"/>
              <w:spacing w:line="168" w:lineRule="exact" w:before="8"/>
              <w:ind w:left="330"/>
              <w:rPr>
                <w:sz w:val="15"/>
              </w:rPr>
            </w:pPr>
            <w:r>
              <w:rPr>
                <w:sz w:val="15"/>
              </w:rPr>
              <w:t>$</w:t>
            </w:r>
            <w:r>
              <w:rPr>
                <w:spacing w:val="76"/>
                <w:sz w:val="15"/>
              </w:rPr>
              <w:t> </w:t>
            </w:r>
            <w:r>
              <w:rPr>
                <w:spacing w:val="-2"/>
                <w:sz w:val="15"/>
              </w:rPr>
              <w:t>852,043</w:t>
            </w:r>
          </w:p>
        </w:tc>
        <w:tc>
          <w:tcPr>
            <w:tcW w:w="781" w:type="dxa"/>
            <w:gridSpan w:val="2"/>
          </w:tcPr>
          <w:p>
            <w:pPr>
              <w:pStyle w:val="TableParagraph"/>
              <w:spacing w:line="168" w:lineRule="exact" w:before="8"/>
              <w:ind w:left="110" w:right="-15"/>
              <w:rPr>
                <w:sz w:val="15"/>
              </w:rPr>
            </w:pPr>
            <w:r>
              <w:rPr>
                <w:spacing w:val="-2"/>
                <w:sz w:val="15"/>
              </w:rPr>
              <w:t>$1,157,050</w:t>
            </w:r>
          </w:p>
        </w:tc>
        <w:tc>
          <w:tcPr>
            <w:tcW w:w="1604" w:type="dxa"/>
            <w:gridSpan w:val="2"/>
          </w:tcPr>
          <w:p>
            <w:pPr>
              <w:pStyle w:val="TableParagraph"/>
              <w:spacing w:line="168" w:lineRule="exact" w:before="8"/>
              <w:ind w:left="326"/>
              <w:rPr>
                <w:sz w:val="15"/>
              </w:rPr>
            </w:pPr>
            <w:r>
              <w:rPr>
                <w:sz w:val="15"/>
              </w:rPr>
              <w:t>$</w:t>
            </w:r>
            <w:r>
              <w:rPr>
                <w:spacing w:val="73"/>
                <w:sz w:val="15"/>
              </w:rPr>
              <w:t> </w:t>
            </w:r>
            <w:r>
              <w:rPr>
                <w:sz w:val="15"/>
              </w:rPr>
              <w:t>(305,007)</w:t>
            </w:r>
            <w:r>
              <w:rPr>
                <w:spacing w:val="49"/>
                <w:sz w:val="15"/>
              </w:rPr>
              <w:t> </w:t>
            </w:r>
            <w:r>
              <w:rPr>
                <w:spacing w:val="-2"/>
                <w:sz w:val="15"/>
              </w:rPr>
              <w:t>(26)%</w:t>
            </w:r>
          </w:p>
        </w:tc>
      </w:tr>
      <w:tr>
        <w:trPr>
          <w:trHeight w:val="195" w:hRule="atLeast"/>
        </w:trPr>
        <w:tc>
          <w:tcPr>
            <w:tcW w:w="2049" w:type="dxa"/>
          </w:tcPr>
          <w:p>
            <w:pPr>
              <w:pStyle w:val="TableParagraph"/>
              <w:spacing w:line="168" w:lineRule="exact" w:before="8"/>
              <w:ind w:left="50"/>
              <w:rPr>
                <w:sz w:val="15"/>
              </w:rPr>
            </w:pPr>
            <w:r>
              <w:rPr>
                <w:sz w:val="15"/>
              </w:rPr>
              <w:t>Brian</w:t>
            </w:r>
            <w:r>
              <w:rPr>
                <w:spacing w:val="-1"/>
                <w:sz w:val="15"/>
              </w:rPr>
              <w:t> </w:t>
            </w:r>
            <w:r>
              <w:rPr>
                <w:sz w:val="15"/>
              </w:rPr>
              <w:t>W. </w:t>
            </w:r>
            <w:r>
              <w:rPr>
                <w:spacing w:val="-2"/>
                <w:sz w:val="15"/>
              </w:rPr>
              <w:t>Giambattista</w:t>
            </w:r>
          </w:p>
        </w:tc>
        <w:tc>
          <w:tcPr>
            <w:tcW w:w="671" w:type="dxa"/>
            <w:gridSpan w:val="2"/>
          </w:tcPr>
          <w:p>
            <w:pPr>
              <w:pStyle w:val="TableParagraph"/>
              <w:spacing w:line="168" w:lineRule="exact" w:before="8"/>
              <w:ind w:left="112" w:right="-15"/>
              <w:rPr>
                <w:sz w:val="15"/>
              </w:rPr>
            </w:pPr>
            <w:r>
              <w:rPr>
                <w:spacing w:val="-2"/>
                <w:sz w:val="15"/>
              </w:rPr>
              <w:t>$372,965</w:t>
            </w:r>
          </w:p>
        </w:tc>
        <w:tc>
          <w:tcPr>
            <w:tcW w:w="894" w:type="dxa"/>
            <w:gridSpan w:val="2"/>
          </w:tcPr>
          <w:p>
            <w:pPr>
              <w:pStyle w:val="TableParagraph"/>
              <w:spacing w:line="168" w:lineRule="exact" w:before="8"/>
              <w:ind w:left="326"/>
              <w:rPr>
                <w:sz w:val="15"/>
              </w:rPr>
            </w:pPr>
            <w:r>
              <w:rPr>
                <w:spacing w:val="-2"/>
                <w:sz w:val="15"/>
              </w:rPr>
              <w:t>$219,000</w:t>
            </w:r>
          </w:p>
        </w:tc>
        <w:tc>
          <w:tcPr>
            <w:tcW w:w="754" w:type="dxa"/>
            <w:gridSpan w:val="2"/>
          </w:tcPr>
          <w:p>
            <w:pPr>
              <w:pStyle w:val="TableParagraph"/>
              <w:spacing w:line="168" w:lineRule="exact" w:before="8"/>
              <w:ind w:left="461"/>
              <w:rPr>
                <w:sz w:val="15"/>
              </w:rPr>
            </w:pPr>
            <w:r>
              <w:rPr>
                <w:spacing w:val="-5"/>
                <w:sz w:val="15"/>
              </w:rPr>
              <w:t>$0</w:t>
            </w:r>
          </w:p>
        </w:tc>
        <w:tc>
          <w:tcPr>
            <w:tcW w:w="991" w:type="dxa"/>
            <w:gridSpan w:val="2"/>
          </w:tcPr>
          <w:p>
            <w:pPr>
              <w:pStyle w:val="TableParagraph"/>
              <w:spacing w:line="168" w:lineRule="exact" w:before="8"/>
              <w:ind w:left="324" w:right="-15"/>
              <w:rPr>
                <w:sz w:val="15"/>
              </w:rPr>
            </w:pPr>
            <w:r>
              <w:rPr>
                <w:sz w:val="15"/>
              </w:rPr>
              <w:t>$</w:t>
            </w:r>
            <w:r>
              <w:rPr>
                <w:spacing w:val="76"/>
                <w:sz w:val="15"/>
              </w:rPr>
              <w:t> </w:t>
            </w:r>
            <w:r>
              <w:rPr>
                <w:spacing w:val="-2"/>
                <w:sz w:val="15"/>
              </w:rPr>
              <w:t>197,194</w:t>
            </w:r>
          </w:p>
        </w:tc>
        <w:tc>
          <w:tcPr>
            <w:tcW w:w="1005" w:type="dxa"/>
            <w:gridSpan w:val="2"/>
          </w:tcPr>
          <w:p>
            <w:pPr>
              <w:pStyle w:val="TableParagraph"/>
              <w:spacing w:line="168" w:lineRule="exact" w:before="8"/>
              <w:ind w:left="330"/>
              <w:rPr>
                <w:sz w:val="15"/>
              </w:rPr>
            </w:pPr>
            <w:r>
              <w:rPr>
                <w:sz w:val="15"/>
              </w:rPr>
              <w:t>$</w:t>
            </w:r>
            <w:r>
              <w:rPr>
                <w:spacing w:val="76"/>
                <w:sz w:val="15"/>
              </w:rPr>
              <w:t> </w:t>
            </w:r>
            <w:r>
              <w:rPr>
                <w:spacing w:val="-2"/>
                <w:sz w:val="15"/>
              </w:rPr>
              <w:t>789,159</w:t>
            </w:r>
          </w:p>
        </w:tc>
        <w:tc>
          <w:tcPr>
            <w:tcW w:w="781" w:type="dxa"/>
            <w:gridSpan w:val="2"/>
          </w:tcPr>
          <w:p>
            <w:pPr>
              <w:pStyle w:val="TableParagraph"/>
              <w:spacing w:line="168" w:lineRule="exact" w:before="8"/>
              <w:ind w:left="110" w:right="-15"/>
              <w:rPr>
                <w:sz w:val="15"/>
              </w:rPr>
            </w:pPr>
            <w:r>
              <w:rPr>
                <w:spacing w:val="-2"/>
                <w:sz w:val="15"/>
              </w:rPr>
              <w:t>$1,106,953</w:t>
            </w:r>
          </w:p>
        </w:tc>
        <w:tc>
          <w:tcPr>
            <w:tcW w:w="1604" w:type="dxa"/>
            <w:gridSpan w:val="2"/>
          </w:tcPr>
          <w:p>
            <w:pPr>
              <w:pStyle w:val="TableParagraph"/>
              <w:spacing w:line="168" w:lineRule="exact" w:before="8"/>
              <w:ind w:left="326"/>
              <w:rPr>
                <w:sz w:val="15"/>
              </w:rPr>
            </w:pPr>
            <w:r>
              <w:rPr>
                <w:sz w:val="15"/>
              </w:rPr>
              <w:t>$</w:t>
            </w:r>
            <w:r>
              <w:rPr>
                <w:spacing w:val="73"/>
                <w:sz w:val="15"/>
              </w:rPr>
              <w:t> </w:t>
            </w:r>
            <w:r>
              <w:rPr>
                <w:sz w:val="15"/>
              </w:rPr>
              <w:t>(317,794)</w:t>
            </w:r>
            <w:r>
              <w:rPr>
                <w:spacing w:val="49"/>
                <w:sz w:val="15"/>
              </w:rPr>
              <w:t> </w:t>
            </w:r>
            <w:r>
              <w:rPr>
                <w:spacing w:val="-2"/>
                <w:sz w:val="15"/>
              </w:rPr>
              <w:t>(29)%</w:t>
            </w:r>
          </w:p>
        </w:tc>
      </w:tr>
      <w:tr>
        <w:trPr>
          <w:trHeight w:val="180" w:hRule="atLeast"/>
        </w:trPr>
        <w:tc>
          <w:tcPr>
            <w:tcW w:w="2049" w:type="dxa"/>
          </w:tcPr>
          <w:p>
            <w:pPr>
              <w:pStyle w:val="TableParagraph"/>
              <w:spacing w:line="152" w:lineRule="exact" w:before="8"/>
              <w:ind w:left="50"/>
              <w:rPr>
                <w:sz w:val="15"/>
              </w:rPr>
            </w:pPr>
            <w:r>
              <w:rPr>
                <w:sz w:val="15"/>
              </w:rPr>
              <w:t>Andrew</w:t>
            </w:r>
            <w:r>
              <w:rPr>
                <w:spacing w:val="8"/>
                <w:sz w:val="15"/>
              </w:rPr>
              <w:t> </w:t>
            </w:r>
            <w:r>
              <w:rPr>
                <w:sz w:val="15"/>
              </w:rPr>
              <w:t>J.</w:t>
            </w:r>
            <w:r>
              <w:rPr>
                <w:spacing w:val="8"/>
                <w:sz w:val="15"/>
              </w:rPr>
              <w:t> </w:t>
            </w:r>
            <w:r>
              <w:rPr>
                <w:spacing w:val="-2"/>
                <w:sz w:val="15"/>
              </w:rPr>
              <w:t>Hartmann</w:t>
            </w:r>
          </w:p>
        </w:tc>
        <w:tc>
          <w:tcPr>
            <w:tcW w:w="671" w:type="dxa"/>
            <w:gridSpan w:val="2"/>
          </w:tcPr>
          <w:p>
            <w:pPr>
              <w:pStyle w:val="TableParagraph"/>
              <w:spacing w:line="152" w:lineRule="exact" w:before="8"/>
              <w:ind w:left="112" w:right="-15"/>
              <w:rPr>
                <w:sz w:val="15"/>
              </w:rPr>
            </w:pPr>
            <w:r>
              <w:rPr>
                <w:spacing w:val="-2"/>
                <w:sz w:val="15"/>
              </w:rPr>
              <w:t>$376,812</w:t>
            </w:r>
          </w:p>
        </w:tc>
        <w:tc>
          <w:tcPr>
            <w:tcW w:w="894" w:type="dxa"/>
            <w:gridSpan w:val="2"/>
          </w:tcPr>
          <w:p>
            <w:pPr>
              <w:pStyle w:val="TableParagraph"/>
              <w:spacing w:line="152" w:lineRule="exact" w:before="8"/>
              <w:ind w:left="326"/>
              <w:rPr>
                <w:sz w:val="15"/>
              </w:rPr>
            </w:pPr>
            <w:r>
              <w:rPr>
                <w:spacing w:val="-2"/>
                <w:sz w:val="15"/>
              </w:rPr>
              <w:t>$211,000</w:t>
            </w:r>
          </w:p>
        </w:tc>
        <w:tc>
          <w:tcPr>
            <w:tcW w:w="754" w:type="dxa"/>
            <w:gridSpan w:val="2"/>
          </w:tcPr>
          <w:p>
            <w:pPr>
              <w:pStyle w:val="TableParagraph"/>
              <w:spacing w:line="152" w:lineRule="exact" w:before="8"/>
              <w:ind w:left="461"/>
              <w:rPr>
                <w:sz w:val="15"/>
              </w:rPr>
            </w:pPr>
            <w:r>
              <w:rPr>
                <w:spacing w:val="-5"/>
                <w:sz w:val="15"/>
              </w:rPr>
              <w:t>$0</w:t>
            </w:r>
          </w:p>
        </w:tc>
        <w:tc>
          <w:tcPr>
            <w:tcW w:w="991" w:type="dxa"/>
            <w:gridSpan w:val="2"/>
          </w:tcPr>
          <w:p>
            <w:pPr>
              <w:pStyle w:val="TableParagraph"/>
              <w:spacing w:line="152" w:lineRule="exact" w:before="8"/>
              <w:ind w:left="324" w:right="-15"/>
              <w:rPr>
                <w:sz w:val="15"/>
              </w:rPr>
            </w:pPr>
            <w:r>
              <w:rPr>
                <w:sz w:val="15"/>
              </w:rPr>
              <w:t>$</w:t>
            </w:r>
            <w:r>
              <w:rPr>
                <w:spacing w:val="76"/>
                <w:sz w:val="15"/>
              </w:rPr>
              <w:t> </w:t>
            </w:r>
            <w:r>
              <w:rPr>
                <w:spacing w:val="-2"/>
                <w:sz w:val="15"/>
              </w:rPr>
              <w:t>197,194</w:t>
            </w:r>
          </w:p>
        </w:tc>
        <w:tc>
          <w:tcPr>
            <w:tcW w:w="1005" w:type="dxa"/>
            <w:gridSpan w:val="2"/>
          </w:tcPr>
          <w:p>
            <w:pPr>
              <w:pStyle w:val="TableParagraph"/>
              <w:spacing w:line="152" w:lineRule="exact" w:before="8"/>
              <w:ind w:left="330"/>
              <w:rPr>
                <w:sz w:val="15"/>
              </w:rPr>
            </w:pPr>
            <w:r>
              <w:rPr>
                <w:sz w:val="15"/>
              </w:rPr>
              <w:t>$</w:t>
            </w:r>
            <w:r>
              <w:rPr>
                <w:spacing w:val="76"/>
                <w:sz w:val="15"/>
              </w:rPr>
              <w:t> </w:t>
            </w:r>
            <w:r>
              <w:rPr>
                <w:spacing w:val="-2"/>
                <w:sz w:val="15"/>
              </w:rPr>
              <w:t>785,006</w:t>
            </w:r>
          </w:p>
        </w:tc>
        <w:tc>
          <w:tcPr>
            <w:tcW w:w="781" w:type="dxa"/>
            <w:gridSpan w:val="2"/>
          </w:tcPr>
          <w:p>
            <w:pPr>
              <w:pStyle w:val="TableParagraph"/>
              <w:spacing w:line="152" w:lineRule="exact" w:before="8"/>
              <w:ind w:left="110" w:right="-15"/>
              <w:rPr>
                <w:sz w:val="15"/>
              </w:rPr>
            </w:pPr>
            <w:r>
              <w:rPr>
                <w:spacing w:val="-2"/>
                <w:sz w:val="15"/>
              </w:rPr>
              <w:t>$1,113,550</w:t>
            </w:r>
          </w:p>
        </w:tc>
        <w:tc>
          <w:tcPr>
            <w:tcW w:w="1604" w:type="dxa"/>
            <w:gridSpan w:val="2"/>
          </w:tcPr>
          <w:p>
            <w:pPr>
              <w:pStyle w:val="TableParagraph"/>
              <w:spacing w:line="152" w:lineRule="exact" w:before="8"/>
              <w:ind w:left="326"/>
              <w:rPr>
                <w:sz w:val="15"/>
              </w:rPr>
            </w:pPr>
            <w:r>
              <w:rPr>
                <w:sz w:val="15"/>
              </w:rPr>
              <w:t>$</w:t>
            </w:r>
            <w:r>
              <w:rPr>
                <w:spacing w:val="73"/>
                <w:sz w:val="15"/>
              </w:rPr>
              <w:t> </w:t>
            </w:r>
            <w:r>
              <w:rPr>
                <w:sz w:val="15"/>
              </w:rPr>
              <w:t>(328,544)</w:t>
            </w:r>
            <w:r>
              <w:rPr>
                <w:spacing w:val="49"/>
                <w:sz w:val="15"/>
              </w:rPr>
              <w:t> </w:t>
            </w:r>
            <w:r>
              <w:rPr>
                <w:spacing w:val="-2"/>
                <w:sz w:val="15"/>
              </w:rPr>
              <w:t>(30)%</w:t>
            </w:r>
          </w:p>
        </w:tc>
      </w:tr>
    </w:tbl>
    <w:p>
      <w:pPr>
        <w:pStyle w:val="BodyText"/>
        <w:spacing w:before="11"/>
        <w:rPr>
          <w:b/>
        </w:rPr>
      </w:pPr>
      <w:r>
        <w:rPr/>
        <w:pict>
          <v:rect style="position:absolute;margin-left:94.006287pt;margin-top:12.111833pt;width:100.654902pt;height:.698992pt;mso-position-horizontal-relative:page;mso-position-vertical-relative:paragraph;z-index:-15690752;mso-wrap-distance-left:0;mso-wrap-distance-right:0" id="docshape278" filled="true" fillcolor="#000000" stroked="false">
            <v:fill type="solid"/>
            <w10:wrap type="topAndBottom"/>
          </v:rect>
        </w:pict>
      </w:r>
    </w:p>
    <w:p>
      <w:pPr>
        <w:pStyle w:val="ListParagraph"/>
        <w:numPr>
          <w:ilvl w:val="0"/>
          <w:numId w:val="26"/>
        </w:numPr>
        <w:tabs>
          <w:tab w:pos="1773" w:val="left" w:leader="none"/>
        </w:tabs>
        <w:spacing w:line="259" w:lineRule="auto" w:before="153" w:after="0"/>
        <w:ind w:left="1772" w:right="1598" w:hanging="373"/>
        <w:jc w:val="left"/>
        <w:rPr>
          <w:sz w:val="18"/>
        </w:rPr>
      </w:pPr>
      <w:r>
        <w:rPr>
          <w:w w:val="105"/>
          <w:sz w:val="18"/>
        </w:rPr>
        <w:t>Fiscal</w:t>
      </w:r>
      <w:r>
        <w:rPr>
          <w:spacing w:val="22"/>
          <w:w w:val="105"/>
          <w:sz w:val="18"/>
        </w:rPr>
        <w:t> </w:t>
      </w:r>
      <w:r>
        <w:rPr>
          <w:w w:val="105"/>
          <w:sz w:val="18"/>
        </w:rPr>
        <w:t>year</w:t>
      </w:r>
      <w:r>
        <w:rPr>
          <w:spacing w:val="22"/>
          <w:w w:val="105"/>
          <w:sz w:val="18"/>
        </w:rPr>
        <w:t> </w:t>
      </w:r>
      <w:r>
        <w:rPr>
          <w:w w:val="105"/>
          <w:sz w:val="18"/>
        </w:rPr>
        <w:t>2022</w:t>
      </w:r>
      <w:r>
        <w:rPr>
          <w:spacing w:val="22"/>
          <w:w w:val="105"/>
          <w:sz w:val="18"/>
        </w:rPr>
        <w:t> </w:t>
      </w:r>
      <w:r>
        <w:rPr>
          <w:w w:val="105"/>
          <w:sz w:val="18"/>
        </w:rPr>
        <w:t>Realized TDC</w:t>
      </w:r>
      <w:r>
        <w:rPr>
          <w:spacing w:val="22"/>
          <w:w w:val="105"/>
          <w:sz w:val="18"/>
        </w:rPr>
        <w:t> </w:t>
      </w:r>
      <w:r>
        <w:rPr>
          <w:w w:val="105"/>
          <w:sz w:val="18"/>
        </w:rPr>
        <w:t>is</w:t>
      </w:r>
      <w:r>
        <w:rPr>
          <w:spacing w:val="22"/>
          <w:w w:val="105"/>
          <w:sz w:val="18"/>
        </w:rPr>
        <w:t> </w:t>
      </w:r>
      <w:r>
        <w:rPr>
          <w:w w:val="105"/>
          <w:sz w:val="18"/>
        </w:rPr>
        <w:t>the</w:t>
      </w:r>
      <w:r>
        <w:rPr>
          <w:spacing w:val="22"/>
          <w:w w:val="105"/>
          <w:sz w:val="18"/>
        </w:rPr>
        <w:t> </w:t>
      </w:r>
      <w:r>
        <w:rPr>
          <w:w w:val="105"/>
          <w:sz w:val="18"/>
        </w:rPr>
        <w:t>sum</w:t>
      </w:r>
      <w:r>
        <w:rPr>
          <w:spacing w:val="22"/>
          <w:w w:val="105"/>
          <w:sz w:val="18"/>
        </w:rPr>
        <w:t> </w:t>
      </w:r>
      <w:r>
        <w:rPr>
          <w:w w:val="105"/>
          <w:sz w:val="18"/>
        </w:rPr>
        <w:t>of</w:t>
      </w:r>
      <w:r>
        <w:rPr>
          <w:spacing w:val="22"/>
          <w:w w:val="105"/>
          <w:sz w:val="18"/>
        </w:rPr>
        <w:t> </w:t>
      </w:r>
      <w:r>
        <w:rPr>
          <w:w w:val="105"/>
          <w:sz w:val="18"/>
        </w:rPr>
        <w:t>salary</w:t>
      </w:r>
      <w:r>
        <w:rPr>
          <w:spacing w:val="22"/>
          <w:w w:val="105"/>
          <w:sz w:val="18"/>
        </w:rPr>
        <w:t> </w:t>
      </w:r>
      <w:r>
        <w:rPr>
          <w:w w:val="105"/>
          <w:sz w:val="18"/>
        </w:rPr>
        <w:t>paid,</w:t>
      </w:r>
      <w:r>
        <w:rPr>
          <w:spacing w:val="22"/>
          <w:w w:val="105"/>
          <w:sz w:val="18"/>
        </w:rPr>
        <w:t> </w:t>
      </w:r>
      <w:r>
        <w:rPr>
          <w:w w:val="105"/>
          <w:sz w:val="18"/>
        </w:rPr>
        <w:t>annual</w:t>
      </w:r>
      <w:r>
        <w:rPr>
          <w:spacing w:val="22"/>
          <w:w w:val="105"/>
          <w:sz w:val="18"/>
        </w:rPr>
        <w:t> </w:t>
      </w:r>
      <w:r>
        <w:rPr>
          <w:w w:val="105"/>
          <w:sz w:val="18"/>
        </w:rPr>
        <w:t>cash</w:t>
      </w:r>
      <w:r>
        <w:rPr>
          <w:spacing w:val="22"/>
          <w:w w:val="105"/>
          <w:sz w:val="18"/>
        </w:rPr>
        <w:t> </w:t>
      </w:r>
      <w:r>
        <w:rPr>
          <w:w w:val="105"/>
          <w:sz w:val="18"/>
        </w:rPr>
        <w:t>incentive</w:t>
      </w:r>
      <w:r>
        <w:rPr>
          <w:spacing w:val="22"/>
          <w:w w:val="105"/>
          <w:sz w:val="18"/>
        </w:rPr>
        <w:t> </w:t>
      </w:r>
      <w:r>
        <w:rPr>
          <w:w w:val="105"/>
          <w:sz w:val="18"/>
        </w:rPr>
        <w:t>earned,</w:t>
      </w:r>
      <w:r>
        <w:rPr>
          <w:spacing w:val="22"/>
          <w:w w:val="105"/>
          <w:sz w:val="18"/>
        </w:rPr>
        <w:t> </w:t>
      </w:r>
      <w:r>
        <w:rPr>
          <w:w w:val="105"/>
          <w:sz w:val="18"/>
        </w:rPr>
        <w:t>and</w:t>
      </w:r>
      <w:r>
        <w:rPr>
          <w:spacing w:val="22"/>
          <w:w w:val="105"/>
          <w:sz w:val="18"/>
        </w:rPr>
        <w:t> </w:t>
      </w:r>
      <w:r>
        <w:rPr>
          <w:w w:val="105"/>
          <w:sz w:val="18"/>
        </w:rPr>
        <w:t>the intrinsic value of stock options and RSUs granted in fiscal year 2022 based on the closing share price</w:t>
      </w:r>
      <w:r>
        <w:rPr>
          <w:spacing w:val="80"/>
          <w:w w:val="105"/>
          <w:sz w:val="18"/>
        </w:rPr>
        <w:t> </w:t>
      </w:r>
      <w:r>
        <w:rPr>
          <w:w w:val="105"/>
          <w:sz w:val="18"/>
        </w:rPr>
        <w:t>on September 30, 2022 ($21.14).</w:t>
      </w:r>
    </w:p>
    <w:p>
      <w:pPr>
        <w:pStyle w:val="ListParagraph"/>
        <w:numPr>
          <w:ilvl w:val="0"/>
          <w:numId w:val="26"/>
        </w:numPr>
        <w:tabs>
          <w:tab w:pos="1773" w:val="left" w:leader="none"/>
        </w:tabs>
        <w:spacing w:line="259" w:lineRule="auto" w:before="71" w:after="0"/>
        <w:ind w:left="1772" w:right="1606" w:hanging="373"/>
        <w:jc w:val="left"/>
        <w:rPr>
          <w:sz w:val="18"/>
        </w:rPr>
      </w:pPr>
      <w:r>
        <w:rPr>
          <w:w w:val="105"/>
          <w:sz w:val="18"/>
        </w:rPr>
        <w:t>Fiscal year 2022 Target TDC is the sum of salary paid, target annual incentive, and the grant date fair value of long-term incentives.</w:t>
      </w:r>
    </w:p>
    <w:p>
      <w:pPr>
        <w:pStyle w:val="BodyText"/>
        <w:spacing w:before="10"/>
        <w:rPr>
          <w:sz w:val="10"/>
        </w:rPr>
      </w:pPr>
    </w:p>
    <w:p>
      <w:pPr>
        <w:pStyle w:val="Heading2"/>
        <w:spacing w:before="98"/>
      </w:pPr>
      <w:r>
        <w:rPr>
          <w:spacing w:val="-2"/>
        </w:rPr>
        <w:t>Key</w:t>
      </w:r>
      <w:r>
        <w:rPr/>
        <w:t> </w:t>
      </w:r>
      <w:r>
        <w:rPr>
          <w:spacing w:val="-2"/>
        </w:rPr>
        <w:t>Changes</w:t>
      </w:r>
      <w:r>
        <w:rPr/>
        <w:t> </w:t>
      </w:r>
      <w:r>
        <w:rPr>
          <w:spacing w:val="-2"/>
        </w:rPr>
        <w:t>for</w:t>
      </w:r>
      <w:r>
        <w:rPr>
          <w:spacing w:val="-5"/>
        </w:rPr>
        <w:t> </w:t>
      </w:r>
      <w:r>
        <w:rPr>
          <w:spacing w:val="-2"/>
        </w:rPr>
        <w:t>Fiscal</w:t>
      </w:r>
      <w:r>
        <w:rPr>
          <w:spacing w:val="-8"/>
        </w:rPr>
        <w:t> </w:t>
      </w:r>
      <w:r>
        <w:rPr>
          <w:spacing w:val="-2"/>
        </w:rPr>
        <w:t>Year</w:t>
      </w:r>
      <w:r>
        <w:rPr>
          <w:spacing w:val="-4"/>
        </w:rPr>
        <w:t> </w:t>
      </w:r>
      <w:r>
        <w:rPr>
          <w:spacing w:val="-2"/>
        </w:rPr>
        <w:t>2023</w:t>
      </w:r>
      <w:r>
        <w:rPr/>
        <w:t> </w:t>
      </w:r>
      <w:r>
        <w:rPr>
          <w:spacing w:val="-2"/>
        </w:rPr>
        <w:t>Compensation</w:t>
      </w:r>
      <w:r>
        <w:rPr/>
        <w:t> </w:t>
      </w:r>
      <w:r>
        <w:rPr>
          <w:spacing w:val="-2"/>
        </w:rPr>
        <w:t>and</w:t>
      </w:r>
      <w:r>
        <w:rPr/>
        <w:t> </w:t>
      </w:r>
      <w:r>
        <w:rPr>
          <w:spacing w:val="-2"/>
        </w:rPr>
        <w:t>Governance</w:t>
      </w:r>
      <w:r>
        <w:rPr/>
        <w:t> </w:t>
      </w:r>
      <w:r>
        <w:rPr>
          <w:spacing w:val="-2"/>
        </w:rPr>
        <w:t>Programs</w:t>
      </w:r>
    </w:p>
    <w:p>
      <w:pPr>
        <w:pStyle w:val="BodyText"/>
        <w:spacing w:line="247" w:lineRule="auto" w:before="171"/>
        <w:ind w:left="1400" w:right="1423" w:firstLine="372"/>
      </w:pPr>
      <w:r>
        <w:rPr>
          <w:w w:val="105"/>
        </w:rPr>
        <w:t>Our LTI program for fiscal year 2023 will remain substantially the same as the program for fiscal year 2022.</w:t>
      </w:r>
      <w:r>
        <w:rPr>
          <w:spacing w:val="15"/>
          <w:w w:val="105"/>
        </w:rPr>
        <w:t> </w:t>
      </w:r>
      <w:r>
        <w:rPr>
          <w:w w:val="105"/>
        </w:rPr>
        <w:t>Our</w:t>
      </w:r>
      <w:r>
        <w:rPr>
          <w:spacing w:val="15"/>
          <w:w w:val="105"/>
        </w:rPr>
        <w:t> </w:t>
      </w:r>
      <w:r>
        <w:rPr>
          <w:w w:val="105"/>
        </w:rPr>
        <w:t>short-term</w:t>
      </w:r>
      <w:r>
        <w:rPr>
          <w:spacing w:val="15"/>
          <w:w w:val="105"/>
        </w:rPr>
        <w:t> </w:t>
      </w:r>
      <w:r>
        <w:rPr>
          <w:w w:val="105"/>
        </w:rPr>
        <w:t>incentive</w:t>
      </w:r>
      <w:r>
        <w:rPr>
          <w:spacing w:val="15"/>
          <w:w w:val="105"/>
        </w:rPr>
        <w:t> </w:t>
      </w:r>
      <w:r>
        <w:rPr>
          <w:w w:val="105"/>
        </w:rPr>
        <w:t>plan</w:t>
      </w:r>
      <w:r>
        <w:rPr>
          <w:spacing w:val="15"/>
          <w:w w:val="105"/>
        </w:rPr>
        <w:t> </w:t>
      </w:r>
      <w:r>
        <w:rPr>
          <w:w w:val="105"/>
        </w:rPr>
        <w:t>will</w:t>
      </w:r>
      <w:r>
        <w:rPr>
          <w:spacing w:val="15"/>
          <w:w w:val="105"/>
        </w:rPr>
        <w:t> </w:t>
      </w:r>
      <w:r>
        <w:rPr>
          <w:w w:val="105"/>
        </w:rPr>
        <w:t>continue</w:t>
      </w:r>
      <w:r>
        <w:rPr>
          <w:spacing w:val="15"/>
          <w:w w:val="105"/>
        </w:rPr>
        <w:t> </w:t>
      </w:r>
      <w:r>
        <w:rPr>
          <w:w w:val="105"/>
        </w:rPr>
        <w:t>to</w:t>
      </w:r>
      <w:r>
        <w:rPr>
          <w:spacing w:val="15"/>
          <w:w w:val="105"/>
        </w:rPr>
        <w:t> </w:t>
      </w:r>
      <w:r>
        <w:rPr>
          <w:w w:val="105"/>
        </w:rPr>
        <w:t>utilize</w:t>
      </w:r>
      <w:r>
        <w:rPr>
          <w:spacing w:val="15"/>
          <w:w w:val="105"/>
        </w:rPr>
        <w:t> </w:t>
      </w:r>
      <w:r>
        <w:rPr>
          <w:w w:val="105"/>
        </w:rPr>
        <w:t>one</w:t>
      </w:r>
      <w:r>
        <w:rPr>
          <w:spacing w:val="15"/>
          <w:w w:val="105"/>
        </w:rPr>
        <w:t> </w:t>
      </w:r>
      <w:r>
        <w:rPr>
          <w:w w:val="105"/>
        </w:rPr>
        <w:t>financial</w:t>
      </w:r>
      <w:r>
        <w:rPr>
          <w:spacing w:val="15"/>
          <w:w w:val="105"/>
        </w:rPr>
        <w:t> </w:t>
      </w:r>
      <w:r>
        <w:rPr>
          <w:w w:val="105"/>
        </w:rPr>
        <w:t>measure,</w:t>
      </w:r>
      <w:r>
        <w:rPr>
          <w:spacing w:val="15"/>
          <w:w w:val="105"/>
        </w:rPr>
        <w:t> </w:t>
      </w:r>
      <w:r>
        <w:rPr>
          <w:w w:val="105"/>
        </w:rPr>
        <w:t>EBIT,</w:t>
      </w:r>
      <w:r>
        <w:rPr>
          <w:spacing w:val="15"/>
          <w:w w:val="105"/>
        </w:rPr>
        <w:t> </w:t>
      </w:r>
      <w:r>
        <w:rPr>
          <w:w w:val="105"/>
        </w:rPr>
        <w:t>for</w:t>
      </w:r>
      <w:r>
        <w:rPr>
          <w:spacing w:val="15"/>
          <w:w w:val="105"/>
        </w:rPr>
        <w:t> </w:t>
      </w:r>
      <w:r>
        <w:rPr>
          <w:w w:val="105"/>
        </w:rPr>
        <w:t>all</w:t>
      </w:r>
      <w:r>
        <w:rPr>
          <w:spacing w:val="15"/>
          <w:w w:val="105"/>
        </w:rPr>
        <w:t> </w:t>
      </w:r>
      <w:r>
        <w:rPr>
          <w:w w:val="105"/>
        </w:rPr>
        <w:t>NEOs,</w:t>
      </w:r>
      <w:r>
        <w:rPr>
          <w:spacing w:val="15"/>
          <w:w w:val="105"/>
        </w:rPr>
        <w:t> </w:t>
      </w:r>
      <w:r>
        <w:rPr>
          <w:w w:val="105"/>
        </w:rPr>
        <w:t>with an</w:t>
      </w:r>
      <w:r>
        <w:rPr>
          <w:spacing w:val="24"/>
          <w:w w:val="105"/>
        </w:rPr>
        <w:t> </w:t>
      </w:r>
      <w:r>
        <w:rPr>
          <w:w w:val="105"/>
        </w:rPr>
        <w:t>individual</w:t>
      </w:r>
      <w:r>
        <w:rPr>
          <w:spacing w:val="24"/>
          <w:w w:val="105"/>
        </w:rPr>
        <w:t> </w:t>
      </w:r>
      <w:r>
        <w:rPr>
          <w:w w:val="105"/>
        </w:rPr>
        <w:t>modifier</w:t>
      </w:r>
      <w:r>
        <w:rPr>
          <w:spacing w:val="24"/>
          <w:w w:val="105"/>
        </w:rPr>
        <w:t> </w:t>
      </w:r>
      <w:r>
        <w:rPr>
          <w:w w:val="105"/>
        </w:rPr>
        <w:t>that</w:t>
      </w:r>
      <w:r>
        <w:rPr>
          <w:spacing w:val="24"/>
          <w:w w:val="105"/>
        </w:rPr>
        <w:t> </w:t>
      </w:r>
      <w:r>
        <w:rPr>
          <w:w w:val="105"/>
        </w:rPr>
        <w:t>is</w:t>
      </w:r>
      <w:r>
        <w:rPr>
          <w:spacing w:val="24"/>
          <w:w w:val="105"/>
        </w:rPr>
        <w:t> </w:t>
      </w:r>
      <w:r>
        <w:rPr>
          <w:w w:val="105"/>
        </w:rPr>
        <w:t>based</w:t>
      </w:r>
      <w:r>
        <w:rPr>
          <w:spacing w:val="24"/>
          <w:w w:val="105"/>
        </w:rPr>
        <w:t> </w:t>
      </w:r>
      <w:r>
        <w:rPr>
          <w:w w:val="105"/>
        </w:rPr>
        <w:t>on</w:t>
      </w:r>
      <w:r>
        <w:rPr>
          <w:spacing w:val="24"/>
          <w:w w:val="105"/>
        </w:rPr>
        <w:t> </w:t>
      </w:r>
      <w:r>
        <w:rPr>
          <w:w w:val="105"/>
        </w:rPr>
        <w:t>individual</w:t>
      </w:r>
      <w:r>
        <w:rPr>
          <w:spacing w:val="24"/>
          <w:w w:val="105"/>
        </w:rPr>
        <w:t> </w:t>
      </w:r>
      <w:r>
        <w:rPr>
          <w:w w:val="105"/>
        </w:rPr>
        <w:t>goals</w:t>
      </w:r>
      <w:r>
        <w:rPr>
          <w:spacing w:val="24"/>
          <w:w w:val="105"/>
        </w:rPr>
        <w:t> </w:t>
      </w:r>
      <w:r>
        <w:rPr>
          <w:w w:val="105"/>
        </w:rPr>
        <w:t>tied</w:t>
      </w:r>
      <w:r>
        <w:rPr>
          <w:spacing w:val="24"/>
          <w:w w:val="105"/>
        </w:rPr>
        <w:t> </w:t>
      </w:r>
      <w:r>
        <w:rPr>
          <w:w w:val="105"/>
        </w:rPr>
        <w:t>to</w:t>
      </w:r>
      <w:r>
        <w:rPr>
          <w:spacing w:val="24"/>
          <w:w w:val="105"/>
        </w:rPr>
        <w:t> </w:t>
      </w:r>
      <w:r>
        <w:rPr>
          <w:w w:val="105"/>
        </w:rPr>
        <w:t>business</w:t>
      </w:r>
      <w:r>
        <w:rPr>
          <w:spacing w:val="24"/>
          <w:w w:val="105"/>
        </w:rPr>
        <w:t> </w:t>
      </w:r>
      <w:r>
        <w:rPr>
          <w:w w:val="105"/>
        </w:rPr>
        <w:t>unit</w:t>
      </w:r>
      <w:r>
        <w:rPr>
          <w:spacing w:val="24"/>
          <w:w w:val="105"/>
        </w:rPr>
        <w:t> </w:t>
      </w:r>
      <w:r>
        <w:rPr>
          <w:w w:val="105"/>
        </w:rPr>
        <w:t>financial</w:t>
      </w:r>
      <w:r>
        <w:rPr>
          <w:spacing w:val="24"/>
          <w:w w:val="105"/>
        </w:rPr>
        <w:t> </w:t>
      </w:r>
      <w:r>
        <w:rPr>
          <w:w w:val="105"/>
        </w:rPr>
        <w:t>measures</w:t>
      </w:r>
      <w:r>
        <w:rPr>
          <w:spacing w:val="24"/>
          <w:w w:val="105"/>
        </w:rPr>
        <w:t> </w:t>
      </w:r>
      <w:r>
        <w:rPr>
          <w:w w:val="105"/>
        </w:rPr>
        <w:t>and</w:t>
      </w:r>
      <w:r>
        <w:rPr>
          <w:spacing w:val="24"/>
          <w:w w:val="105"/>
        </w:rPr>
        <w:t> </w:t>
      </w:r>
      <w:r>
        <w:rPr>
          <w:w w:val="105"/>
        </w:rPr>
        <w:t>other key strategic projects. We believe that EBIT encourages the full executive group to focus on Company-wide profitability</w:t>
      </w:r>
      <w:r>
        <w:rPr>
          <w:spacing w:val="18"/>
          <w:w w:val="105"/>
        </w:rPr>
        <w:t> </w:t>
      </w:r>
      <w:r>
        <w:rPr>
          <w:w w:val="105"/>
        </w:rPr>
        <w:t>and</w:t>
      </w:r>
      <w:r>
        <w:rPr>
          <w:spacing w:val="18"/>
          <w:w w:val="105"/>
        </w:rPr>
        <w:t> </w:t>
      </w:r>
      <w:r>
        <w:rPr>
          <w:w w:val="105"/>
        </w:rPr>
        <w:t>that</w:t>
      </w:r>
      <w:r>
        <w:rPr>
          <w:spacing w:val="18"/>
          <w:w w:val="105"/>
        </w:rPr>
        <w:t> </w:t>
      </w:r>
      <w:r>
        <w:rPr>
          <w:w w:val="105"/>
        </w:rPr>
        <w:t>the</w:t>
      </w:r>
      <w:r>
        <w:rPr>
          <w:spacing w:val="18"/>
          <w:w w:val="105"/>
        </w:rPr>
        <w:t> </w:t>
      </w:r>
      <w:r>
        <w:rPr>
          <w:w w:val="105"/>
        </w:rPr>
        <w:t>individually</w:t>
      </w:r>
      <w:r>
        <w:rPr>
          <w:spacing w:val="18"/>
          <w:w w:val="105"/>
        </w:rPr>
        <w:t> </w:t>
      </w:r>
      <w:r>
        <w:rPr>
          <w:w w:val="105"/>
        </w:rPr>
        <w:t>set</w:t>
      </w:r>
      <w:r>
        <w:rPr>
          <w:spacing w:val="18"/>
          <w:w w:val="105"/>
        </w:rPr>
        <w:t> </w:t>
      </w:r>
      <w:r>
        <w:rPr>
          <w:w w:val="105"/>
        </w:rPr>
        <w:t>goals</w:t>
      </w:r>
      <w:r>
        <w:rPr>
          <w:spacing w:val="18"/>
          <w:w w:val="105"/>
        </w:rPr>
        <w:t> </w:t>
      </w:r>
      <w:r>
        <w:rPr>
          <w:w w:val="105"/>
        </w:rPr>
        <w:t>incentivize</w:t>
      </w:r>
      <w:r>
        <w:rPr>
          <w:spacing w:val="18"/>
          <w:w w:val="105"/>
        </w:rPr>
        <w:t> </w:t>
      </w:r>
      <w:r>
        <w:rPr>
          <w:w w:val="105"/>
        </w:rPr>
        <w:t>executives</w:t>
      </w:r>
      <w:r>
        <w:rPr>
          <w:spacing w:val="18"/>
          <w:w w:val="105"/>
        </w:rPr>
        <w:t> </w:t>
      </w:r>
      <w:r>
        <w:rPr>
          <w:w w:val="105"/>
        </w:rPr>
        <w:t>to</w:t>
      </w:r>
      <w:r>
        <w:rPr>
          <w:spacing w:val="18"/>
          <w:w w:val="105"/>
        </w:rPr>
        <w:t> </w:t>
      </w:r>
      <w:r>
        <w:rPr>
          <w:w w:val="105"/>
        </w:rPr>
        <w:t>focus</w:t>
      </w:r>
      <w:r>
        <w:rPr>
          <w:spacing w:val="18"/>
          <w:w w:val="105"/>
        </w:rPr>
        <w:t> </w:t>
      </w:r>
      <w:r>
        <w:rPr>
          <w:w w:val="105"/>
        </w:rPr>
        <w:t>on</w:t>
      </w:r>
      <w:r>
        <w:rPr>
          <w:spacing w:val="18"/>
          <w:w w:val="105"/>
        </w:rPr>
        <w:t> </w:t>
      </w:r>
      <w:r>
        <w:rPr>
          <w:w w:val="105"/>
        </w:rPr>
        <w:t>important</w:t>
      </w:r>
      <w:r>
        <w:rPr>
          <w:spacing w:val="18"/>
          <w:w w:val="105"/>
        </w:rPr>
        <w:t> </w:t>
      </w:r>
      <w:r>
        <w:rPr>
          <w:w w:val="105"/>
        </w:rPr>
        <w:t>strategic</w:t>
      </w:r>
      <w:r>
        <w:rPr>
          <w:spacing w:val="18"/>
          <w:w w:val="105"/>
        </w:rPr>
        <w:t> </w:t>
      </w:r>
      <w:r>
        <w:rPr>
          <w:w w:val="105"/>
        </w:rPr>
        <w:t>aspects of</w:t>
      </w:r>
      <w:r>
        <w:rPr>
          <w:spacing w:val="24"/>
          <w:w w:val="105"/>
        </w:rPr>
        <w:t> </w:t>
      </w:r>
      <w:r>
        <w:rPr>
          <w:w w:val="105"/>
        </w:rPr>
        <w:t>their</w:t>
      </w:r>
      <w:r>
        <w:rPr>
          <w:spacing w:val="24"/>
          <w:w w:val="105"/>
        </w:rPr>
        <w:t> </w:t>
      </w:r>
      <w:r>
        <w:rPr>
          <w:w w:val="105"/>
        </w:rPr>
        <w:t>business</w:t>
      </w:r>
      <w:r>
        <w:rPr>
          <w:spacing w:val="24"/>
          <w:w w:val="105"/>
        </w:rPr>
        <w:t> </w:t>
      </w:r>
      <w:r>
        <w:rPr>
          <w:w w:val="105"/>
        </w:rPr>
        <w:t>units</w:t>
      </w:r>
      <w:r>
        <w:rPr>
          <w:spacing w:val="24"/>
          <w:w w:val="105"/>
        </w:rPr>
        <w:t> </w:t>
      </w:r>
      <w:r>
        <w:rPr>
          <w:w w:val="105"/>
        </w:rPr>
        <w:t>and</w:t>
      </w:r>
      <w:r>
        <w:rPr>
          <w:spacing w:val="24"/>
          <w:w w:val="105"/>
        </w:rPr>
        <w:t> </w:t>
      </w:r>
      <w:r>
        <w:rPr>
          <w:w w:val="105"/>
        </w:rPr>
        <w:t>functions</w:t>
      </w:r>
      <w:r>
        <w:rPr>
          <w:spacing w:val="24"/>
          <w:w w:val="105"/>
        </w:rPr>
        <w:t> </w:t>
      </w:r>
      <w:r>
        <w:rPr>
          <w:w w:val="105"/>
        </w:rPr>
        <w:t>that</w:t>
      </w:r>
      <w:r>
        <w:rPr>
          <w:spacing w:val="24"/>
          <w:w w:val="105"/>
        </w:rPr>
        <w:t> </w:t>
      </w:r>
      <w:r>
        <w:rPr>
          <w:w w:val="105"/>
        </w:rPr>
        <w:t>drive</w:t>
      </w:r>
      <w:r>
        <w:rPr>
          <w:spacing w:val="24"/>
          <w:w w:val="105"/>
        </w:rPr>
        <w:t> </w:t>
      </w:r>
      <w:r>
        <w:rPr>
          <w:w w:val="105"/>
        </w:rPr>
        <w:t>performance. As</w:t>
      </w:r>
      <w:r>
        <w:rPr>
          <w:spacing w:val="24"/>
          <w:w w:val="105"/>
        </w:rPr>
        <w:t> </w:t>
      </w:r>
      <w:r>
        <w:rPr>
          <w:w w:val="105"/>
        </w:rPr>
        <w:t>a</w:t>
      </w:r>
      <w:r>
        <w:rPr>
          <w:spacing w:val="24"/>
          <w:w w:val="105"/>
        </w:rPr>
        <w:t> </w:t>
      </w:r>
      <w:r>
        <w:rPr>
          <w:w w:val="105"/>
        </w:rPr>
        <w:t>result,</w:t>
      </w:r>
      <w:r>
        <w:rPr>
          <w:spacing w:val="24"/>
          <w:w w:val="105"/>
        </w:rPr>
        <w:t> </w:t>
      </w:r>
      <w:r>
        <w:rPr>
          <w:w w:val="105"/>
        </w:rPr>
        <w:t>bonus</w:t>
      </w:r>
      <w:r>
        <w:rPr>
          <w:spacing w:val="24"/>
          <w:w w:val="105"/>
        </w:rPr>
        <w:t> </w:t>
      </w:r>
      <w:r>
        <w:rPr>
          <w:w w:val="105"/>
        </w:rPr>
        <w:t>levels</w:t>
      </w:r>
      <w:r>
        <w:rPr>
          <w:spacing w:val="24"/>
          <w:w w:val="105"/>
        </w:rPr>
        <w:t> </w:t>
      </w:r>
      <w:r>
        <w:rPr>
          <w:w w:val="105"/>
        </w:rPr>
        <w:t>will</w:t>
      </w:r>
      <w:r>
        <w:rPr>
          <w:spacing w:val="24"/>
          <w:w w:val="105"/>
        </w:rPr>
        <w:t> </w:t>
      </w:r>
      <w:r>
        <w:rPr>
          <w:w w:val="105"/>
        </w:rPr>
        <w:t>be</w:t>
      </w:r>
      <w:r>
        <w:rPr>
          <w:spacing w:val="24"/>
          <w:w w:val="105"/>
        </w:rPr>
        <w:t> </w:t>
      </w:r>
      <w:r>
        <w:rPr>
          <w:w w:val="105"/>
        </w:rPr>
        <w:t>measured</w:t>
      </w:r>
      <w:r>
        <w:rPr>
          <w:w w:val="105"/>
        </w:rPr>
        <w:t> 100%</w:t>
      </w:r>
      <w:r>
        <w:rPr>
          <w:spacing w:val="26"/>
          <w:w w:val="105"/>
        </w:rPr>
        <w:t> </w:t>
      </w:r>
      <w:r>
        <w:rPr>
          <w:w w:val="105"/>
        </w:rPr>
        <w:t>on</w:t>
      </w:r>
      <w:r>
        <w:rPr>
          <w:spacing w:val="26"/>
          <w:w w:val="105"/>
        </w:rPr>
        <w:t> </w:t>
      </w:r>
      <w:r>
        <w:rPr>
          <w:w w:val="105"/>
        </w:rPr>
        <w:t>financial</w:t>
      </w:r>
      <w:r>
        <w:rPr>
          <w:spacing w:val="26"/>
          <w:w w:val="105"/>
        </w:rPr>
        <w:t> </w:t>
      </w:r>
      <w:r>
        <w:rPr>
          <w:w w:val="105"/>
        </w:rPr>
        <w:t>goal</w:t>
      </w:r>
      <w:r>
        <w:rPr>
          <w:spacing w:val="26"/>
          <w:w w:val="105"/>
        </w:rPr>
        <w:t> </w:t>
      </w:r>
      <w:r>
        <w:rPr>
          <w:w w:val="105"/>
        </w:rPr>
        <w:t>achievement</w:t>
      </w:r>
      <w:r>
        <w:rPr>
          <w:spacing w:val="26"/>
          <w:w w:val="105"/>
        </w:rPr>
        <w:t> </w:t>
      </w:r>
      <w:r>
        <w:rPr>
          <w:w w:val="105"/>
        </w:rPr>
        <w:t>(EBIT),</w:t>
      </w:r>
      <w:r>
        <w:rPr>
          <w:spacing w:val="26"/>
          <w:w w:val="105"/>
        </w:rPr>
        <w:t> </w:t>
      </w:r>
      <w:r>
        <w:rPr>
          <w:w w:val="105"/>
        </w:rPr>
        <w:t>with</w:t>
      </w:r>
      <w:r>
        <w:rPr>
          <w:spacing w:val="26"/>
          <w:w w:val="105"/>
        </w:rPr>
        <w:t> </w:t>
      </w:r>
      <w:r>
        <w:rPr>
          <w:w w:val="105"/>
        </w:rPr>
        <w:t>a</w:t>
      </w:r>
      <w:r>
        <w:rPr>
          <w:spacing w:val="26"/>
          <w:w w:val="105"/>
        </w:rPr>
        <w:t> </w:t>
      </w:r>
      <w:r>
        <w:rPr>
          <w:w w:val="105"/>
        </w:rPr>
        <w:t>modifier</w:t>
      </w:r>
      <w:r>
        <w:rPr>
          <w:spacing w:val="26"/>
          <w:w w:val="105"/>
        </w:rPr>
        <w:t> </w:t>
      </w:r>
      <w:r>
        <w:rPr>
          <w:w w:val="105"/>
        </w:rPr>
        <w:t>based</w:t>
      </w:r>
      <w:r>
        <w:rPr>
          <w:spacing w:val="26"/>
          <w:w w:val="105"/>
        </w:rPr>
        <w:t> </w:t>
      </w:r>
      <w:r>
        <w:rPr>
          <w:w w:val="105"/>
        </w:rPr>
        <w:t>on</w:t>
      </w:r>
      <w:r>
        <w:rPr>
          <w:spacing w:val="26"/>
          <w:w w:val="105"/>
        </w:rPr>
        <w:t> </w:t>
      </w:r>
      <w:r>
        <w:rPr>
          <w:w w:val="105"/>
        </w:rPr>
        <w:t>individual</w:t>
      </w:r>
      <w:r>
        <w:rPr>
          <w:spacing w:val="26"/>
          <w:w w:val="105"/>
        </w:rPr>
        <w:t> </w:t>
      </w:r>
      <w:r>
        <w:rPr>
          <w:w w:val="105"/>
        </w:rPr>
        <w:t>goal</w:t>
      </w:r>
      <w:r>
        <w:rPr>
          <w:spacing w:val="26"/>
          <w:w w:val="105"/>
        </w:rPr>
        <w:t> </w:t>
      </w:r>
      <w:r>
        <w:rPr>
          <w:w w:val="105"/>
        </w:rPr>
        <w:t>achievement</w:t>
      </w:r>
      <w:r>
        <w:rPr>
          <w:spacing w:val="26"/>
          <w:w w:val="105"/>
        </w:rPr>
        <w:t> </w:t>
      </w:r>
      <w:r>
        <w:rPr>
          <w:w w:val="105"/>
        </w:rPr>
        <w:t>during the year utilized to adjust the amounts calculated based on EBIT.</w:t>
      </w:r>
    </w:p>
    <w:p>
      <w:pPr>
        <w:pStyle w:val="BodyText"/>
        <w:spacing w:before="5"/>
        <w:rPr>
          <w:sz w:val="19"/>
        </w:rPr>
      </w:pPr>
    </w:p>
    <w:p>
      <w:pPr>
        <w:pStyle w:val="Heading2"/>
      </w:pPr>
      <w:bookmarkStart w:name="_TOC_250014" w:id="29"/>
      <w:r>
        <w:rPr>
          <w:spacing w:val="-2"/>
        </w:rPr>
        <w:t>Executive</w:t>
      </w:r>
      <w:r>
        <w:rPr>
          <w:spacing w:val="3"/>
        </w:rPr>
        <w:t> </w:t>
      </w:r>
      <w:r>
        <w:rPr>
          <w:spacing w:val="-2"/>
        </w:rPr>
        <w:t>Compensation</w:t>
      </w:r>
      <w:r>
        <w:rPr>
          <w:spacing w:val="4"/>
        </w:rPr>
        <w:t> </w:t>
      </w:r>
      <w:r>
        <w:rPr>
          <w:spacing w:val="-2"/>
        </w:rPr>
        <w:t>Practices</w:t>
      </w:r>
      <w:r>
        <w:rPr>
          <w:spacing w:val="3"/>
        </w:rPr>
        <w:t> </w:t>
      </w:r>
      <w:bookmarkEnd w:id="29"/>
      <w:r>
        <w:rPr>
          <w:spacing w:val="-2"/>
        </w:rPr>
        <w:t>Highlights</w:t>
      </w:r>
    </w:p>
    <w:p>
      <w:pPr>
        <w:pStyle w:val="BodyText"/>
        <w:spacing w:line="242" w:lineRule="auto" w:before="171"/>
        <w:ind w:left="1400" w:right="1680" w:firstLine="372"/>
      </w:pPr>
      <w:r>
        <w:rPr>
          <w:w w:val="105"/>
        </w:rPr>
        <w:t>A number of practices strengthen the alignment of our executive compensation program with the interests of our stockholders:</w:t>
      </w:r>
    </w:p>
    <w:p>
      <w:pPr>
        <w:tabs>
          <w:tab w:pos="4321" w:val="left" w:leader="none"/>
        </w:tabs>
        <w:spacing w:line="163" w:lineRule="exact" w:before="169"/>
        <w:ind w:left="183" w:right="0" w:firstLine="0"/>
        <w:jc w:val="center"/>
        <w:rPr>
          <w:b/>
          <w:sz w:val="15"/>
        </w:rPr>
      </w:pPr>
      <w:r>
        <w:rPr>
          <w:b/>
          <w:spacing w:val="-4"/>
          <w:sz w:val="15"/>
        </w:rPr>
        <w:t>What we </w:t>
      </w:r>
      <w:r>
        <w:rPr>
          <w:b/>
          <w:spacing w:val="-5"/>
          <w:sz w:val="15"/>
        </w:rPr>
        <w:t>do</w:t>
      </w:r>
      <w:r>
        <w:rPr>
          <w:b/>
          <w:sz w:val="15"/>
        </w:rPr>
        <w:tab/>
      </w:r>
      <w:r>
        <w:rPr>
          <w:b/>
          <w:spacing w:val="-4"/>
          <w:sz w:val="15"/>
        </w:rPr>
        <w:t>What</w:t>
      </w:r>
      <w:r>
        <w:rPr>
          <w:b/>
          <w:spacing w:val="-6"/>
          <w:sz w:val="15"/>
        </w:rPr>
        <w:t> </w:t>
      </w:r>
      <w:r>
        <w:rPr>
          <w:b/>
          <w:spacing w:val="-4"/>
          <w:sz w:val="15"/>
        </w:rPr>
        <w:t>we</w:t>
      </w:r>
      <w:r>
        <w:rPr>
          <w:b/>
          <w:spacing w:val="-3"/>
          <w:sz w:val="15"/>
        </w:rPr>
        <w:t> </w:t>
      </w:r>
      <w:r>
        <w:rPr>
          <w:b/>
          <w:spacing w:val="-4"/>
          <w:sz w:val="15"/>
        </w:rPr>
        <w:t>do not</w:t>
      </w:r>
      <w:r>
        <w:rPr>
          <w:b/>
          <w:spacing w:val="-3"/>
          <w:sz w:val="15"/>
        </w:rPr>
        <w:t> </w:t>
      </w:r>
      <w:r>
        <w:rPr>
          <w:b/>
          <w:spacing w:val="-5"/>
          <w:sz w:val="15"/>
        </w:rPr>
        <w:t>do</w:t>
      </w:r>
    </w:p>
    <w:p>
      <w:pPr>
        <w:spacing w:after="0" w:line="163" w:lineRule="exact"/>
        <w:jc w:val="center"/>
        <w:rPr>
          <w:sz w:val="15"/>
        </w:rPr>
        <w:sectPr>
          <w:headerReference w:type="default" r:id="rId120"/>
          <w:footerReference w:type="default" r:id="rId121"/>
          <w:pgSz w:w="12240" w:h="15840"/>
          <w:pgMar w:header="529" w:footer="1302" w:top="720" w:bottom="1500" w:left="480" w:right="460"/>
        </w:sectPr>
      </w:pPr>
    </w:p>
    <w:p>
      <w:pPr>
        <w:pStyle w:val="ListParagraph"/>
        <w:numPr>
          <w:ilvl w:val="1"/>
          <w:numId w:val="26"/>
        </w:numPr>
        <w:tabs>
          <w:tab w:pos="1772" w:val="left" w:leader="none"/>
          <w:tab w:pos="1773" w:val="left" w:leader="none"/>
          <w:tab w:pos="5746" w:val="left" w:leader="none"/>
        </w:tabs>
        <w:spacing w:line="240" w:lineRule="auto" w:before="7" w:after="0"/>
        <w:ind w:left="1772" w:right="0" w:hanging="373"/>
        <w:jc w:val="left"/>
        <w:rPr>
          <w:sz w:val="18"/>
        </w:rPr>
      </w:pPr>
      <w:r>
        <w:rPr/>
        <w:pict>
          <v:rect style="position:absolute;margin-left:94.006287pt;margin-top:1.673102pt;width:206.20275pt;height:.698992pt;mso-position-horizontal-relative:page;mso-position-vertical-relative:paragraph;z-index:-20483584" id="docshape279" filled="true" fillcolor="#000000" stroked="false">
            <v:fill type="solid"/>
            <w10:wrap type="none"/>
          </v:rect>
        </w:pict>
      </w:r>
      <w:r>
        <w:rPr/>
        <w:pict>
          <v:rect style="position:absolute;margin-left:311.392914pt;margin-top:1.673102pt;width:206.20275pt;height:.698992pt;mso-position-horizontal-relative:page;mso-position-vertical-relative:paragraph;z-index:-20483072" id="docshape280" filled="true" fillcolor="#000000" stroked="false">
            <v:fill type="solid"/>
            <w10:wrap type="none"/>
          </v:rect>
        </w:pict>
      </w:r>
      <w:r>
        <w:rPr/>
        <w:pict>
          <v:group style="position:absolute;margin-left:28.999998pt;margin-top:748.260498pt;width:555pt;height:1.4pt;mso-position-horizontal-relative:page;mso-position-vertical-relative:page;z-index:15768064" id="docshapegroup281" coordorigin="580,14965" coordsize="11100,28">
            <v:rect style="position:absolute;left:580;top:14965;width:11100;height:14" id="docshape282" filled="true" fillcolor="#999999" stroked="false">
              <v:fill type="solid"/>
            </v:rect>
            <v:shape style="position:absolute;left:579;top:14965;width:11100;height:28" id="docshape283" coordorigin="580,14965" coordsize="11100,28" path="m11680,14965l11666,14979,580,14979,580,14993,11666,14993,11680,14993,11680,14979,11680,14965xe" filled="true" fillcolor="#ededed" stroked="false">
              <v:path arrowok="t"/>
              <v:fill type="solid"/>
            </v:shape>
            <v:shape style="position:absolute;left:580;top:14965;width:14;height:28" id="docshape284" coordorigin="580,14965" coordsize="14,28" path="m580,14993l580,14965,594,14965,594,14979,580,14993xe" filled="true" fillcolor="#999999" stroked="false">
              <v:path arrowok="t"/>
              <v:fill type="solid"/>
            </v:shape>
            <w10:wrap type="none"/>
          </v:group>
        </w:pict>
      </w:r>
      <w:r>
        <w:rPr>
          <w:sz w:val="18"/>
        </w:rPr>
        <w:t>Independent</w:t>
      </w:r>
      <w:r>
        <w:rPr>
          <w:spacing w:val="69"/>
          <w:sz w:val="18"/>
        </w:rPr>
        <w:t> </w:t>
      </w:r>
      <w:r>
        <w:rPr>
          <w:sz w:val="18"/>
        </w:rPr>
        <w:t>Compensation</w:t>
      </w:r>
      <w:r>
        <w:rPr>
          <w:spacing w:val="69"/>
          <w:sz w:val="18"/>
        </w:rPr>
        <w:t> </w:t>
      </w:r>
      <w:r>
        <w:rPr>
          <w:spacing w:val="-2"/>
          <w:sz w:val="18"/>
        </w:rPr>
        <w:t>Committee</w:t>
      </w:r>
      <w:r>
        <w:rPr>
          <w:sz w:val="18"/>
        </w:rPr>
        <w:tab/>
      </w:r>
      <w:r>
        <w:rPr>
          <w:spacing w:val="-10"/>
          <w:sz w:val="18"/>
        </w:rPr>
        <w:t>×</w:t>
      </w:r>
    </w:p>
    <w:p>
      <w:pPr>
        <w:pStyle w:val="ListParagraph"/>
        <w:numPr>
          <w:ilvl w:val="1"/>
          <w:numId w:val="26"/>
        </w:numPr>
        <w:tabs>
          <w:tab w:pos="1772" w:val="left" w:leader="none"/>
          <w:tab w:pos="1773" w:val="left" w:leader="none"/>
          <w:tab w:pos="5746" w:val="left" w:leader="none"/>
        </w:tabs>
        <w:spacing w:line="240" w:lineRule="auto" w:before="96" w:after="0"/>
        <w:ind w:left="1772" w:right="0" w:hanging="373"/>
        <w:jc w:val="left"/>
        <w:rPr>
          <w:sz w:val="18"/>
        </w:rPr>
      </w:pPr>
      <w:r>
        <w:rPr>
          <w:sz w:val="18"/>
        </w:rPr>
        <w:t>Independent</w:t>
      </w:r>
      <w:r>
        <w:rPr>
          <w:spacing w:val="68"/>
          <w:sz w:val="18"/>
        </w:rPr>
        <w:t> </w:t>
      </w:r>
      <w:r>
        <w:rPr>
          <w:sz w:val="18"/>
        </w:rPr>
        <w:t>compensation</w:t>
      </w:r>
      <w:r>
        <w:rPr>
          <w:spacing w:val="69"/>
          <w:sz w:val="18"/>
        </w:rPr>
        <w:t> </w:t>
      </w:r>
      <w:r>
        <w:rPr>
          <w:spacing w:val="-2"/>
          <w:sz w:val="18"/>
        </w:rPr>
        <w:t>advisor</w:t>
      </w:r>
      <w:r>
        <w:rPr>
          <w:sz w:val="18"/>
        </w:rPr>
        <w:tab/>
      </w:r>
      <w:r>
        <w:rPr>
          <w:spacing w:val="-10"/>
          <w:sz w:val="18"/>
        </w:rPr>
        <w:t>×</w:t>
      </w:r>
    </w:p>
    <w:p>
      <w:pPr>
        <w:pStyle w:val="ListParagraph"/>
        <w:numPr>
          <w:ilvl w:val="1"/>
          <w:numId w:val="26"/>
        </w:numPr>
        <w:tabs>
          <w:tab w:pos="1772" w:val="left" w:leader="none"/>
          <w:tab w:pos="1773" w:val="left" w:leader="none"/>
          <w:tab w:pos="5746" w:val="left" w:leader="none"/>
        </w:tabs>
        <w:spacing w:line="240" w:lineRule="auto" w:before="96" w:after="0"/>
        <w:ind w:left="1772" w:right="0" w:hanging="373"/>
        <w:jc w:val="left"/>
        <w:rPr>
          <w:sz w:val="18"/>
        </w:rPr>
      </w:pPr>
      <w:r>
        <w:rPr>
          <w:w w:val="105"/>
          <w:sz w:val="18"/>
        </w:rPr>
        <w:t>NEOs</w:t>
      </w:r>
      <w:r>
        <w:rPr>
          <w:spacing w:val="9"/>
          <w:w w:val="105"/>
          <w:sz w:val="18"/>
        </w:rPr>
        <w:t> </w:t>
      </w:r>
      <w:r>
        <w:rPr>
          <w:w w:val="105"/>
          <w:sz w:val="18"/>
        </w:rPr>
        <w:t>employed</w:t>
      </w:r>
      <w:r>
        <w:rPr>
          <w:spacing w:val="10"/>
          <w:w w:val="105"/>
          <w:sz w:val="18"/>
        </w:rPr>
        <w:t> </w:t>
      </w:r>
      <w:r>
        <w:rPr>
          <w:w w:val="105"/>
          <w:sz w:val="18"/>
        </w:rPr>
        <w:t>“at</w:t>
      </w:r>
      <w:r>
        <w:rPr>
          <w:spacing w:val="10"/>
          <w:w w:val="105"/>
          <w:sz w:val="18"/>
        </w:rPr>
        <w:t> </w:t>
      </w:r>
      <w:r>
        <w:rPr>
          <w:spacing w:val="-4"/>
          <w:w w:val="105"/>
          <w:sz w:val="18"/>
        </w:rPr>
        <w:t>will”</w:t>
      </w:r>
      <w:r>
        <w:rPr>
          <w:sz w:val="18"/>
        </w:rPr>
        <w:tab/>
      </w:r>
      <w:r>
        <w:rPr>
          <w:spacing w:val="-12"/>
          <w:w w:val="105"/>
          <w:sz w:val="18"/>
        </w:rPr>
        <w:t>×</w:t>
      </w:r>
    </w:p>
    <w:p>
      <w:pPr>
        <w:pStyle w:val="ListParagraph"/>
        <w:numPr>
          <w:ilvl w:val="1"/>
          <w:numId w:val="26"/>
        </w:numPr>
        <w:tabs>
          <w:tab w:pos="1772" w:val="left" w:leader="none"/>
          <w:tab w:pos="1773" w:val="left" w:leader="none"/>
          <w:tab w:pos="5746" w:val="left" w:leader="none"/>
        </w:tabs>
        <w:spacing w:line="249" w:lineRule="auto" w:before="110" w:after="0"/>
        <w:ind w:left="1772" w:right="0" w:hanging="373"/>
        <w:jc w:val="left"/>
        <w:rPr>
          <w:sz w:val="18"/>
        </w:rPr>
      </w:pPr>
      <w:r>
        <w:rPr>
          <w:w w:val="105"/>
          <w:sz w:val="18"/>
        </w:rPr>
        <w:t>Robust CEO &amp; NEO stock ownership</w:t>
      </w:r>
      <w:r>
        <w:rPr>
          <w:sz w:val="18"/>
        </w:rPr>
        <w:tab/>
      </w:r>
      <w:r>
        <w:rPr>
          <w:spacing w:val="-12"/>
          <w:w w:val="105"/>
          <w:sz w:val="18"/>
        </w:rPr>
        <w:t>×</w:t>
      </w:r>
      <w:r>
        <w:rPr>
          <w:spacing w:val="-2"/>
          <w:w w:val="105"/>
          <w:sz w:val="18"/>
        </w:rPr>
        <w:t> guidelines</w:t>
      </w:r>
    </w:p>
    <w:p>
      <w:pPr>
        <w:pStyle w:val="ListParagraph"/>
        <w:numPr>
          <w:ilvl w:val="1"/>
          <w:numId w:val="26"/>
        </w:numPr>
        <w:tabs>
          <w:tab w:pos="1772" w:val="left" w:leader="none"/>
          <w:tab w:pos="1773" w:val="left" w:leader="none"/>
          <w:tab w:pos="5746" w:val="left" w:leader="none"/>
        </w:tabs>
        <w:spacing w:line="249" w:lineRule="auto" w:before="123" w:after="0"/>
        <w:ind w:left="1772" w:right="0" w:hanging="373"/>
        <w:jc w:val="left"/>
        <w:rPr>
          <w:sz w:val="18"/>
        </w:rPr>
      </w:pPr>
      <w:r>
        <w:rPr>
          <w:w w:val="105"/>
          <w:sz w:val="18"/>
        </w:rPr>
        <w:t>Clawback policy that applies to our annual cash</w:t>
      </w:r>
      <w:r>
        <w:rPr>
          <w:sz w:val="18"/>
        </w:rPr>
        <w:tab/>
      </w:r>
      <w:r>
        <w:rPr>
          <w:spacing w:val="-12"/>
          <w:w w:val="105"/>
          <w:position w:val="1"/>
          <w:sz w:val="18"/>
        </w:rPr>
        <w:t>×</w:t>
      </w:r>
      <w:r>
        <w:rPr>
          <w:w w:val="105"/>
          <w:position w:val="1"/>
          <w:sz w:val="18"/>
        </w:rPr>
        <w:t> </w:t>
      </w:r>
      <w:r>
        <w:rPr>
          <w:w w:val="105"/>
          <w:sz w:val="18"/>
        </w:rPr>
        <w:t>incentive</w:t>
      </w:r>
      <w:r>
        <w:rPr>
          <w:spacing w:val="13"/>
          <w:w w:val="105"/>
          <w:sz w:val="18"/>
        </w:rPr>
        <w:t> </w:t>
      </w:r>
      <w:r>
        <w:rPr>
          <w:w w:val="105"/>
          <w:sz w:val="18"/>
        </w:rPr>
        <w:t>plan</w:t>
      </w:r>
      <w:r>
        <w:rPr>
          <w:spacing w:val="12"/>
          <w:w w:val="105"/>
          <w:sz w:val="18"/>
        </w:rPr>
        <w:t> </w:t>
      </w:r>
      <w:r>
        <w:rPr>
          <w:w w:val="105"/>
          <w:sz w:val="18"/>
        </w:rPr>
        <w:t>and</w:t>
      </w:r>
      <w:r>
        <w:rPr>
          <w:spacing w:val="13"/>
          <w:w w:val="105"/>
          <w:sz w:val="18"/>
        </w:rPr>
        <w:t> </w:t>
      </w:r>
      <w:r>
        <w:rPr>
          <w:w w:val="105"/>
          <w:sz w:val="18"/>
        </w:rPr>
        <w:t>equity</w:t>
      </w:r>
      <w:r>
        <w:rPr>
          <w:spacing w:val="13"/>
          <w:w w:val="105"/>
          <w:sz w:val="18"/>
        </w:rPr>
        <w:t> </w:t>
      </w:r>
      <w:r>
        <w:rPr>
          <w:w w:val="105"/>
          <w:sz w:val="18"/>
        </w:rPr>
        <w:t>incentive</w:t>
      </w:r>
      <w:r>
        <w:rPr>
          <w:spacing w:val="13"/>
          <w:w w:val="105"/>
          <w:sz w:val="18"/>
        </w:rPr>
        <w:t> </w:t>
      </w:r>
      <w:r>
        <w:rPr>
          <w:spacing w:val="-4"/>
          <w:w w:val="105"/>
          <w:sz w:val="18"/>
        </w:rPr>
        <w:t>plan</w:t>
      </w:r>
      <w:r>
        <w:rPr>
          <w:sz w:val="18"/>
        </w:rPr>
        <w:tab/>
      </w:r>
      <w:r>
        <w:rPr>
          <w:spacing w:val="-12"/>
          <w:w w:val="105"/>
          <w:position w:val="-9"/>
          <w:sz w:val="18"/>
        </w:rPr>
        <w:t>×</w:t>
      </w:r>
    </w:p>
    <w:p>
      <w:pPr>
        <w:pStyle w:val="ListParagraph"/>
        <w:numPr>
          <w:ilvl w:val="1"/>
          <w:numId w:val="26"/>
        </w:numPr>
        <w:tabs>
          <w:tab w:pos="1772" w:val="left" w:leader="none"/>
          <w:tab w:pos="1773" w:val="left" w:leader="none"/>
          <w:tab w:pos="5746" w:val="left" w:leader="none"/>
        </w:tabs>
        <w:spacing w:line="194" w:lineRule="auto" w:before="61" w:after="0"/>
        <w:ind w:left="1772" w:right="0" w:hanging="373"/>
        <w:jc w:val="left"/>
        <w:rPr>
          <w:sz w:val="18"/>
        </w:rPr>
      </w:pPr>
      <w:r>
        <w:rPr>
          <w:w w:val="105"/>
          <w:sz w:val="18"/>
        </w:rPr>
        <w:t>Require NEOs to sell Company stock in the</w:t>
      </w:r>
      <w:r>
        <w:rPr>
          <w:sz w:val="18"/>
        </w:rPr>
        <w:tab/>
      </w:r>
      <w:r>
        <w:rPr>
          <w:spacing w:val="-12"/>
          <w:w w:val="105"/>
          <w:position w:val="-6"/>
          <w:sz w:val="18"/>
        </w:rPr>
        <w:t>×</w:t>
      </w:r>
      <w:r>
        <w:rPr>
          <w:w w:val="105"/>
          <w:position w:val="-6"/>
          <w:sz w:val="18"/>
        </w:rPr>
        <w:t> </w:t>
      </w:r>
      <w:r>
        <w:rPr>
          <w:w w:val="105"/>
          <w:sz w:val="18"/>
        </w:rPr>
        <w:t>public market through a 10b5-1 trading plan</w:t>
      </w:r>
    </w:p>
    <w:p>
      <w:pPr>
        <w:pStyle w:val="BodyText"/>
        <w:spacing w:line="388" w:lineRule="auto" w:before="33"/>
        <w:ind w:left="227" w:right="1846"/>
      </w:pPr>
      <w:r>
        <w:rPr/>
        <w:br w:type="column"/>
      </w:r>
      <w:r>
        <w:rPr>
          <w:w w:val="105"/>
        </w:rPr>
        <w:t>Routinely target pay above market median Provide golden parachute tax gross ups NEO employment contracts</w:t>
      </w:r>
    </w:p>
    <w:p>
      <w:pPr>
        <w:pStyle w:val="BodyText"/>
        <w:spacing w:line="259" w:lineRule="auto" w:before="14"/>
        <w:ind w:left="227" w:right="1506"/>
      </w:pPr>
      <w:r>
        <w:rPr>
          <w:w w:val="105"/>
        </w:rPr>
        <w:t>Permit directors and NEOs to engage in</w:t>
      </w:r>
      <w:r>
        <w:rPr>
          <w:spacing w:val="40"/>
          <w:w w:val="105"/>
        </w:rPr>
        <w:t> </w:t>
      </w:r>
      <w:r>
        <w:rPr>
          <w:w w:val="105"/>
        </w:rPr>
        <w:t>common stock margining, pledging, or hedging</w:t>
      </w:r>
    </w:p>
    <w:p>
      <w:pPr>
        <w:pStyle w:val="BodyText"/>
        <w:spacing w:line="388" w:lineRule="auto" w:before="126"/>
        <w:ind w:left="227" w:right="1952"/>
      </w:pPr>
      <w:r>
        <w:rPr>
          <w:w w:val="105"/>
        </w:rPr>
        <w:t>Provide excessive NEO perquisites Reprice and repurchase options</w:t>
      </w:r>
    </w:p>
    <w:p>
      <w:pPr>
        <w:pStyle w:val="BodyText"/>
        <w:spacing w:line="259" w:lineRule="auto" w:before="15"/>
        <w:ind w:left="227" w:right="1846"/>
      </w:pPr>
      <w:r>
        <w:rPr>
          <w:w w:val="105"/>
        </w:rPr>
        <w:t>Egregious pension/supplemental NEO retirement plan payouts</w:t>
      </w:r>
    </w:p>
    <w:p>
      <w:pPr>
        <w:spacing w:after="0" w:line="259" w:lineRule="auto"/>
        <w:sectPr>
          <w:type w:val="continuous"/>
          <w:pgSz w:w="12240" w:h="15840"/>
          <w:pgMar w:header="529" w:footer="1302" w:top="600" w:bottom="960" w:left="480" w:right="460"/>
          <w:cols w:num="2" w:equalWidth="0">
            <w:col w:w="5852" w:space="40"/>
            <w:col w:w="5408"/>
          </w:cols>
        </w:sectPr>
      </w:pPr>
    </w:p>
    <w:p>
      <w:pPr>
        <w:pStyle w:val="BodyText"/>
        <w:rPr>
          <w:sz w:val="20"/>
        </w:rPr>
      </w:pPr>
    </w:p>
    <w:p>
      <w:pPr>
        <w:pStyle w:val="BodyText"/>
        <w:rPr>
          <w:sz w:val="20"/>
        </w:rPr>
      </w:pPr>
    </w:p>
    <w:p>
      <w:pPr>
        <w:pStyle w:val="BodyText"/>
        <w:spacing w:before="3"/>
        <w:rPr>
          <w:sz w:val="25"/>
        </w:rPr>
      </w:pPr>
    </w:p>
    <w:p>
      <w:pPr>
        <w:tabs>
          <w:tab w:pos="4321" w:val="left" w:leader="none"/>
        </w:tabs>
        <w:spacing w:before="92"/>
        <w:ind w:left="183" w:right="0" w:firstLine="0"/>
        <w:jc w:val="center"/>
        <w:rPr>
          <w:b/>
          <w:sz w:val="15"/>
        </w:rPr>
      </w:pPr>
      <w:r>
        <w:rPr>
          <w:b/>
          <w:spacing w:val="-4"/>
          <w:sz w:val="15"/>
        </w:rPr>
        <w:t>What we </w:t>
      </w:r>
      <w:r>
        <w:rPr>
          <w:b/>
          <w:spacing w:val="-5"/>
          <w:sz w:val="15"/>
        </w:rPr>
        <w:t>do</w:t>
      </w:r>
      <w:r>
        <w:rPr>
          <w:b/>
          <w:sz w:val="15"/>
        </w:rPr>
        <w:tab/>
      </w:r>
      <w:r>
        <w:rPr>
          <w:b/>
          <w:spacing w:val="-4"/>
          <w:sz w:val="15"/>
        </w:rPr>
        <w:t>What</w:t>
      </w:r>
      <w:r>
        <w:rPr>
          <w:b/>
          <w:spacing w:val="-6"/>
          <w:sz w:val="15"/>
        </w:rPr>
        <w:t> </w:t>
      </w:r>
      <w:r>
        <w:rPr>
          <w:b/>
          <w:spacing w:val="-4"/>
          <w:sz w:val="15"/>
        </w:rPr>
        <w:t>we</w:t>
      </w:r>
      <w:r>
        <w:rPr>
          <w:b/>
          <w:spacing w:val="-3"/>
          <w:sz w:val="15"/>
        </w:rPr>
        <w:t> </w:t>
      </w:r>
      <w:r>
        <w:rPr>
          <w:b/>
          <w:spacing w:val="-4"/>
          <w:sz w:val="15"/>
        </w:rPr>
        <w:t>do not</w:t>
      </w:r>
      <w:r>
        <w:rPr>
          <w:b/>
          <w:spacing w:val="-3"/>
          <w:sz w:val="15"/>
        </w:rPr>
        <w:t> </w:t>
      </w:r>
      <w:r>
        <w:rPr>
          <w:b/>
          <w:spacing w:val="-5"/>
          <w:sz w:val="15"/>
        </w:rPr>
        <w:t>do</w:t>
      </w:r>
    </w:p>
    <w:p>
      <w:pPr>
        <w:spacing w:after="0"/>
        <w:jc w:val="center"/>
        <w:rPr>
          <w:sz w:val="15"/>
        </w:rPr>
        <w:sectPr>
          <w:headerReference w:type="default" r:id="rId122"/>
          <w:footerReference w:type="default" r:id="rId123"/>
          <w:pgSz w:w="12240" w:h="15840"/>
          <w:pgMar w:header="529" w:footer="1833" w:top="720" w:bottom="2020" w:left="480" w:right="460"/>
        </w:sectPr>
      </w:pPr>
    </w:p>
    <w:p>
      <w:pPr>
        <w:pStyle w:val="ListParagraph"/>
        <w:numPr>
          <w:ilvl w:val="1"/>
          <w:numId w:val="26"/>
        </w:numPr>
        <w:tabs>
          <w:tab w:pos="1699" w:val="left" w:leader="none"/>
        </w:tabs>
        <w:spacing w:line="249" w:lineRule="auto" w:before="25" w:after="0"/>
        <w:ind w:left="1698" w:right="717" w:hanging="299"/>
        <w:jc w:val="left"/>
        <w:rPr>
          <w:sz w:val="18"/>
        </w:rPr>
      </w:pPr>
      <w:r>
        <w:rPr/>
        <w:pict>
          <v:rect style="position:absolute;margin-left:94.006287pt;margin-top:1.175136pt;width:206.20275pt;height:.698992pt;mso-position-horizontal-relative:page;mso-position-vertical-relative:paragraph;z-index:15769600" id="docshape287" filled="true" fillcolor="#000000" stroked="false">
            <v:fill type="solid"/>
            <w10:wrap type="none"/>
          </v:rect>
        </w:pict>
      </w:r>
      <w:r>
        <w:rPr>
          <w:w w:val="105"/>
          <w:sz w:val="18"/>
        </w:rPr>
        <w:t>Annual compensation review and risk </w:t>
      </w:r>
      <w:r>
        <w:rPr>
          <w:spacing w:val="-2"/>
          <w:w w:val="105"/>
          <w:sz w:val="18"/>
        </w:rPr>
        <w:t>assessment</w:t>
      </w:r>
    </w:p>
    <w:p>
      <w:pPr>
        <w:pStyle w:val="ListParagraph"/>
        <w:numPr>
          <w:ilvl w:val="1"/>
          <w:numId w:val="26"/>
        </w:numPr>
        <w:tabs>
          <w:tab w:pos="1699" w:val="left" w:leader="none"/>
        </w:tabs>
        <w:spacing w:line="240" w:lineRule="auto" w:before="123" w:after="0"/>
        <w:ind w:left="1698" w:right="0" w:hanging="299"/>
        <w:jc w:val="left"/>
        <w:rPr>
          <w:sz w:val="18"/>
        </w:rPr>
      </w:pPr>
      <w:r>
        <w:rPr>
          <w:w w:val="105"/>
          <w:sz w:val="18"/>
        </w:rPr>
        <w:t>Annual</w:t>
      </w:r>
      <w:r>
        <w:rPr>
          <w:spacing w:val="16"/>
          <w:w w:val="105"/>
          <w:sz w:val="18"/>
        </w:rPr>
        <w:t> </w:t>
      </w:r>
      <w:r>
        <w:rPr>
          <w:w w:val="105"/>
          <w:sz w:val="18"/>
        </w:rPr>
        <w:t>stockholder</w:t>
      </w:r>
      <w:r>
        <w:rPr>
          <w:spacing w:val="17"/>
          <w:w w:val="105"/>
          <w:sz w:val="18"/>
        </w:rPr>
        <w:t> </w:t>
      </w:r>
      <w:r>
        <w:rPr>
          <w:w w:val="105"/>
          <w:sz w:val="18"/>
        </w:rPr>
        <w:t>“Say-on-Pay”</w:t>
      </w:r>
      <w:r>
        <w:rPr>
          <w:spacing w:val="17"/>
          <w:w w:val="105"/>
          <w:sz w:val="18"/>
        </w:rPr>
        <w:t> </w:t>
      </w:r>
      <w:r>
        <w:rPr>
          <w:spacing w:val="-4"/>
          <w:w w:val="105"/>
          <w:sz w:val="18"/>
        </w:rPr>
        <w:t>vote</w:t>
      </w:r>
    </w:p>
    <w:p>
      <w:pPr>
        <w:pStyle w:val="ListParagraph"/>
        <w:numPr>
          <w:ilvl w:val="1"/>
          <w:numId w:val="26"/>
        </w:numPr>
        <w:tabs>
          <w:tab w:pos="1699" w:val="left" w:leader="none"/>
        </w:tabs>
        <w:spacing w:line="249" w:lineRule="auto" w:before="96" w:after="0"/>
        <w:ind w:left="1698" w:right="0" w:hanging="299"/>
        <w:jc w:val="left"/>
        <w:rPr>
          <w:sz w:val="18"/>
        </w:rPr>
      </w:pPr>
      <w:r>
        <w:rPr>
          <w:w w:val="105"/>
          <w:sz w:val="18"/>
        </w:rPr>
        <w:t>Award 50% of LTI value in performance-based option awards</w:t>
      </w:r>
    </w:p>
    <w:p>
      <w:pPr>
        <w:pStyle w:val="ListParagraph"/>
        <w:numPr>
          <w:ilvl w:val="1"/>
          <w:numId w:val="26"/>
        </w:numPr>
        <w:tabs>
          <w:tab w:pos="1699" w:val="left" w:leader="none"/>
        </w:tabs>
        <w:spacing w:line="249" w:lineRule="auto" w:before="137" w:after="0"/>
        <w:ind w:left="1698" w:right="385" w:hanging="299"/>
        <w:jc w:val="left"/>
        <w:rPr>
          <w:sz w:val="18"/>
        </w:rPr>
      </w:pPr>
      <w:r>
        <w:rPr>
          <w:w w:val="105"/>
          <w:sz w:val="18"/>
        </w:rPr>
        <w:t>Place caps on maximum payouts from our annual cash incentive plan</w:t>
      </w:r>
    </w:p>
    <w:p>
      <w:pPr>
        <w:pStyle w:val="ListParagraph"/>
        <w:numPr>
          <w:ilvl w:val="1"/>
          <w:numId w:val="26"/>
        </w:numPr>
        <w:tabs>
          <w:tab w:pos="1699" w:val="left" w:leader="none"/>
        </w:tabs>
        <w:spacing w:line="240" w:lineRule="auto" w:before="123" w:after="0"/>
        <w:ind w:left="1698" w:right="0" w:hanging="299"/>
        <w:jc w:val="left"/>
        <w:rPr>
          <w:sz w:val="18"/>
        </w:rPr>
      </w:pPr>
      <w:r>
        <w:rPr>
          <w:w w:val="105"/>
          <w:sz w:val="18"/>
        </w:rPr>
        <w:t>Annual</w:t>
      </w:r>
      <w:r>
        <w:rPr>
          <w:spacing w:val="12"/>
          <w:w w:val="105"/>
          <w:sz w:val="18"/>
        </w:rPr>
        <w:t> </w:t>
      </w:r>
      <w:r>
        <w:rPr>
          <w:w w:val="105"/>
          <w:sz w:val="18"/>
        </w:rPr>
        <w:t>review</w:t>
      </w:r>
      <w:r>
        <w:rPr>
          <w:spacing w:val="12"/>
          <w:w w:val="105"/>
          <w:sz w:val="18"/>
        </w:rPr>
        <w:t> </w:t>
      </w:r>
      <w:r>
        <w:rPr>
          <w:w w:val="105"/>
          <w:sz w:val="18"/>
        </w:rPr>
        <w:t>of</w:t>
      </w:r>
      <w:r>
        <w:rPr>
          <w:spacing w:val="12"/>
          <w:w w:val="105"/>
          <w:sz w:val="18"/>
        </w:rPr>
        <w:t> </w:t>
      </w:r>
      <w:r>
        <w:rPr>
          <w:w w:val="105"/>
          <w:sz w:val="18"/>
        </w:rPr>
        <w:t>succession</w:t>
      </w:r>
      <w:r>
        <w:rPr>
          <w:spacing w:val="12"/>
          <w:w w:val="105"/>
          <w:sz w:val="18"/>
        </w:rPr>
        <w:t> </w:t>
      </w:r>
      <w:r>
        <w:rPr>
          <w:spacing w:val="-4"/>
          <w:w w:val="105"/>
          <w:sz w:val="18"/>
        </w:rPr>
        <w:t>plan</w:t>
      </w:r>
    </w:p>
    <w:p>
      <w:pPr>
        <w:spacing w:line="240" w:lineRule="auto" w:before="1"/>
        <w:rPr>
          <w:sz w:val="2"/>
        </w:rPr>
      </w:pPr>
      <w:r>
        <w:rPr/>
        <w:br w:type="column"/>
      </w:r>
      <w:r>
        <w:rPr>
          <w:sz w:val="2"/>
        </w:rPr>
      </w:r>
    </w:p>
    <w:p>
      <w:pPr>
        <w:pStyle w:val="BodyText"/>
        <w:spacing w:line="20" w:lineRule="exact"/>
        <w:ind w:left="337"/>
        <w:rPr>
          <w:sz w:val="2"/>
        </w:rPr>
      </w:pPr>
      <w:r>
        <w:rPr>
          <w:sz w:val="2"/>
        </w:rPr>
        <w:pict>
          <v:group style="width:206.25pt;height:.7pt;mso-position-horizontal-relative:char;mso-position-vertical-relative:line" id="docshapegroup288" coordorigin="0,0" coordsize="4125,14">
            <v:rect style="position:absolute;left:0;top:0;width:4125;height:14" id="docshape289" filled="true" fillcolor="#000000" stroked="false">
              <v:fill type="solid"/>
            </v:rect>
          </v:group>
        </w:pict>
      </w:r>
      <w:r>
        <w:rPr>
          <w:sz w:val="2"/>
        </w:rPr>
      </w:r>
    </w:p>
    <w:p>
      <w:pPr>
        <w:pStyle w:val="BodyText"/>
        <w:spacing w:line="259" w:lineRule="auto" w:before="8"/>
        <w:ind w:left="634" w:right="1494" w:hanging="299"/>
      </w:pPr>
      <w:r>
        <w:rPr>
          <w:w w:val="105"/>
        </w:rPr>
        <w:t>×</w:t>
      </w:r>
      <w:r>
        <w:rPr>
          <w:spacing w:val="80"/>
          <w:w w:val="150"/>
        </w:rPr>
        <w:t> </w:t>
      </w:r>
      <w:r>
        <w:rPr>
          <w:w w:val="105"/>
        </w:rPr>
        <w:t>Provide for a liberal change in control definition</w:t>
      </w:r>
      <w:r>
        <w:rPr>
          <w:spacing w:val="40"/>
          <w:w w:val="105"/>
        </w:rPr>
        <w:t> </w:t>
      </w:r>
      <w:r>
        <w:rPr>
          <w:w w:val="105"/>
        </w:rPr>
        <w:t>in individual contracts or equity plans which could result in payments to NEOs without an actual change in control occurring</w:t>
      </w:r>
    </w:p>
    <w:p>
      <w:pPr>
        <w:pStyle w:val="BodyText"/>
        <w:spacing w:line="259" w:lineRule="auto" w:before="154"/>
        <w:ind w:left="634" w:right="1192" w:hanging="299"/>
      </w:pPr>
      <w:r>
        <w:rPr>
          <w:w w:val="105"/>
        </w:rPr>
        <w:t>×</w:t>
      </w:r>
      <w:r>
        <w:rPr>
          <w:spacing w:val="80"/>
          <w:w w:val="105"/>
        </w:rPr>
        <w:t> </w:t>
      </w:r>
      <w:r>
        <w:rPr>
          <w:w w:val="105"/>
        </w:rPr>
        <w:t>Change in control severance payments without involuntary job loss or substantial diminution of </w:t>
      </w:r>
      <w:r>
        <w:rPr>
          <w:spacing w:val="-2"/>
          <w:w w:val="105"/>
        </w:rPr>
        <w:t>duties</w:t>
      </w:r>
    </w:p>
    <w:p>
      <w:pPr>
        <w:pStyle w:val="BodyText"/>
        <w:spacing w:line="259" w:lineRule="auto" w:before="140"/>
        <w:ind w:left="634" w:right="1599" w:hanging="299"/>
      </w:pPr>
      <w:r>
        <w:rPr>
          <w:w w:val="105"/>
        </w:rPr>
        <w:t>×</w:t>
      </w:r>
      <w:r>
        <w:rPr>
          <w:spacing w:val="80"/>
          <w:w w:val="150"/>
        </w:rPr>
        <w:t> </w:t>
      </w:r>
      <w:r>
        <w:rPr>
          <w:w w:val="105"/>
        </w:rPr>
        <w:t>Excessive severance/change in control</w:t>
      </w:r>
      <w:r>
        <w:rPr>
          <w:spacing w:val="80"/>
          <w:w w:val="105"/>
        </w:rPr>
        <w:t> </w:t>
      </w:r>
      <w:r>
        <w:rPr>
          <w:w w:val="105"/>
        </w:rPr>
        <w:t>provisions that provide cash payments</w:t>
      </w:r>
      <w:r>
        <w:rPr>
          <w:spacing w:val="80"/>
          <w:w w:val="105"/>
        </w:rPr>
        <w:t> </w:t>
      </w:r>
      <w:r>
        <w:rPr>
          <w:w w:val="105"/>
        </w:rPr>
        <w:t>exceeding two and a half times base salary plus target/average/most recent bonus</w:t>
      </w:r>
    </w:p>
    <w:p>
      <w:pPr>
        <w:spacing w:after="0" w:line="259" w:lineRule="auto"/>
        <w:sectPr>
          <w:type w:val="continuous"/>
          <w:pgSz w:w="12240" w:h="15840"/>
          <w:pgMar w:header="529" w:footer="1833" w:top="600" w:bottom="960" w:left="480" w:right="460"/>
          <w:cols w:num="2" w:equalWidth="0">
            <w:col w:w="5371" w:space="40"/>
            <w:col w:w="5889"/>
          </w:cols>
        </w:sectPr>
      </w:pPr>
    </w:p>
    <w:p>
      <w:pPr>
        <w:pStyle w:val="BodyText"/>
        <w:spacing w:before="6"/>
        <w:rPr>
          <w:sz w:val="25"/>
        </w:rPr>
      </w:pPr>
      <w:r>
        <w:rPr/>
        <w:pict>
          <v:group style="position:absolute;margin-left:28.999998pt;margin-top:721.699768pt;width:555pt;height:1.4pt;mso-position-horizontal-relative:page;mso-position-vertical-relative:page;z-index:15770112" id="docshapegroup290" coordorigin="580,14434" coordsize="11100,28">
            <v:rect style="position:absolute;left:580;top:14434;width:11100;height:14" id="docshape291" filled="true" fillcolor="#999999" stroked="false">
              <v:fill type="solid"/>
            </v:rect>
            <v:shape style="position:absolute;left:579;top:14434;width:11100;height:28" id="docshape292" coordorigin="580,14434" coordsize="11100,28" path="m11680,14434l11666,14448,580,14448,580,14462,11666,14462,11680,14462,11680,14448,11680,14434xe" filled="true" fillcolor="#ededed" stroked="false">
              <v:path arrowok="t"/>
              <v:fill type="solid"/>
            </v:shape>
            <v:shape style="position:absolute;left:580;top:14434;width:14;height:28" id="docshape293" coordorigin="580,14434" coordsize="14,28" path="m580,14462l580,14434,594,14434,594,14448,580,14462xe" filled="true" fillcolor="#999999" stroked="false">
              <v:path arrowok="t"/>
              <v:fill type="solid"/>
            </v:shape>
            <w10:wrap type="none"/>
          </v:group>
        </w:pict>
      </w:r>
    </w:p>
    <w:p>
      <w:pPr>
        <w:pStyle w:val="Heading2"/>
        <w:spacing w:before="99"/>
      </w:pPr>
      <w:bookmarkStart w:name="_TOC_250013" w:id="30"/>
      <w:r>
        <w:rPr/>
        <w:t>How</w:t>
      </w:r>
      <w:r>
        <w:rPr>
          <w:spacing w:val="-12"/>
        </w:rPr>
        <w:t> </w:t>
      </w:r>
      <w:r>
        <w:rPr/>
        <w:t>We</w:t>
      </w:r>
      <w:r>
        <w:rPr>
          <w:spacing w:val="-11"/>
        </w:rPr>
        <w:t> </w:t>
      </w:r>
      <w:r>
        <w:rPr/>
        <w:t>Make</w:t>
      </w:r>
      <w:r>
        <w:rPr>
          <w:spacing w:val="-10"/>
        </w:rPr>
        <w:t> </w:t>
      </w:r>
      <w:r>
        <w:rPr/>
        <w:t>Compensation</w:t>
      </w:r>
      <w:r>
        <w:rPr>
          <w:spacing w:val="-9"/>
        </w:rPr>
        <w:t> </w:t>
      </w:r>
      <w:bookmarkEnd w:id="30"/>
      <w:r>
        <w:rPr>
          <w:spacing w:val="-2"/>
        </w:rPr>
        <w:t>Decisions</w:t>
      </w:r>
    </w:p>
    <w:p>
      <w:pPr>
        <w:spacing w:line="259" w:lineRule="auto" w:before="170"/>
        <w:ind w:left="1400" w:right="1470" w:firstLine="372"/>
        <w:jc w:val="left"/>
        <w:rPr>
          <w:sz w:val="18"/>
        </w:rPr>
      </w:pPr>
      <w:r>
        <w:rPr>
          <w:b/>
          <w:spacing w:val="-2"/>
          <w:w w:val="105"/>
          <w:sz w:val="18"/>
        </w:rPr>
        <w:t>Role</w:t>
      </w:r>
      <w:r>
        <w:rPr>
          <w:b/>
          <w:spacing w:val="-10"/>
          <w:w w:val="105"/>
          <w:sz w:val="18"/>
        </w:rPr>
        <w:t> </w:t>
      </w:r>
      <w:r>
        <w:rPr>
          <w:b/>
          <w:spacing w:val="-2"/>
          <w:w w:val="105"/>
          <w:sz w:val="18"/>
        </w:rPr>
        <w:t>of</w:t>
      </w:r>
      <w:r>
        <w:rPr>
          <w:b/>
          <w:spacing w:val="-10"/>
          <w:w w:val="105"/>
          <w:sz w:val="18"/>
        </w:rPr>
        <w:t> </w:t>
      </w:r>
      <w:r>
        <w:rPr>
          <w:b/>
          <w:spacing w:val="-2"/>
          <w:w w:val="105"/>
          <w:sz w:val="18"/>
        </w:rPr>
        <w:t>the</w:t>
      </w:r>
      <w:r>
        <w:rPr>
          <w:b/>
          <w:spacing w:val="-10"/>
          <w:w w:val="105"/>
          <w:sz w:val="18"/>
        </w:rPr>
        <w:t> </w:t>
      </w:r>
      <w:r>
        <w:rPr>
          <w:b/>
          <w:spacing w:val="-2"/>
          <w:w w:val="105"/>
          <w:sz w:val="18"/>
        </w:rPr>
        <w:t>Compensation</w:t>
      </w:r>
      <w:r>
        <w:rPr>
          <w:b/>
          <w:spacing w:val="-10"/>
          <w:w w:val="105"/>
          <w:sz w:val="18"/>
        </w:rPr>
        <w:t> </w:t>
      </w:r>
      <w:r>
        <w:rPr>
          <w:b/>
          <w:spacing w:val="-2"/>
          <w:w w:val="105"/>
          <w:sz w:val="18"/>
        </w:rPr>
        <w:t>and</w:t>
      </w:r>
      <w:r>
        <w:rPr>
          <w:b/>
          <w:spacing w:val="-10"/>
          <w:w w:val="105"/>
          <w:sz w:val="18"/>
        </w:rPr>
        <w:t> </w:t>
      </w:r>
      <w:r>
        <w:rPr>
          <w:b/>
          <w:spacing w:val="-2"/>
          <w:w w:val="105"/>
          <w:sz w:val="18"/>
        </w:rPr>
        <w:t>Human</w:t>
      </w:r>
      <w:r>
        <w:rPr>
          <w:b/>
          <w:spacing w:val="-9"/>
          <w:w w:val="105"/>
          <w:sz w:val="18"/>
        </w:rPr>
        <w:t> </w:t>
      </w:r>
      <w:r>
        <w:rPr>
          <w:b/>
          <w:spacing w:val="-2"/>
          <w:w w:val="105"/>
          <w:sz w:val="18"/>
        </w:rPr>
        <w:t>Capital</w:t>
      </w:r>
      <w:r>
        <w:rPr>
          <w:b/>
          <w:spacing w:val="-10"/>
          <w:w w:val="105"/>
          <w:sz w:val="18"/>
        </w:rPr>
        <w:t> </w:t>
      </w:r>
      <w:r>
        <w:rPr>
          <w:b/>
          <w:spacing w:val="-2"/>
          <w:w w:val="105"/>
          <w:sz w:val="18"/>
        </w:rPr>
        <w:t>Management</w:t>
      </w:r>
      <w:r>
        <w:rPr>
          <w:b/>
          <w:spacing w:val="-10"/>
          <w:w w:val="105"/>
          <w:sz w:val="18"/>
        </w:rPr>
        <w:t> </w:t>
      </w:r>
      <w:r>
        <w:rPr>
          <w:b/>
          <w:spacing w:val="-2"/>
          <w:w w:val="105"/>
          <w:sz w:val="18"/>
        </w:rPr>
        <w:t>Committee.</w:t>
      </w:r>
      <w:r>
        <w:rPr>
          <w:b/>
          <w:spacing w:val="46"/>
          <w:w w:val="105"/>
          <w:sz w:val="18"/>
        </w:rPr>
        <w:t> </w:t>
      </w:r>
      <w:r>
        <w:rPr>
          <w:spacing w:val="-2"/>
          <w:w w:val="105"/>
          <w:sz w:val="18"/>
        </w:rPr>
        <w:t>The</w:t>
      </w:r>
      <w:r>
        <w:rPr>
          <w:spacing w:val="-3"/>
          <w:w w:val="105"/>
          <w:sz w:val="18"/>
        </w:rPr>
        <w:t> </w:t>
      </w:r>
      <w:r>
        <w:rPr>
          <w:spacing w:val="-2"/>
          <w:w w:val="105"/>
          <w:sz w:val="18"/>
        </w:rPr>
        <w:t>Compensation</w:t>
      </w:r>
      <w:r>
        <w:rPr>
          <w:spacing w:val="-1"/>
          <w:w w:val="105"/>
          <w:sz w:val="18"/>
        </w:rPr>
        <w:t> </w:t>
      </w:r>
      <w:r>
        <w:rPr>
          <w:spacing w:val="-2"/>
          <w:w w:val="105"/>
          <w:sz w:val="18"/>
        </w:rPr>
        <w:t>Committee </w:t>
      </w:r>
      <w:r>
        <w:rPr>
          <w:w w:val="105"/>
          <w:sz w:val="18"/>
        </w:rPr>
        <w:t>oversees the development and administration of our executive compensation programs, including the underlying philosophy and related policies. The Compensation Committee’s responsibilities include:</w:t>
      </w:r>
    </w:p>
    <w:p>
      <w:pPr>
        <w:pStyle w:val="ListParagraph"/>
        <w:numPr>
          <w:ilvl w:val="2"/>
          <w:numId w:val="26"/>
        </w:numPr>
        <w:tabs>
          <w:tab w:pos="1960" w:val="left" w:leader="none"/>
        </w:tabs>
        <w:spacing w:line="259" w:lineRule="auto" w:before="112" w:after="0"/>
        <w:ind w:left="1959" w:right="1410" w:hanging="187"/>
        <w:jc w:val="left"/>
        <w:rPr>
          <w:sz w:val="18"/>
        </w:rPr>
      </w:pPr>
      <w:r>
        <w:rPr>
          <w:w w:val="105"/>
          <w:sz w:val="18"/>
        </w:rPr>
        <w:t>determining the compensation and performance goals for our CEO after meeting with its independent advisors and discussing with the other independent members of the Board,</w:t>
      </w:r>
    </w:p>
    <w:p>
      <w:pPr>
        <w:pStyle w:val="ListParagraph"/>
        <w:numPr>
          <w:ilvl w:val="2"/>
          <w:numId w:val="26"/>
        </w:numPr>
        <w:tabs>
          <w:tab w:pos="1960" w:val="left" w:leader="none"/>
        </w:tabs>
        <w:spacing w:line="259" w:lineRule="auto" w:before="113" w:after="0"/>
        <w:ind w:left="1959" w:right="1961" w:hanging="187"/>
        <w:jc w:val="left"/>
        <w:rPr>
          <w:sz w:val="18"/>
        </w:rPr>
      </w:pPr>
      <w:r>
        <w:rPr>
          <w:w w:val="105"/>
          <w:sz w:val="18"/>
        </w:rPr>
        <w:t>collaborating with the CEO to develop the compensation and performance goals for our other Section 16 Officers (as so designated by us under Rule 16a-1(f) of the Exchange Act) and vice presidents reporting to the CEO,</w:t>
      </w:r>
    </w:p>
    <w:p>
      <w:pPr>
        <w:pStyle w:val="ListParagraph"/>
        <w:numPr>
          <w:ilvl w:val="2"/>
          <w:numId w:val="26"/>
        </w:numPr>
        <w:tabs>
          <w:tab w:pos="1960" w:val="left" w:leader="none"/>
        </w:tabs>
        <w:spacing w:line="240" w:lineRule="auto" w:before="112" w:after="0"/>
        <w:ind w:left="1959" w:right="0" w:hanging="188"/>
        <w:jc w:val="left"/>
        <w:rPr>
          <w:sz w:val="18"/>
        </w:rPr>
      </w:pPr>
      <w:r>
        <w:rPr>
          <w:w w:val="105"/>
          <w:sz w:val="18"/>
        </w:rPr>
        <w:t>determining</w:t>
      </w:r>
      <w:r>
        <w:rPr>
          <w:spacing w:val="11"/>
          <w:w w:val="105"/>
          <w:sz w:val="18"/>
        </w:rPr>
        <w:t> </w:t>
      </w:r>
      <w:r>
        <w:rPr>
          <w:w w:val="105"/>
          <w:sz w:val="18"/>
        </w:rPr>
        <w:t>a</w:t>
      </w:r>
      <w:r>
        <w:rPr>
          <w:spacing w:val="12"/>
          <w:w w:val="105"/>
          <w:sz w:val="18"/>
        </w:rPr>
        <w:t> </w:t>
      </w:r>
      <w:r>
        <w:rPr>
          <w:w w:val="105"/>
          <w:sz w:val="18"/>
        </w:rPr>
        <w:t>market</w:t>
      </w:r>
      <w:r>
        <w:rPr>
          <w:spacing w:val="12"/>
          <w:w w:val="105"/>
          <w:sz w:val="18"/>
        </w:rPr>
        <w:t> </w:t>
      </w:r>
      <w:r>
        <w:rPr>
          <w:w w:val="105"/>
          <w:sz w:val="18"/>
        </w:rPr>
        <w:t>peer</w:t>
      </w:r>
      <w:r>
        <w:rPr>
          <w:spacing w:val="12"/>
          <w:w w:val="105"/>
          <w:sz w:val="18"/>
        </w:rPr>
        <w:t> </w:t>
      </w:r>
      <w:r>
        <w:rPr>
          <w:w w:val="105"/>
          <w:sz w:val="18"/>
        </w:rPr>
        <w:t>group</w:t>
      </w:r>
      <w:r>
        <w:rPr>
          <w:spacing w:val="12"/>
          <w:w w:val="105"/>
          <w:sz w:val="18"/>
        </w:rPr>
        <w:t> </w:t>
      </w:r>
      <w:r>
        <w:rPr>
          <w:w w:val="105"/>
          <w:sz w:val="18"/>
        </w:rPr>
        <w:t>to</w:t>
      </w:r>
      <w:r>
        <w:rPr>
          <w:spacing w:val="12"/>
          <w:w w:val="105"/>
          <w:sz w:val="18"/>
        </w:rPr>
        <w:t> </w:t>
      </w:r>
      <w:r>
        <w:rPr>
          <w:w w:val="105"/>
          <w:sz w:val="18"/>
        </w:rPr>
        <w:t>ensure</w:t>
      </w:r>
      <w:r>
        <w:rPr>
          <w:spacing w:val="12"/>
          <w:w w:val="105"/>
          <w:sz w:val="18"/>
        </w:rPr>
        <w:t> </w:t>
      </w:r>
      <w:r>
        <w:rPr>
          <w:w w:val="105"/>
          <w:sz w:val="18"/>
        </w:rPr>
        <w:t>our</w:t>
      </w:r>
      <w:r>
        <w:rPr>
          <w:spacing w:val="12"/>
          <w:w w:val="105"/>
          <w:sz w:val="18"/>
        </w:rPr>
        <w:t> </w:t>
      </w:r>
      <w:r>
        <w:rPr>
          <w:w w:val="105"/>
          <w:sz w:val="18"/>
        </w:rPr>
        <w:t>executive</w:t>
      </w:r>
      <w:r>
        <w:rPr>
          <w:spacing w:val="11"/>
          <w:w w:val="105"/>
          <w:sz w:val="18"/>
        </w:rPr>
        <w:t> </w:t>
      </w:r>
      <w:r>
        <w:rPr>
          <w:w w:val="105"/>
          <w:sz w:val="18"/>
        </w:rPr>
        <w:t>compensation</w:t>
      </w:r>
      <w:r>
        <w:rPr>
          <w:spacing w:val="12"/>
          <w:w w:val="105"/>
          <w:sz w:val="18"/>
        </w:rPr>
        <w:t> </w:t>
      </w:r>
      <w:r>
        <w:rPr>
          <w:w w:val="105"/>
          <w:sz w:val="18"/>
        </w:rPr>
        <w:t>programs</w:t>
      </w:r>
      <w:r>
        <w:rPr>
          <w:spacing w:val="12"/>
          <w:w w:val="105"/>
          <w:sz w:val="18"/>
        </w:rPr>
        <w:t> </w:t>
      </w:r>
      <w:r>
        <w:rPr>
          <w:w w:val="105"/>
          <w:sz w:val="18"/>
        </w:rPr>
        <w:t>are</w:t>
      </w:r>
      <w:r>
        <w:rPr>
          <w:spacing w:val="12"/>
          <w:w w:val="105"/>
          <w:sz w:val="18"/>
        </w:rPr>
        <w:t> </w:t>
      </w:r>
      <w:r>
        <w:rPr>
          <w:spacing w:val="-2"/>
          <w:w w:val="105"/>
          <w:sz w:val="18"/>
        </w:rPr>
        <w:t>competitive,</w:t>
      </w:r>
    </w:p>
    <w:p>
      <w:pPr>
        <w:pStyle w:val="ListParagraph"/>
        <w:numPr>
          <w:ilvl w:val="2"/>
          <w:numId w:val="26"/>
        </w:numPr>
        <w:tabs>
          <w:tab w:pos="1960" w:val="left" w:leader="none"/>
        </w:tabs>
        <w:spacing w:line="240" w:lineRule="auto" w:before="128" w:after="0"/>
        <w:ind w:left="1959" w:right="0" w:hanging="188"/>
        <w:jc w:val="left"/>
        <w:rPr>
          <w:sz w:val="18"/>
        </w:rPr>
      </w:pPr>
      <w:r>
        <w:rPr>
          <w:w w:val="105"/>
          <w:sz w:val="18"/>
        </w:rPr>
        <w:t>performing</w:t>
      </w:r>
      <w:r>
        <w:rPr>
          <w:spacing w:val="13"/>
          <w:w w:val="105"/>
          <w:sz w:val="18"/>
        </w:rPr>
        <w:t> </w:t>
      </w:r>
      <w:r>
        <w:rPr>
          <w:w w:val="105"/>
          <w:sz w:val="18"/>
        </w:rPr>
        <w:t>an</w:t>
      </w:r>
      <w:r>
        <w:rPr>
          <w:spacing w:val="13"/>
          <w:w w:val="105"/>
          <w:sz w:val="18"/>
        </w:rPr>
        <w:t> </w:t>
      </w:r>
      <w:r>
        <w:rPr>
          <w:w w:val="105"/>
          <w:sz w:val="18"/>
        </w:rPr>
        <w:t>annual</w:t>
      </w:r>
      <w:r>
        <w:rPr>
          <w:spacing w:val="13"/>
          <w:w w:val="105"/>
          <w:sz w:val="18"/>
        </w:rPr>
        <w:t> </w:t>
      </w:r>
      <w:r>
        <w:rPr>
          <w:w w:val="105"/>
          <w:sz w:val="18"/>
        </w:rPr>
        <w:t>risk</w:t>
      </w:r>
      <w:r>
        <w:rPr>
          <w:spacing w:val="13"/>
          <w:w w:val="105"/>
          <w:sz w:val="18"/>
        </w:rPr>
        <w:t> </w:t>
      </w:r>
      <w:r>
        <w:rPr>
          <w:w w:val="105"/>
          <w:sz w:val="18"/>
        </w:rPr>
        <w:t>assessment</w:t>
      </w:r>
      <w:r>
        <w:rPr>
          <w:spacing w:val="13"/>
          <w:w w:val="105"/>
          <w:sz w:val="18"/>
        </w:rPr>
        <w:t> </w:t>
      </w:r>
      <w:r>
        <w:rPr>
          <w:w w:val="105"/>
          <w:sz w:val="18"/>
        </w:rPr>
        <w:t>of</w:t>
      </w:r>
      <w:r>
        <w:rPr>
          <w:spacing w:val="14"/>
          <w:w w:val="105"/>
          <w:sz w:val="18"/>
        </w:rPr>
        <w:t> </w:t>
      </w:r>
      <w:r>
        <w:rPr>
          <w:w w:val="105"/>
          <w:sz w:val="18"/>
        </w:rPr>
        <w:t>our</w:t>
      </w:r>
      <w:r>
        <w:rPr>
          <w:spacing w:val="13"/>
          <w:w w:val="105"/>
          <w:sz w:val="18"/>
        </w:rPr>
        <w:t> </w:t>
      </w:r>
      <w:r>
        <w:rPr>
          <w:w w:val="105"/>
          <w:sz w:val="18"/>
        </w:rPr>
        <w:t>executive</w:t>
      </w:r>
      <w:r>
        <w:rPr>
          <w:spacing w:val="13"/>
          <w:w w:val="105"/>
          <w:sz w:val="18"/>
        </w:rPr>
        <w:t> </w:t>
      </w:r>
      <w:r>
        <w:rPr>
          <w:w w:val="105"/>
          <w:sz w:val="18"/>
        </w:rPr>
        <w:t>compensation</w:t>
      </w:r>
      <w:r>
        <w:rPr>
          <w:spacing w:val="13"/>
          <w:w w:val="105"/>
          <w:sz w:val="18"/>
        </w:rPr>
        <w:t> </w:t>
      </w:r>
      <w:r>
        <w:rPr>
          <w:w w:val="105"/>
          <w:sz w:val="18"/>
        </w:rPr>
        <w:t>programs,</w:t>
      </w:r>
      <w:r>
        <w:rPr>
          <w:spacing w:val="13"/>
          <w:w w:val="105"/>
          <w:sz w:val="18"/>
        </w:rPr>
        <w:t> </w:t>
      </w:r>
      <w:r>
        <w:rPr>
          <w:spacing w:val="-5"/>
          <w:w w:val="105"/>
          <w:sz w:val="18"/>
        </w:rPr>
        <w:t>and</w:t>
      </w:r>
    </w:p>
    <w:p>
      <w:pPr>
        <w:pStyle w:val="ListParagraph"/>
        <w:numPr>
          <w:ilvl w:val="2"/>
          <w:numId w:val="26"/>
        </w:numPr>
        <w:tabs>
          <w:tab w:pos="1960" w:val="left" w:leader="none"/>
        </w:tabs>
        <w:spacing w:line="259" w:lineRule="auto" w:before="129" w:after="0"/>
        <w:ind w:left="1959" w:right="1682" w:hanging="187"/>
        <w:jc w:val="left"/>
        <w:rPr>
          <w:sz w:val="18"/>
        </w:rPr>
      </w:pPr>
      <w:r>
        <w:rPr>
          <w:w w:val="105"/>
          <w:sz w:val="18"/>
        </w:rPr>
        <w:t>assessing our executive compensation programs annually to ensure that they are well aligned with our evolving business strategy and are effective in supporting its talent needs.</w:t>
      </w:r>
    </w:p>
    <w:p>
      <w:pPr>
        <w:pStyle w:val="BodyText"/>
        <w:spacing w:line="259" w:lineRule="auto" w:before="140"/>
        <w:ind w:left="1400" w:right="1430" w:firstLine="372"/>
      </w:pPr>
      <w:r>
        <w:rPr>
          <w:b/>
          <w:w w:val="105"/>
        </w:rPr>
        <w:t>Role</w:t>
      </w:r>
      <w:r>
        <w:rPr>
          <w:b/>
          <w:spacing w:val="-12"/>
          <w:w w:val="105"/>
        </w:rPr>
        <w:t> </w:t>
      </w:r>
      <w:r>
        <w:rPr>
          <w:b/>
          <w:w w:val="105"/>
        </w:rPr>
        <w:t>of</w:t>
      </w:r>
      <w:r>
        <w:rPr>
          <w:b/>
          <w:spacing w:val="-12"/>
          <w:w w:val="105"/>
        </w:rPr>
        <w:t> </w:t>
      </w:r>
      <w:r>
        <w:rPr>
          <w:b/>
          <w:w w:val="105"/>
        </w:rPr>
        <w:t>the</w:t>
      </w:r>
      <w:r>
        <w:rPr>
          <w:b/>
          <w:spacing w:val="-12"/>
          <w:w w:val="105"/>
        </w:rPr>
        <w:t> </w:t>
      </w:r>
      <w:r>
        <w:rPr>
          <w:b/>
          <w:w w:val="105"/>
        </w:rPr>
        <w:t>Chief</w:t>
      </w:r>
      <w:r>
        <w:rPr>
          <w:b/>
          <w:spacing w:val="-12"/>
          <w:w w:val="105"/>
        </w:rPr>
        <w:t> </w:t>
      </w:r>
      <w:r>
        <w:rPr>
          <w:b/>
          <w:w w:val="105"/>
        </w:rPr>
        <w:t>Executive</w:t>
      </w:r>
      <w:r>
        <w:rPr>
          <w:b/>
          <w:spacing w:val="-12"/>
          <w:w w:val="105"/>
        </w:rPr>
        <w:t> </w:t>
      </w:r>
      <w:r>
        <w:rPr>
          <w:b/>
          <w:w w:val="105"/>
        </w:rPr>
        <w:t>Officer.</w:t>
      </w:r>
      <w:r>
        <w:rPr>
          <w:b/>
          <w:spacing w:val="77"/>
          <w:w w:val="105"/>
        </w:rPr>
        <w:t> </w:t>
      </w:r>
      <w:r>
        <w:rPr>
          <w:w w:val="105"/>
        </w:rPr>
        <w:t>Our CEO makes recommendations to the Compensation Committee as requested on incentive plan design, financial and strategic performance goals, performance and</w:t>
      </w:r>
      <w:r>
        <w:rPr>
          <w:spacing w:val="40"/>
          <w:w w:val="105"/>
        </w:rPr>
        <w:t> </w:t>
      </w:r>
      <w:r>
        <w:rPr>
          <w:w w:val="105"/>
        </w:rPr>
        <w:t>compensation for other executives, and management transitions and succession. The CEO does not make recommendations regarding his own compensation or Board compensation.</w:t>
      </w:r>
    </w:p>
    <w:p>
      <w:pPr>
        <w:pStyle w:val="BodyText"/>
        <w:spacing w:line="259" w:lineRule="auto" w:before="154"/>
        <w:ind w:left="1400" w:right="1423" w:firstLine="372"/>
      </w:pPr>
      <w:r>
        <w:rPr>
          <w:b/>
          <w:w w:val="105"/>
        </w:rPr>
        <w:t>Role</w:t>
      </w:r>
      <w:r>
        <w:rPr>
          <w:b/>
          <w:spacing w:val="-12"/>
          <w:w w:val="105"/>
        </w:rPr>
        <w:t> </w:t>
      </w:r>
      <w:r>
        <w:rPr>
          <w:b/>
          <w:w w:val="105"/>
        </w:rPr>
        <w:t>of</w:t>
      </w:r>
      <w:r>
        <w:rPr>
          <w:b/>
          <w:spacing w:val="-12"/>
          <w:w w:val="105"/>
        </w:rPr>
        <w:t> </w:t>
      </w:r>
      <w:r>
        <w:rPr>
          <w:b/>
          <w:w w:val="105"/>
        </w:rPr>
        <w:t>the</w:t>
      </w:r>
      <w:r>
        <w:rPr>
          <w:b/>
          <w:spacing w:val="-12"/>
          <w:w w:val="105"/>
        </w:rPr>
        <w:t> </w:t>
      </w:r>
      <w:r>
        <w:rPr>
          <w:b/>
          <w:w w:val="105"/>
        </w:rPr>
        <w:t>Independent</w:t>
      </w:r>
      <w:r>
        <w:rPr>
          <w:b/>
          <w:spacing w:val="-12"/>
          <w:w w:val="105"/>
        </w:rPr>
        <w:t> </w:t>
      </w:r>
      <w:r>
        <w:rPr>
          <w:b/>
          <w:w w:val="105"/>
        </w:rPr>
        <w:t>Compensation</w:t>
      </w:r>
      <w:r>
        <w:rPr>
          <w:b/>
          <w:spacing w:val="-12"/>
          <w:w w:val="105"/>
        </w:rPr>
        <w:t> </w:t>
      </w:r>
      <w:r>
        <w:rPr>
          <w:b/>
          <w:w w:val="105"/>
        </w:rPr>
        <w:t>Consultant.</w:t>
      </w:r>
      <w:r>
        <w:rPr>
          <w:b/>
          <w:spacing w:val="46"/>
          <w:w w:val="105"/>
        </w:rPr>
        <w:t> </w:t>
      </w:r>
      <w:r>
        <w:rPr>
          <w:w w:val="105"/>
        </w:rPr>
        <w:t>The</w:t>
      </w:r>
      <w:r>
        <w:rPr>
          <w:spacing w:val="-12"/>
          <w:w w:val="105"/>
        </w:rPr>
        <w:t> </w:t>
      </w:r>
      <w:r>
        <w:rPr>
          <w:w w:val="105"/>
        </w:rPr>
        <w:t>Compensation</w:t>
      </w:r>
      <w:r>
        <w:rPr>
          <w:spacing w:val="-11"/>
          <w:w w:val="105"/>
        </w:rPr>
        <w:t> </w:t>
      </w:r>
      <w:r>
        <w:rPr>
          <w:w w:val="105"/>
        </w:rPr>
        <w:t>Committee</w:t>
      </w:r>
      <w:r>
        <w:rPr>
          <w:spacing w:val="-6"/>
          <w:w w:val="105"/>
        </w:rPr>
        <w:t> </w:t>
      </w:r>
      <w:r>
        <w:rPr>
          <w:w w:val="105"/>
        </w:rPr>
        <w:t>retained</w:t>
      </w:r>
      <w:r>
        <w:rPr>
          <w:spacing w:val="-6"/>
          <w:w w:val="105"/>
        </w:rPr>
        <w:t> </w:t>
      </w:r>
      <w:r>
        <w:rPr>
          <w:w w:val="105"/>
        </w:rPr>
        <w:t>FW</w:t>
      </w:r>
      <w:r>
        <w:rPr>
          <w:spacing w:val="-10"/>
          <w:w w:val="105"/>
        </w:rPr>
        <w:t> </w:t>
      </w:r>
      <w:r>
        <w:rPr>
          <w:w w:val="105"/>
        </w:rPr>
        <w:t>Cook,</w:t>
      </w:r>
      <w:r>
        <w:rPr>
          <w:spacing w:val="-6"/>
          <w:w w:val="105"/>
        </w:rPr>
        <w:t> </w:t>
      </w:r>
      <w:r>
        <w:rPr>
          <w:w w:val="105"/>
        </w:rPr>
        <w:t>a nationally</w:t>
      </w:r>
      <w:r>
        <w:rPr>
          <w:spacing w:val="35"/>
          <w:w w:val="105"/>
        </w:rPr>
        <w:t> </w:t>
      </w:r>
      <w:r>
        <w:rPr>
          <w:w w:val="105"/>
        </w:rPr>
        <w:t>recognized</w:t>
      </w:r>
      <w:r>
        <w:rPr>
          <w:spacing w:val="35"/>
          <w:w w:val="105"/>
        </w:rPr>
        <w:t> </w:t>
      </w:r>
      <w:r>
        <w:rPr>
          <w:w w:val="105"/>
        </w:rPr>
        <w:t>independent</w:t>
      </w:r>
      <w:r>
        <w:rPr>
          <w:spacing w:val="35"/>
          <w:w w:val="105"/>
        </w:rPr>
        <w:t> </w:t>
      </w:r>
      <w:r>
        <w:rPr>
          <w:w w:val="105"/>
        </w:rPr>
        <w:t>compensation</w:t>
      </w:r>
      <w:r>
        <w:rPr>
          <w:spacing w:val="35"/>
          <w:w w:val="105"/>
        </w:rPr>
        <w:t> </w:t>
      </w:r>
      <w:r>
        <w:rPr>
          <w:w w:val="105"/>
        </w:rPr>
        <w:t>consulting</w:t>
      </w:r>
      <w:r>
        <w:rPr>
          <w:spacing w:val="35"/>
          <w:w w:val="105"/>
        </w:rPr>
        <w:t> </w:t>
      </w:r>
      <w:r>
        <w:rPr>
          <w:w w:val="105"/>
        </w:rPr>
        <w:t>firm,</w:t>
      </w:r>
      <w:r>
        <w:rPr>
          <w:spacing w:val="35"/>
          <w:w w:val="105"/>
        </w:rPr>
        <w:t> </w:t>
      </w:r>
      <w:r>
        <w:rPr>
          <w:w w:val="105"/>
        </w:rPr>
        <w:t>to</w:t>
      </w:r>
      <w:r>
        <w:rPr>
          <w:spacing w:val="35"/>
          <w:w w:val="105"/>
        </w:rPr>
        <w:t> </w:t>
      </w:r>
      <w:r>
        <w:rPr>
          <w:w w:val="105"/>
        </w:rPr>
        <w:t>advise</w:t>
      </w:r>
      <w:r>
        <w:rPr>
          <w:spacing w:val="35"/>
          <w:w w:val="105"/>
        </w:rPr>
        <w:t> </w:t>
      </w:r>
      <w:r>
        <w:rPr>
          <w:w w:val="105"/>
        </w:rPr>
        <w:t>on</w:t>
      </w:r>
      <w:r>
        <w:rPr>
          <w:spacing w:val="35"/>
          <w:w w:val="105"/>
        </w:rPr>
        <w:t> </w:t>
      </w:r>
      <w:r>
        <w:rPr>
          <w:w w:val="105"/>
        </w:rPr>
        <w:t>certain</w:t>
      </w:r>
      <w:r>
        <w:rPr>
          <w:spacing w:val="35"/>
          <w:w w:val="105"/>
        </w:rPr>
        <w:t> </w:t>
      </w:r>
      <w:r>
        <w:rPr>
          <w:w w:val="105"/>
        </w:rPr>
        <w:t>compensation</w:t>
      </w:r>
      <w:r>
        <w:rPr>
          <w:w w:val="105"/>
        </w:rPr>
        <w:t> matters. FW Cook does not provide other services to the Company or the Company’s management.</w:t>
      </w:r>
    </w:p>
    <w:p>
      <w:pPr>
        <w:pStyle w:val="BodyText"/>
        <w:spacing w:line="259" w:lineRule="auto" w:before="154"/>
        <w:ind w:left="1400" w:right="1680" w:firstLine="372"/>
      </w:pPr>
      <w:r>
        <w:rPr>
          <w:w w:val="105"/>
        </w:rPr>
        <w:t>FW Cook advised the Compensation Committee with respect to fiscal year 2022 compensation trends and best practices, competitive pay levels, equity grant practices and competitive levels, peer group data,</w:t>
      </w:r>
      <w:r>
        <w:rPr>
          <w:spacing w:val="40"/>
          <w:w w:val="105"/>
        </w:rPr>
        <w:t> </w:t>
      </w:r>
      <w:r>
        <w:rPr>
          <w:w w:val="105"/>
        </w:rPr>
        <w:t>incentive plan design, and relevant Proxy Statement disclosure.</w:t>
      </w:r>
    </w:p>
    <w:p>
      <w:pPr>
        <w:pStyle w:val="BodyText"/>
        <w:spacing w:line="259" w:lineRule="auto" w:before="141"/>
        <w:ind w:left="1400" w:right="1539" w:firstLine="372"/>
      </w:pPr>
      <w:r>
        <w:rPr>
          <w:w w:val="105"/>
        </w:rPr>
        <w:t>The Compensation Committee has determined that FW Cook is independent, and the services provided</w:t>
      </w:r>
      <w:r>
        <w:rPr>
          <w:spacing w:val="80"/>
          <w:w w:val="105"/>
        </w:rPr>
        <w:t> </w:t>
      </w:r>
      <w:r>
        <w:rPr>
          <w:w w:val="105"/>
        </w:rPr>
        <w:t>by</w:t>
      </w:r>
      <w:r>
        <w:rPr>
          <w:spacing w:val="22"/>
          <w:w w:val="105"/>
        </w:rPr>
        <w:t> </w:t>
      </w:r>
      <w:r>
        <w:rPr>
          <w:w w:val="105"/>
        </w:rPr>
        <w:t>FW</w:t>
      </w:r>
      <w:r>
        <w:rPr>
          <w:spacing w:val="17"/>
          <w:w w:val="105"/>
        </w:rPr>
        <w:t> </w:t>
      </w:r>
      <w:r>
        <w:rPr>
          <w:w w:val="105"/>
        </w:rPr>
        <w:t>Cook</w:t>
      </w:r>
      <w:r>
        <w:rPr>
          <w:spacing w:val="22"/>
          <w:w w:val="105"/>
        </w:rPr>
        <w:t> </w:t>
      </w:r>
      <w:r>
        <w:rPr>
          <w:w w:val="105"/>
        </w:rPr>
        <w:t>during</w:t>
      </w:r>
      <w:r>
        <w:rPr>
          <w:spacing w:val="22"/>
          <w:w w:val="105"/>
        </w:rPr>
        <w:t> </w:t>
      </w:r>
      <w:r>
        <w:rPr>
          <w:w w:val="105"/>
        </w:rPr>
        <w:t>fiscal</w:t>
      </w:r>
      <w:r>
        <w:rPr>
          <w:spacing w:val="22"/>
          <w:w w:val="105"/>
        </w:rPr>
        <w:t> </w:t>
      </w:r>
      <w:r>
        <w:rPr>
          <w:w w:val="105"/>
        </w:rPr>
        <w:t>year</w:t>
      </w:r>
      <w:r>
        <w:rPr>
          <w:spacing w:val="22"/>
          <w:w w:val="105"/>
        </w:rPr>
        <w:t> </w:t>
      </w:r>
      <w:r>
        <w:rPr>
          <w:w w:val="105"/>
        </w:rPr>
        <w:t>2022</w:t>
      </w:r>
      <w:r>
        <w:rPr>
          <w:spacing w:val="22"/>
          <w:w w:val="105"/>
        </w:rPr>
        <w:t> </w:t>
      </w:r>
      <w:r>
        <w:rPr>
          <w:w w:val="105"/>
        </w:rPr>
        <w:t>did</w:t>
      </w:r>
      <w:r>
        <w:rPr>
          <w:spacing w:val="22"/>
          <w:w w:val="105"/>
        </w:rPr>
        <w:t> </w:t>
      </w:r>
      <w:r>
        <w:rPr>
          <w:w w:val="105"/>
        </w:rPr>
        <w:t>not</w:t>
      </w:r>
      <w:r>
        <w:rPr>
          <w:spacing w:val="22"/>
          <w:w w:val="105"/>
        </w:rPr>
        <w:t> </w:t>
      </w:r>
      <w:r>
        <w:rPr>
          <w:w w:val="105"/>
        </w:rPr>
        <w:t>raise</w:t>
      </w:r>
      <w:r>
        <w:rPr>
          <w:spacing w:val="22"/>
          <w:w w:val="105"/>
        </w:rPr>
        <w:t> </w:t>
      </w:r>
      <w:r>
        <w:rPr>
          <w:w w:val="105"/>
        </w:rPr>
        <w:t>any</w:t>
      </w:r>
      <w:r>
        <w:rPr>
          <w:spacing w:val="22"/>
          <w:w w:val="105"/>
        </w:rPr>
        <w:t> </w:t>
      </w:r>
      <w:r>
        <w:rPr>
          <w:w w:val="105"/>
        </w:rPr>
        <w:t>conflict</w:t>
      </w:r>
      <w:r>
        <w:rPr>
          <w:spacing w:val="22"/>
          <w:w w:val="105"/>
        </w:rPr>
        <w:t> </w:t>
      </w:r>
      <w:r>
        <w:rPr>
          <w:w w:val="105"/>
        </w:rPr>
        <w:t>of</w:t>
      </w:r>
      <w:r>
        <w:rPr>
          <w:spacing w:val="22"/>
          <w:w w:val="105"/>
        </w:rPr>
        <w:t> </w:t>
      </w:r>
      <w:r>
        <w:rPr>
          <w:w w:val="105"/>
        </w:rPr>
        <w:t>interests.</w:t>
      </w:r>
      <w:r>
        <w:rPr>
          <w:spacing w:val="22"/>
          <w:w w:val="105"/>
        </w:rPr>
        <w:t> </w:t>
      </w:r>
      <w:r>
        <w:rPr>
          <w:w w:val="105"/>
        </w:rPr>
        <w:t>In</w:t>
      </w:r>
      <w:r>
        <w:rPr>
          <w:spacing w:val="22"/>
          <w:w w:val="105"/>
        </w:rPr>
        <w:t> </w:t>
      </w:r>
      <w:r>
        <w:rPr>
          <w:w w:val="105"/>
        </w:rPr>
        <w:t>reaching</w:t>
      </w:r>
      <w:r>
        <w:rPr>
          <w:spacing w:val="22"/>
          <w:w w:val="105"/>
        </w:rPr>
        <w:t> </w:t>
      </w:r>
      <w:r>
        <w:rPr>
          <w:w w:val="105"/>
        </w:rPr>
        <w:t>these</w:t>
      </w:r>
      <w:r>
        <w:rPr>
          <w:spacing w:val="22"/>
          <w:w w:val="105"/>
        </w:rPr>
        <w:t> </w:t>
      </w:r>
      <w:r>
        <w:rPr>
          <w:w w:val="105"/>
        </w:rPr>
        <w:t>conclusions, the Compensation Committee considered the factors set forth in Rule 10C-1 of the Exchange Act and applicable listing standards.</w:t>
      </w:r>
    </w:p>
    <w:p>
      <w:pPr>
        <w:spacing w:after="0" w:line="259" w:lineRule="auto"/>
        <w:sectPr>
          <w:type w:val="continuous"/>
          <w:pgSz w:w="12240" w:h="15840"/>
          <w:pgMar w:header="529" w:footer="1833" w:top="600" w:bottom="960" w:left="480" w:right="460"/>
        </w:sectPr>
      </w:pPr>
    </w:p>
    <w:p>
      <w:pPr>
        <w:pStyle w:val="BodyText"/>
        <w:rPr>
          <w:sz w:val="20"/>
        </w:rPr>
      </w:pPr>
    </w:p>
    <w:p>
      <w:pPr>
        <w:pStyle w:val="BodyText"/>
        <w:rPr>
          <w:sz w:val="20"/>
        </w:rPr>
      </w:pPr>
    </w:p>
    <w:p>
      <w:pPr>
        <w:pStyle w:val="BodyText"/>
        <w:spacing w:before="2"/>
        <w:rPr>
          <w:sz w:val="27"/>
        </w:rPr>
      </w:pPr>
    </w:p>
    <w:p>
      <w:pPr>
        <w:pStyle w:val="BodyText"/>
        <w:spacing w:line="252" w:lineRule="auto" w:before="98"/>
        <w:ind w:left="1400" w:right="1680" w:firstLine="372"/>
      </w:pPr>
      <w:r>
        <w:rPr>
          <w:b/>
          <w:w w:val="105"/>
        </w:rPr>
        <w:t>Setting</w:t>
      </w:r>
      <w:r>
        <w:rPr>
          <w:b/>
          <w:spacing w:val="-10"/>
          <w:w w:val="105"/>
        </w:rPr>
        <w:t> </w:t>
      </w:r>
      <w:r>
        <w:rPr>
          <w:b/>
          <w:w w:val="105"/>
        </w:rPr>
        <w:t>Executive</w:t>
      </w:r>
      <w:r>
        <w:rPr>
          <w:b/>
          <w:spacing w:val="-10"/>
          <w:w w:val="105"/>
        </w:rPr>
        <w:t> </w:t>
      </w:r>
      <w:r>
        <w:rPr>
          <w:b/>
          <w:w w:val="105"/>
        </w:rPr>
        <w:t>Compensation.</w:t>
      </w:r>
      <w:r>
        <w:rPr>
          <w:b/>
          <w:spacing w:val="80"/>
          <w:w w:val="105"/>
        </w:rPr>
        <w:t> </w:t>
      </w:r>
      <w:r>
        <w:rPr>
          <w:w w:val="105"/>
        </w:rPr>
        <w:t>Generally, in determining base salary, target annual incentives and guidelines for long-term equity awards, the Compensation Committee considers several factors including,</w:t>
      </w:r>
      <w:r>
        <w:rPr>
          <w:spacing w:val="40"/>
          <w:w w:val="105"/>
        </w:rPr>
        <w:t> </w:t>
      </w:r>
      <w:r>
        <w:rPr>
          <w:w w:val="105"/>
        </w:rPr>
        <w:t>but not limited to the executive’s:</w:t>
      </w:r>
    </w:p>
    <w:p>
      <w:pPr>
        <w:pStyle w:val="ListParagraph"/>
        <w:numPr>
          <w:ilvl w:val="2"/>
          <w:numId w:val="26"/>
        </w:numPr>
        <w:tabs>
          <w:tab w:pos="1960" w:val="left" w:leader="none"/>
        </w:tabs>
        <w:spacing w:line="240" w:lineRule="auto" w:before="103" w:after="0"/>
        <w:ind w:left="1959" w:right="0" w:hanging="188"/>
        <w:jc w:val="left"/>
        <w:rPr>
          <w:sz w:val="18"/>
        </w:rPr>
      </w:pPr>
      <w:r>
        <w:rPr>
          <w:w w:val="105"/>
          <w:sz w:val="18"/>
        </w:rPr>
        <w:t>role,</w:t>
      </w:r>
      <w:r>
        <w:rPr>
          <w:spacing w:val="11"/>
          <w:w w:val="105"/>
          <w:sz w:val="18"/>
        </w:rPr>
        <w:t> </w:t>
      </w:r>
      <w:r>
        <w:rPr>
          <w:w w:val="105"/>
          <w:sz w:val="18"/>
        </w:rPr>
        <w:t>including</w:t>
      </w:r>
      <w:r>
        <w:rPr>
          <w:spacing w:val="11"/>
          <w:w w:val="105"/>
          <w:sz w:val="18"/>
        </w:rPr>
        <w:t> </w:t>
      </w:r>
      <w:r>
        <w:rPr>
          <w:w w:val="105"/>
          <w:sz w:val="18"/>
        </w:rPr>
        <w:t>the</w:t>
      </w:r>
      <w:r>
        <w:rPr>
          <w:spacing w:val="12"/>
          <w:w w:val="105"/>
          <w:sz w:val="18"/>
        </w:rPr>
        <w:t> </w:t>
      </w:r>
      <w:r>
        <w:rPr>
          <w:w w:val="105"/>
          <w:sz w:val="18"/>
        </w:rPr>
        <w:t>scope</w:t>
      </w:r>
      <w:r>
        <w:rPr>
          <w:spacing w:val="11"/>
          <w:w w:val="105"/>
          <w:sz w:val="18"/>
        </w:rPr>
        <w:t> </w:t>
      </w:r>
      <w:r>
        <w:rPr>
          <w:w w:val="105"/>
          <w:sz w:val="18"/>
        </w:rPr>
        <w:t>and</w:t>
      </w:r>
      <w:r>
        <w:rPr>
          <w:spacing w:val="12"/>
          <w:w w:val="105"/>
          <w:sz w:val="18"/>
        </w:rPr>
        <w:t> </w:t>
      </w:r>
      <w:r>
        <w:rPr>
          <w:w w:val="105"/>
          <w:sz w:val="18"/>
        </w:rPr>
        <w:t>complexity</w:t>
      </w:r>
      <w:r>
        <w:rPr>
          <w:spacing w:val="11"/>
          <w:w w:val="105"/>
          <w:sz w:val="18"/>
        </w:rPr>
        <w:t> </w:t>
      </w:r>
      <w:r>
        <w:rPr>
          <w:w w:val="105"/>
          <w:sz w:val="18"/>
        </w:rPr>
        <w:t>of</w:t>
      </w:r>
      <w:r>
        <w:rPr>
          <w:spacing w:val="12"/>
          <w:w w:val="105"/>
          <w:sz w:val="18"/>
        </w:rPr>
        <w:t> </w:t>
      </w:r>
      <w:r>
        <w:rPr>
          <w:spacing w:val="-2"/>
          <w:w w:val="105"/>
          <w:sz w:val="18"/>
        </w:rPr>
        <w:t>responsibilities;</w:t>
      </w:r>
    </w:p>
    <w:p>
      <w:pPr>
        <w:pStyle w:val="ListParagraph"/>
        <w:numPr>
          <w:ilvl w:val="2"/>
          <w:numId w:val="26"/>
        </w:numPr>
        <w:tabs>
          <w:tab w:pos="1960" w:val="left" w:leader="none"/>
        </w:tabs>
        <w:spacing w:line="240" w:lineRule="auto" w:before="129" w:after="0"/>
        <w:ind w:left="1959" w:right="0" w:hanging="188"/>
        <w:jc w:val="left"/>
        <w:rPr>
          <w:sz w:val="18"/>
        </w:rPr>
      </w:pPr>
      <w:r>
        <w:rPr>
          <w:w w:val="105"/>
          <w:sz w:val="18"/>
        </w:rPr>
        <w:t>experience</w:t>
      </w:r>
      <w:r>
        <w:rPr>
          <w:spacing w:val="12"/>
          <w:w w:val="105"/>
          <w:sz w:val="18"/>
        </w:rPr>
        <w:t> </w:t>
      </w:r>
      <w:r>
        <w:rPr>
          <w:w w:val="105"/>
          <w:sz w:val="18"/>
        </w:rPr>
        <w:t>and</w:t>
      </w:r>
      <w:r>
        <w:rPr>
          <w:spacing w:val="13"/>
          <w:w w:val="105"/>
          <w:sz w:val="18"/>
        </w:rPr>
        <w:t> </w:t>
      </w:r>
      <w:r>
        <w:rPr>
          <w:spacing w:val="-2"/>
          <w:w w:val="105"/>
          <w:sz w:val="18"/>
        </w:rPr>
        <w:t>capabilities;</w:t>
      </w:r>
    </w:p>
    <w:p>
      <w:pPr>
        <w:pStyle w:val="ListParagraph"/>
        <w:numPr>
          <w:ilvl w:val="2"/>
          <w:numId w:val="26"/>
        </w:numPr>
        <w:tabs>
          <w:tab w:pos="1960" w:val="left" w:leader="none"/>
        </w:tabs>
        <w:spacing w:line="240" w:lineRule="auto" w:before="114" w:after="0"/>
        <w:ind w:left="1959" w:right="0" w:hanging="188"/>
        <w:jc w:val="left"/>
        <w:rPr>
          <w:sz w:val="18"/>
        </w:rPr>
      </w:pPr>
      <w:r>
        <w:rPr>
          <w:w w:val="105"/>
          <w:sz w:val="18"/>
        </w:rPr>
        <w:t>contributions</w:t>
      </w:r>
      <w:r>
        <w:rPr>
          <w:spacing w:val="12"/>
          <w:w w:val="105"/>
          <w:sz w:val="18"/>
        </w:rPr>
        <w:t> </w:t>
      </w:r>
      <w:r>
        <w:rPr>
          <w:w w:val="105"/>
          <w:sz w:val="18"/>
        </w:rPr>
        <w:t>or</w:t>
      </w:r>
      <w:r>
        <w:rPr>
          <w:spacing w:val="12"/>
          <w:w w:val="105"/>
          <w:sz w:val="18"/>
        </w:rPr>
        <w:t> </w:t>
      </w:r>
      <w:r>
        <w:rPr>
          <w:w w:val="105"/>
          <w:sz w:val="18"/>
        </w:rPr>
        <w:t>responsibilities</w:t>
      </w:r>
      <w:r>
        <w:rPr>
          <w:spacing w:val="13"/>
          <w:w w:val="105"/>
          <w:sz w:val="18"/>
        </w:rPr>
        <w:t> </w:t>
      </w:r>
      <w:r>
        <w:rPr>
          <w:w w:val="105"/>
          <w:sz w:val="18"/>
        </w:rPr>
        <w:t>below</w:t>
      </w:r>
      <w:r>
        <w:rPr>
          <w:spacing w:val="12"/>
          <w:w w:val="105"/>
          <w:sz w:val="18"/>
        </w:rPr>
        <w:t> </w:t>
      </w:r>
      <w:r>
        <w:rPr>
          <w:w w:val="105"/>
          <w:sz w:val="18"/>
        </w:rPr>
        <w:t>or</w:t>
      </w:r>
      <w:r>
        <w:rPr>
          <w:spacing w:val="13"/>
          <w:w w:val="105"/>
          <w:sz w:val="18"/>
        </w:rPr>
        <w:t> </w:t>
      </w:r>
      <w:r>
        <w:rPr>
          <w:w w:val="105"/>
          <w:sz w:val="18"/>
        </w:rPr>
        <w:t>beyond</w:t>
      </w:r>
      <w:r>
        <w:rPr>
          <w:spacing w:val="12"/>
          <w:w w:val="105"/>
          <w:sz w:val="18"/>
        </w:rPr>
        <w:t> </w:t>
      </w:r>
      <w:r>
        <w:rPr>
          <w:w w:val="105"/>
          <w:sz w:val="18"/>
        </w:rPr>
        <w:t>the</w:t>
      </w:r>
      <w:r>
        <w:rPr>
          <w:spacing w:val="13"/>
          <w:w w:val="105"/>
          <w:sz w:val="18"/>
        </w:rPr>
        <w:t> </w:t>
      </w:r>
      <w:r>
        <w:rPr>
          <w:w w:val="105"/>
          <w:sz w:val="18"/>
        </w:rPr>
        <w:t>typical</w:t>
      </w:r>
      <w:r>
        <w:rPr>
          <w:spacing w:val="12"/>
          <w:w w:val="105"/>
          <w:sz w:val="18"/>
        </w:rPr>
        <w:t> </w:t>
      </w:r>
      <w:r>
        <w:rPr>
          <w:w w:val="105"/>
          <w:sz w:val="18"/>
        </w:rPr>
        <w:t>scope</w:t>
      </w:r>
      <w:r>
        <w:rPr>
          <w:spacing w:val="13"/>
          <w:w w:val="105"/>
          <w:sz w:val="18"/>
        </w:rPr>
        <w:t> </w:t>
      </w:r>
      <w:r>
        <w:rPr>
          <w:w w:val="105"/>
          <w:sz w:val="18"/>
        </w:rPr>
        <w:t>of</w:t>
      </w:r>
      <w:r>
        <w:rPr>
          <w:spacing w:val="12"/>
          <w:w w:val="105"/>
          <w:sz w:val="18"/>
        </w:rPr>
        <w:t> </w:t>
      </w:r>
      <w:r>
        <w:rPr>
          <w:w w:val="105"/>
          <w:sz w:val="18"/>
        </w:rPr>
        <w:t>the</w:t>
      </w:r>
      <w:r>
        <w:rPr>
          <w:spacing w:val="13"/>
          <w:w w:val="105"/>
          <w:sz w:val="18"/>
        </w:rPr>
        <w:t> </w:t>
      </w:r>
      <w:r>
        <w:rPr>
          <w:spacing w:val="-2"/>
          <w:w w:val="105"/>
          <w:sz w:val="18"/>
        </w:rPr>
        <w:t>role;</w:t>
      </w:r>
    </w:p>
    <w:p>
      <w:pPr>
        <w:pStyle w:val="ListParagraph"/>
        <w:numPr>
          <w:ilvl w:val="2"/>
          <w:numId w:val="26"/>
        </w:numPr>
        <w:tabs>
          <w:tab w:pos="1960" w:val="left" w:leader="none"/>
        </w:tabs>
        <w:spacing w:line="240" w:lineRule="auto" w:before="129" w:after="0"/>
        <w:ind w:left="1959" w:right="0" w:hanging="188"/>
        <w:jc w:val="left"/>
        <w:rPr>
          <w:sz w:val="18"/>
        </w:rPr>
      </w:pPr>
      <w:r>
        <w:rPr>
          <w:w w:val="105"/>
          <w:sz w:val="18"/>
        </w:rPr>
        <w:t>individual</w:t>
      </w:r>
      <w:r>
        <w:rPr>
          <w:spacing w:val="15"/>
          <w:w w:val="105"/>
          <w:sz w:val="18"/>
        </w:rPr>
        <w:t> </w:t>
      </w:r>
      <w:r>
        <w:rPr>
          <w:w w:val="105"/>
          <w:sz w:val="18"/>
        </w:rPr>
        <w:t>performance</w:t>
      </w:r>
      <w:r>
        <w:rPr>
          <w:spacing w:val="15"/>
          <w:w w:val="105"/>
          <w:sz w:val="18"/>
        </w:rPr>
        <w:t> </w:t>
      </w:r>
      <w:r>
        <w:rPr>
          <w:w w:val="105"/>
          <w:sz w:val="18"/>
        </w:rPr>
        <w:t>and</w:t>
      </w:r>
      <w:r>
        <w:rPr>
          <w:spacing w:val="16"/>
          <w:w w:val="105"/>
          <w:sz w:val="18"/>
        </w:rPr>
        <w:t> </w:t>
      </w:r>
      <w:r>
        <w:rPr>
          <w:w w:val="105"/>
          <w:sz w:val="18"/>
        </w:rPr>
        <w:t>internal</w:t>
      </w:r>
      <w:r>
        <w:rPr>
          <w:spacing w:val="15"/>
          <w:w w:val="105"/>
          <w:sz w:val="18"/>
        </w:rPr>
        <w:t> </w:t>
      </w:r>
      <w:r>
        <w:rPr>
          <w:w w:val="105"/>
          <w:sz w:val="18"/>
        </w:rPr>
        <w:t>equity;</w:t>
      </w:r>
      <w:r>
        <w:rPr>
          <w:spacing w:val="15"/>
          <w:w w:val="105"/>
          <w:sz w:val="18"/>
        </w:rPr>
        <w:t> </w:t>
      </w:r>
      <w:r>
        <w:rPr>
          <w:spacing w:val="-5"/>
          <w:w w:val="105"/>
          <w:sz w:val="18"/>
        </w:rPr>
        <w:t>and</w:t>
      </w:r>
    </w:p>
    <w:p>
      <w:pPr>
        <w:pStyle w:val="ListParagraph"/>
        <w:numPr>
          <w:ilvl w:val="2"/>
          <w:numId w:val="26"/>
        </w:numPr>
        <w:tabs>
          <w:tab w:pos="1960" w:val="left" w:leader="none"/>
        </w:tabs>
        <w:spacing w:line="259" w:lineRule="auto" w:before="128" w:after="0"/>
        <w:ind w:left="1959" w:right="1838" w:hanging="187"/>
        <w:jc w:val="left"/>
        <w:rPr>
          <w:sz w:val="18"/>
        </w:rPr>
      </w:pPr>
      <w:r>
        <w:rPr>
          <w:w w:val="105"/>
          <w:sz w:val="18"/>
        </w:rPr>
        <w:t>competitive compensation opportunities as reflected in compensation provided by our peers and other competitors for similar executive talent.</w:t>
      </w:r>
    </w:p>
    <w:p>
      <w:pPr>
        <w:pStyle w:val="BodyText"/>
        <w:spacing w:line="249" w:lineRule="auto" w:before="155"/>
        <w:ind w:left="1400" w:right="1551" w:firstLine="372"/>
      </w:pPr>
      <w:r>
        <w:rPr>
          <w:b/>
          <w:w w:val="105"/>
        </w:rPr>
        <w:t>Peer</w:t>
      </w:r>
      <w:r>
        <w:rPr>
          <w:b/>
          <w:spacing w:val="-8"/>
          <w:w w:val="105"/>
        </w:rPr>
        <w:t> </w:t>
      </w:r>
      <w:r>
        <w:rPr>
          <w:b/>
          <w:w w:val="105"/>
        </w:rPr>
        <w:t>Group</w:t>
      </w:r>
      <w:r>
        <w:rPr>
          <w:b/>
          <w:spacing w:val="-3"/>
          <w:w w:val="105"/>
        </w:rPr>
        <w:t> </w:t>
      </w:r>
      <w:r>
        <w:rPr>
          <w:b/>
          <w:w w:val="105"/>
        </w:rPr>
        <w:t>and</w:t>
      </w:r>
      <w:r>
        <w:rPr>
          <w:b/>
          <w:spacing w:val="-3"/>
          <w:w w:val="105"/>
        </w:rPr>
        <w:t> </w:t>
      </w:r>
      <w:r>
        <w:rPr>
          <w:b/>
          <w:w w:val="105"/>
        </w:rPr>
        <w:t>Market</w:t>
      </w:r>
      <w:r>
        <w:rPr>
          <w:b/>
          <w:spacing w:val="-16"/>
          <w:w w:val="105"/>
        </w:rPr>
        <w:t> </w:t>
      </w:r>
      <w:r>
        <w:rPr>
          <w:b/>
          <w:w w:val="105"/>
        </w:rPr>
        <w:t>Analysis.</w:t>
      </w:r>
      <w:r>
        <w:rPr>
          <w:b/>
          <w:spacing w:val="80"/>
          <w:w w:val="105"/>
        </w:rPr>
        <w:t> </w:t>
      </w:r>
      <w:r>
        <w:rPr>
          <w:w w:val="105"/>
        </w:rPr>
        <w:t>The Compensation Committee uses a compensation peer group to monitor the compensation practices of our primary competitors for executive talent. The Compensation Committee</w:t>
      </w:r>
      <w:r>
        <w:rPr>
          <w:spacing w:val="25"/>
          <w:w w:val="105"/>
        </w:rPr>
        <w:t> </w:t>
      </w:r>
      <w:r>
        <w:rPr>
          <w:w w:val="105"/>
        </w:rPr>
        <w:t>reviews</w:t>
      </w:r>
      <w:r>
        <w:rPr>
          <w:spacing w:val="25"/>
          <w:w w:val="105"/>
        </w:rPr>
        <w:t> </w:t>
      </w:r>
      <w:r>
        <w:rPr>
          <w:w w:val="105"/>
        </w:rPr>
        <w:t>executive</w:t>
      </w:r>
      <w:r>
        <w:rPr>
          <w:spacing w:val="25"/>
          <w:w w:val="105"/>
        </w:rPr>
        <w:t> </w:t>
      </w:r>
      <w:r>
        <w:rPr>
          <w:w w:val="105"/>
        </w:rPr>
        <w:t>pay</w:t>
      </w:r>
      <w:r>
        <w:rPr>
          <w:spacing w:val="25"/>
          <w:w w:val="105"/>
        </w:rPr>
        <w:t> </w:t>
      </w:r>
      <w:r>
        <w:rPr>
          <w:w w:val="105"/>
        </w:rPr>
        <w:t>relative</w:t>
      </w:r>
      <w:r>
        <w:rPr>
          <w:spacing w:val="25"/>
          <w:w w:val="105"/>
        </w:rPr>
        <w:t> </w:t>
      </w:r>
      <w:r>
        <w:rPr>
          <w:w w:val="105"/>
        </w:rPr>
        <w:t>to</w:t>
      </w:r>
      <w:r>
        <w:rPr>
          <w:spacing w:val="25"/>
          <w:w w:val="105"/>
        </w:rPr>
        <w:t> </w:t>
      </w:r>
      <w:r>
        <w:rPr>
          <w:w w:val="105"/>
        </w:rPr>
        <w:t>the</w:t>
      </w:r>
      <w:r>
        <w:rPr>
          <w:spacing w:val="25"/>
          <w:w w:val="105"/>
        </w:rPr>
        <w:t> </w:t>
      </w:r>
      <w:r>
        <w:rPr>
          <w:w w:val="105"/>
        </w:rPr>
        <w:t>median</w:t>
      </w:r>
      <w:r>
        <w:rPr>
          <w:spacing w:val="25"/>
          <w:w w:val="105"/>
        </w:rPr>
        <w:t> </w:t>
      </w:r>
      <w:r>
        <w:rPr>
          <w:w w:val="105"/>
        </w:rPr>
        <w:t>pay</w:t>
      </w:r>
      <w:r>
        <w:rPr>
          <w:spacing w:val="25"/>
          <w:w w:val="105"/>
        </w:rPr>
        <w:t> </w:t>
      </w:r>
      <w:r>
        <w:rPr>
          <w:w w:val="105"/>
        </w:rPr>
        <w:t>of</w:t>
      </w:r>
      <w:r>
        <w:rPr>
          <w:spacing w:val="25"/>
          <w:w w:val="105"/>
        </w:rPr>
        <w:t> </w:t>
      </w:r>
      <w:r>
        <w:rPr>
          <w:w w:val="105"/>
        </w:rPr>
        <w:t>comparable</w:t>
      </w:r>
      <w:r>
        <w:rPr>
          <w:spacing w:val="25"/>
          <w:w w:val="105"/>
        </w:rPr>
        <w:t> </w:t>
      </w:r>
      <w:r>
        <w:rPr>
          <w:w w:val="105"/>
        </w:rPr>
        <w:t>positions</w:t>
      </w:r>
      <w:r>
        <w:rPr>
          <w:spacing w:val="25"/>
          <w:w w:val="105"/>
        </w:rPr>
        <w:t> </w:t>
      </w:r>
      <w:r>
        <w:rPr>
          <w:w w:val="105"/>
        </w:rPr>
        <w:t>in</w:t>
      </w:r>
      <w:r>
        <w:rPr>
          <w:spacing w:val="25"/>
          <w:w w:val="105"/>
        </w:rPr>
        <w:t> </w:t>
      </w:r>
      <w:r>
        <w:rPr>
          <w:w w:val="105"/>
        </w:rPr>
        <w:t>peer</w:t>
      </w:r>
      <w:r>
        <w:rPr>
          <w:spacing w:val="25"/>
          <w:w w:val="105"/>
        </w:rPr>
        <w:t> </w:t>
      </w:r>
      <w:r>
        <w:rPr>
          <w:w w:val="105"/>
        </w:rPr>
        <w:t>group companies and, as appropriate, compensation survey data. The Compensation Committee’s independent compensation</w:t>
      </w:r>
      <w:r>
        <w:rPr>
          <w:spacing w:val="27"/>
          <w:w w:val="105"/>
        </w:rPr>
        <w:t> </w:t>
      </w:r>
      <w:r>
        <w:rPr>
          <w:w w:val="105"/>
        </w:rPr>
        <w:t>consultant</w:t>
      </w:r>
      <w:r>
        <w:rPr>
          <w:spacing w:val="27"/>
          <w:w w:val="105"/>
        </w:rPr>
        <w:t> </w:t>
      </w:r>
      <w:r>
        <w:rPr>
          <w:w w:val="105"/>
        </w:rPr>
        <w:t>reviews</w:t>
      </w:r>
      <w:r>
        <w:rPr>
          <w:spacing w:val="27"/>
          <w:w w:val="105"/>
        </w:rPr>
        <w:t> </w:t>
      </w:r>
      <w:r>
        <w:rPr>
          <w:w w:val="105"/>
        </w:rPr>
        <w:t>the</w:t>
      </w:r>
      <w:r>
        <w:rPr>
          <w:spacing w:val="27"/>
          <w:w w:val="105"/>
        </w:rPr>
        <w:t> </w:t>
      </w:r>
      <w:r>
        <w:rPr>
          <w:w w:val="105"/>
        </w:rPr>
        <w:t>companies</w:t>
      </w:r>
      <w:r>
        <w:rPr>
          <w:spacing w:val="27"/>
          <w:w w:val="105"/>
        </w:rPr>
        <w:t> </w:t>
      </w:r>
      <w:r>
        <w:rPr>
          <w:w w:val="105"/>
        </w:rPr>
        <w:t>in</w:t>
      </w:r>
      <w:r>
        <w:rPr>
          <w:spacing w:val="27"/>
          <w:w w:val="105"/>
        </w:rPr>
        <w:t> </w:t>
      </w:r>
      <w:r>
        <w:rPr>
          <w:w w:val="105"/>
        </w:rPr>
        <w:t>the</w:t>
      </w:r>
      <w:r>
        <w:rPr>
          <w:spacing w:val="27"/>
          <w:w w:val="105"/>
        </w:rPr>
        <w:t> </w:t>
      </w:r>
      <w:r>
        <w:rPr>
          <w:w w:val="105"/>
        </w:rPr>
        <w:t>peer</w:t>
      </w:r>
      <w:r>
        <w:rPr>
          <w:spacing w:val="27"/>
          <w:w w:val="105"/>
        </w:rPr>
        <w:t> </w:t>
      </w:r>
      <w:r>
        <w:rPr>
          <w:w w:val="105"/>
        </w:rPr>
        <w:t>group</w:t>
      </w:r>
      <w:r>
        <w:rPr>
          <w:spacing w:val="27"/>
          <w:w w:val="105"/>
        </w:rPr>
        <w:t> </w:t>
      </w:r>
      <w:r>
        <w:rPr>
          <w:w w:val="105"/>
        </w:rPr>
        <w:t>annually</w:t>
      </w:r>
      <w:r>
        <w:rPr>
          <w:spacing w:val="27"/>
          <w:w w:val="105"/>
        </w:rPr>
        <w:t> </w:t>
      </w:r>
      <w:r>
        <w:rPr>
          <w:w w:val="105"/>
        </w:rPr>
        <w:t>and</w:t>
      </w:r>
      <w:r>
        <w:rPr>
          <w:spacing w:val="27"/>
          <w:w w:val="105"/>
        </w:rPr>
        <w:t> </w:t>
      </w:r>
      <w:r>
        <w:rPr>
          <w:w w:val="105"/>
        </w:rPr>
        <w:t>proposes</w:t>
      </w:r>
      <w:r>
        <w:rPr>
          <w:spacing w:val="27"/>
          <w:w w:val="105"/>
        </w:rPr>
        <w:t> </w:t>
      </w:r>
      <w:r>
        <w:rPr>
          <w:w w:val="105"/>
        </w:rPr>
        <w:t>changes</w:t>
      </w:r>
      <w:r>
        <w:rPr>
          <w:spacing w:val="27"/>
          <w:w w:val="105"/>
        </w:rPr>
        <w:t> </w:t>
      </w:r>
      <w:r>
        <w:rPr>
          <w:w w:val="105"/>
        </w:rPr>
        <w:t>in</w:t>
      </w:r>
      <w:r>
        <w:rPr>
          <w:w w:val="105"/>
        </w:rPr>
        <w:t> response</w:t>
      </w:r>
      <w:r>
        <w:rPr>
          <w:spacing w:val="30"/>
          <w:w w:val="105"/>
        </w:rPr>
        <w:t> </w:t>
      </w:r>
      <w:r>
        <w:rPr>
          <w:w w:val="105"/>
        </w:rPr>
        <w:t>to</w:t>
      </w:r>
      <w:r>
        <w:rPr>
          <w:spacing w:val="30"/>
          <w:w w:val="105"/>
        </w:rPr>
        <w:t> </w:t>
      </w:r>
      <w:r>
        <w:rPr>
          <w:w w:val="105"/>
        </w:rPr>
        <w:t>mergers</w:t>
      </w:r>
      <w:r>
        <w:rPr>
          <w:spacing w:val="30"/>
          <w:w w:val="105"/>
        </w:rPr>
        <w:t> </w:t>
      </w:r>
      <w:r>
        <w:rPr>
          <w:w w:val="105"/>
        </w:rPr>
        <w:t>and</w:t>
      </w:r>
      <w:r>
        <w:rPr>
          <w:spacing w:val="30"/>
          <w:w w:val="105"/>
        </w:rPr>
        <w:t> </w:t>
      </w:r>
      <w:r>
        <w:rPr>
          <w:w w:val="105"/>
        </w:rPr>
        <w:t>acquisitions,</w:t>
      </w:r>
      <w:r>
        <w:rPr>
          <w:spacing w:val="30"/>
          <w:w w:val="105"/>
        </w:rPr>
        <w:t> </w:t>
      </w:r>
      <w:r>
        <w:rPr>
          <w:w w:val="105"/>
        </w:rPr>
        <w:t>significant</w:t>
      </w:r>
      <w:r>
        <w:rPr>
          <w:spacing w:val="30"/>
          <w:w w:val="105"/>
        </w:rPr>
        <w:t> </w:t>
      </w:r>
      <w:r>
        <w:rPr>
          <w:w w:val="105"/>
        </w:rPr>
        <w:t>movements</w:t>
      </w:r>
      <w:r>
        <w:rPr>
          <w:spacing w:val="30"/>
          <w:w w:val="105"/>
        </w:rPr>
        <w:t> </w:t>
      </w:r>
      <w:r>
        <w:rPr>
          <w:w w:val="105"/>
        </w:rPr>
        <w:t>in</w:t>
      </w:r>
      <w:r>
        <w:rPr>
          <w:spacing w:val="30"/>
          <w:w w:val="105"/>
        </w:rPr>
        <w:t> </w:t>
      </w:r>
      <w:r>
        <w:rPr>
          <w:w w:val="105"/>
        </w:rPr>
        <w:t>revenues</w:t>
      </w:r>
      <w:r>
        <w:rPr>
          <w:spacing w:val="30"/>
          <w:w w:val="105"/>
        </w:rPr>
        <w:t> </w:t>
      </w:r>
      <w:r>
        <w:rPr>
          <w:w w:val="105"/>
        </w:rPr>
        <w:t>or</w:t>
      </w:r>
      <w:r>
        <w:rPr>
          <w:spacing w:val="30"/>
          <w:w w:val="105"/>
        </w:rPr>
        <w:t> </w:t>
      </w:r>
      <w:r>
        <w:rPr>
          <w:w w:val="105"/>
        </w:rPr>
        <w:t>market</w:t>
      </w:r>
      <w:r>
        <w:rPr>
          <w:spacing w:val="30"/>
          <w:w w:val="105"/>
        </w:rPr>
        <w:t> </w:t>
      </w:r>
      <w:r>
        <w:rPr>
          <w:w w:val="105"/>
        </w:rPr>
        <w:t>capitalization,</w:t>
      </w:r>
      <w:r>
        <w:rPr>
          <w:spacing w:val="30"/>
          <w:w w:val="105"/>
        </w:rPr>
        <w:t> </w:t>
      </w:r>
      <w:r>
        <w:rPr>
          <w:w w:val="105"/>
        </w:rPr>
        <w:t>and revised</w:t>
      </w:r>
      <w:r>
        <w:rPr>
          <w:spacing w:val="23"/>
          <w:w w:val="105"/>
        </w:rPr>
        <w:t> </w:t>
      </w:r>
      <w:r>
        <w:rPr>
          <w:w w:val="105"/>
        </w:rPr>
        <w:t>business</w:t>
      </w:r>
      <w:r>
        <w:rPr>
          <w:spacing w:val="23"/>
          <w:w w:val="105"/>
        </w:rPr>
        <w:t> </w:t>
      </w:r>
      <w:r>
        <w:rPr>
          <w:w w:val="105"/>
        </w:rPr>
        <w:t>strategies.</w:t>
      </w:r>
      <w:r>
        <w:rPr>
          <w:spacing w:val="23"/>
          <w:w w:val="105"/>
        </w:rPr>
        <w:t> </w:t>
      </w:r>
      <w:r>
        <w:rPr>
          <w:w w:val="105"/>
        </w:rPr>
        <w:t>For</w:t>
      </w:r>
      <w:r>
        <w:rPr>
          <w:spacing w:val="23"/>
          <w:w w:val="105"/>
        </w:rPr>
        <w:t> </w:t>
      </w:r>
      <w:r>
        <w:rPr>
          <w:w w:val="105"/>
        </w:rPr>
        <w:t>the</w:t>
      </w:r>
      <w:r>
        <w:rPr>
          <w:spacing w:val="23"/>
          <w:w w:val="105"/>
        </w:rPr>
        <w:t> </w:t>
      </w:r>
      <w:r>
        <w:rPr>
          <w:w w:val="105"/>
        </w:rPr>
        <w:t>peer</w:t>
      </w:r>
      <w:r>
        <w:rPr>
          <w:spacing w:val="23"/>
          <w:w w:val="105"/>
        </w:rPr>
        <w:t> </w:t>
      </w:r>
      <w:r>
        <w:rPr>
          <w:w w:val="105"/>
        </w:rPr>
        <w:t>group</w:t>
      </w:r>
      <w:r>
        <w:rPr>
          <w:spacing w:val="23"/>
          <w:w w:val="105"/>
        </w:rPr>
        <w:t> </w:t>
      </w:r>
      <w:r>
        <w:rPr>
          <w:w w:val="105"/>
        </w:rPr>
        <w:t>developed</w:t>
      </w:r>
      <w:r>
        <w:rPr>
          <w:spacing w:val="23"/>
          <w:w w:val="105"/>
        </w:rPr>
        <w:t> </w:t>
      </w:r>
      <w:r>
        <w:rPr>
          <w:w w:val="105"/>
        </w:rPr>
        <w:t>during</w:t>
      </w:r>
      <w:r>
        <w:rPr>
          <w:spacing w:val="23"/>
          <w:w w:val="105"/>
        </w:rPr>
        <w:t> </w:t>
      </w:r>
      <w:r>
        <w:rPr>
          <w:w w:val="105"/>
        </w:rPr>
        <w:t>fiscal</w:t>
      </w:r>
      <w:r>
        <w:rPr>
          <w:spacing w:val="23"/>
          <w:w w:val="105"/>
        </w:rPr>
        <w:t> </w:t>
      </w:r>
      <w:r>
        <w:rPr>
          <w:w w:val="105"/>
        </w:rPr>
        <w:t>year</w:t>
      </w:r>
      <w:r>
        <w:rPr>
          <w:spacing w:val="23"/>
          <w:w w:val="105"/>
        </w:rPr>
        <w:t> </w:t>
      </w:r>
      <w:r>
        <w:rPr>
          <w:w w:val="105"/>
        </w:rPr>
        <w:t>2021</w:t>
      </w:r>
      <w:r>
        <w:rPr>
          <w:spacing w:val="23"/>
          <w:w w:val="105"/>
        </w:rPr>
        <w:t> </w:t>
      </w:r>
      <w:r>
        <w:rPr>
          <w:w w:val="105"/>
        </w:rPr>
        <w:t>and</w:t>
      </w:r>
      <w:r>
        <w:rPr>
          <w:spacing w:val="23"/>
          <w:w w:val="105"/>
        </w:rPr>
        <w:t> </w:t>
      </w:r>
      <w:r>
        <w:rPr>
          <w:w w:val="105"/>
        </w:rPr>
        <w:t>used</w:t>
      </w:r>
      <w:r>
        <w:rPr>
          <w:spacing w:val="23"/>
          <w:w w:val="105"/>
        </w:rPr>
        <w:t> </w:t>
      </w:r>
      <w:r>
        <w:rPr>
          <w:w w:val="105"/>
        </w:rPr>
        <w:t>as</w:t>
      </w:r>
      <w:r>
        <w:rPr>
          <w:spacing w:val="23"/>
          <w:w w:val="105"/>
        </w:rPr>
        <w:t> </w:t>
      </w:r>
      <w:r>
        <w:rPr>
          <w:w w:val="105"/>
        </w:rPr>
        <w:t>context</w:t>
      </w:r>
      <w:r>
        <w:rPr>
          <w:spacing w:val="23"/>
          <w:w w:val="105"/>
        </w:rPr>
        <w:t> </w:t>
      </w:r>
      <w:r>
        <w:rPr>
          <w:w w:val="105"/>
        </w:rPr>
        <w:t>for fiscal year 2022 pay decisions, the Compensation Committee approved the removal of KEMET Corporation (which was acquired) and Kimball Electronics (due to the size and nature of its business) from the prior year</w:t>
      </w:r>
      <w:r>
        <w:rPr>
          <w:spacing w:val="40"/>
          <w:w w:val="105"/>
        </w:rPr>
        <w:t> </w:t>
      </w:r>
      <w:r>
        <w:rPr>
          <w:w w:val="105"/>
        </w:rPr>
        <w:t>peer group and the addition of Accuray (which has a relatively similar size and business model). The peer</w:t>
      </w:r>
      <w:r>
        <w:rPr>
          <w:spacing w:val="80"/>
          <w:w w:val="105"/>
        </w:rPr>
        <w:t> </w:t>
      </w:r>
      <w:r>
        <w:rPr>
          <w:w w:val="105"/>
        </w:rPr>
        <w:t>group companies compete in the healthcare equipment and supplies, life sciences tools and services, and</w:t>
      </w:r>
      <w:r>
        <w:rPr>
          <w:spacing w:val="40"/>
          <w:w w:val="105"/>
        </w:rPr>
        <w:t> </w:t>
      </w:r>
      <w:r>
        <w:rPr>
          <w:w w:val="105"/>
        </w:rPr>
        <w:t>electronic</w:t>
      </w:r>
      <w:r>
        <w:rPr>
          <w:spacing w:val="35"/>
          <w:w w:val="105"/>
        </w:rPr>
        <w:t> </w:t>
      </w:r>
      <w:r>
        <w:rPr>
          <w:w w:val="105"/>
        </w:rPr>
        <w:t>equipment</w:t>
      </w:r>
      <w:r>
        <w:rPr>
          <w:spacing w:val="35"/>
          <w:w w:val="105"/>
        </w:rPr>
        <w:t> </w:t>
      </w:r>
      <w:r>
        <w:rPr>
          <w:w w:val="105"/>
        </w:rPr>
        <w:t>instruments</w:t>
      </w:r>
      <w:r>
        <w:rPr>
          <w:spacing w:val="35"/>
          <w:w w:val="105"/>
        </w:rPr>
        <w:t> </w:t>
      </w:r>
      <w:r>
        <w:rPr>
          <w:w w:val="105"/>
        </w:rPr>
        <w:t>and</w:t>
      </w:r>
      <w:r>
        <w:rPr>
          <w:spacing w:val="35"/>
          <w:w w:val="105"/>
        </w:rPr>
        <w:t> </w:t>
      </w:r>
      <w:r>
        <w:rPr>
          <w:w w:val="105"/>
        </w:rPr>
        <w:t>components</w:t>
      </w:r>
      <w:r>
        <w:rPr>
          <w:spacing w:val="35"/>
          <w:w w:val="105"/>
        </w:rPr>
        <w:t> </w:t>
      </w:r>
      <w:r>
        <w:rPr>
          <w:w w:val="105"/>
        </w:rPr>
        <w:t>industries</w:t>
      </w:r>
      <w:r>
        <w:rPr>
          <w:spacing w:val="35"/>
          <w:w w:val="105"/>
        </w:rPr>
        <w:t> </w:t>
      </w:r>
      <w:r>
        <w:rPr>
          <w:w w:val="105"/>
        </w:rPr>
        <w:t>that</w:t>
      </w:r>
      <w:r>
        <w:rPr>
          <w:spacing w:val="35"/>
          <w:w w:val="105"/>
        </w:rPr>
        <w:t> </w:t>
      </w:r>
      <w:r>
        <w:rPr>
          <w:w w:val="105"/>
        </w:rPr>
        <w:t>the</w:t>
      </w:r>
      <w:r>
        <w:rPr>
          <w:spacing w:val="35"/>
          <w:w w:val="105"/>
        </w:rPr>
        <w:t> </w:t>
      </w:r>
      <w:r>
        <w:rPr>
          <w:w w:val="105"/>
        </w:rPr>
        <w:t>Compensation</w:t>
      </w:r>
      <w:r>
        <w:rPr>
          <w:spacing w:val="35"/>
          <w:w w:val="105"/>
        </w:rPr>
        <w:t> </w:t>
      </w:r>
      <w:r>
        <w:rPr>
          <w:w w:val="105"/>
        </w:rPr>
        <w:t>Committee</w:t>
      </w:r>
      <w:r>
        <w:rPr>
          <w:spacing w:val="35"/>
          <w:w w:val="105"/>
        </w:rPr>
        <w:t> </w:t>
      </w:r>
      <w:r>
        <w:rPr>
          <w:w w:val="105"/>
        </w:rPr>
        <w:t>believes reflect the competitive market for executive talent similar to that required by the Company.</w:t>
      </w:r>
    </w:p>
    <w:p>
      <w:pPr>
        <w:pStyle w:val="BodyText"/>
        <w:tabs>
          <w:tab w:pos="5761" w:val="left" w:leader="none"/>
        </w:tabs>
        <w:spacing w:before="151"/>
        <w:ind w:left="1772"/>
      </w:pPr>
      <w:r>
        <w:rPr>
          <w:w w:val="105"/>
        </w:rPr>
        <w:t>Accuray</w:t>
      </w:r>
      <w:r>
        <w:rPr>
          <w:spacing w:val="12"/>
          <w:w w:val="105"/>
        </w:rPr>
        <w:t> </w:t>
      </w:r>
      <w:r>
        <w:rPr>
          <w:spacing w:val="-2"/>
          <w:w w:val="105"/>
        </w:rPr>
        <w:t>Incorporated*</w:t>
      </w:r>
      <w:r>
        <w:rPr/>
        <w:tab/>
      </w:r>
      <w:r>
        <w:rPr>
          <w:w w:val="105"/>
        </w:rPr>
        <w:t>Methode</w:t>
      </w:r>
      <w:r>
        <w:rPr>
          <w:spacing w:val="11"/>
          <w:w w:val="105"/>
        </w:rPr>
        <w:t> </w:t>
      </w:r>
      <w:r>
        <w:rPr>
          <w:spacing w:val="-2"/>
          <w:w w:val="105"/>
        </w:rPr>
        <w:t>Elec.</w:t>
      </w:r>
    </w:p>
    <w:p>
      <w:pPr>
        <w:pStyle w:val="BodyText"/>
        <w:tabs>
          <w:tab w:pos="5761" w:val="left" w:leader="none"/>
        </w:tabs>
        <w:spacing w:before="59"/>
        <w:ind w:left="1772"/>
      </w:pPr>
      <w:r>
        <w:rPr>
          <w:w w:val="105"/>
        </w:rPr>
        <w:t>Angio</w:t>
      </w:r>
      <w:r>
        <w:rPr>
          <w:spacing w:val="12"/>
          <w:w w:val="105"/>
        </w:rPr>
        <w:t> </w:t>
      </w:r>
      <w:r>
        <w:rPr>
          <w:w w:val="105"/>
        </w:rPr>
        <w:t>Dynamics,</w:t>
      </w:r>
      <w:r>
        <w:rPr>
          <w:spacing w:val="13"/>
          <w:w w:val="105"/>
        </w:rPr>
        <w:t> </w:t>
      </w:r>
      <w:r>
        <w:rPr>
          <w:spacing w:val="-4"/>
          <w:w w:val="105"/>
        </w:rPr>
        <w:t>Inc.</w:t>
      </w:r>
      <w:r>
        <w:rPr/>
        <w:tab/>
      </w:r>
      <w:r>
        <w:rPr>
          <w:w w:val="105"/>
        </w:rPr>
        <w:t>MTS</w:t>
      </w:r>
      <w:r>
        <w:rPr>
          <w:spacing w:val="9"/>
          <w:w w:val="105"/>
        </w:rPr>
        <w:t> </w:t>
      </w:r>
      <w:r>
        <w:rPr>
          <w:w w:val="105"/>
        </w:rPr>
        <w:t>Systems</w:t>
      </w:r>
      <w:r>
        <w:rPr>
          <w:spacing w:val="9"/>
          <w:w w:val="105"/>
        </w:rPr>
        <w:t> </w:t>
      </w:r>
      <w:r>
        <w:rPr>
          <w:spacing w:val="-2"/>
          <w:w w:val="105"/>
        </w:rPr>
        <w:t>Corporation</w:t>
      </w:r>
    </w:p>
    <w:p>
      <w:pPr>
        <w:pStyle w:val="BodyText"/>
        <w:tabs>
          <w:tab w:pos="5761" w:val="left" w:leader="none"/>
        </w:tabs>
        <w:spacing w:before="72"/>
        <w:ind w:left="1772"/>
      </w:pPr>
      <w:r>
        <w:rPr>
          <w:w w:val="105"/>
        </w:rPr>
        <w:t>CONMED</w:t>
      </w:r>
      <w:r>
        <w:rPr>
          <w:spacing w:val="6"/>
          <w:w w:val="105"/>
        </w:rPr>
        <w:t> </w:t>
      </w:r>
      <w:r>
        <w:rPr>
          <w:spacing w:val="-2"/>
          <w:w w:val="105"/>
        </w:rPr>
        <w:t>Corporation</w:t>
      </w:r>
      <w:r>
        <w:rPr/>
        <w:tab/>
      </w:r>
      <w:r>
        <w:rPr>
          <w:w w:val="105"/>
        </w:rPr>
        <w:t>Natus</w:t>
      </w:r>
      <w:r>
        <w:rPr>
          <w:spacing w:val="11"/>
          <w:w w:val="105"/>
        </w:rPr>
        <w:t> </w:t>
      </w:r>
      <w:r>
        <w:rPr>
          <w:w w:val="105"/>
        </w:rPr>
        <w:t>Medical</w:t>
      </w:r>
      <w:r>
        <w:rPr>
          <w:spacing w:val="12"/>
          <w:w w:val="105"/>
        </w:rPr>
        <w:t> </w:t>
      </w:r>
      <w:r>
        <w:rPr>
          <w:spacing w:val="-2"/>
          <w:w w:val="105"/>
        </w:rPr>
        <w:t>Incorporated</w:t>
      </w:r>
    </w:p>
    <w:p>
      <w:pPr>
        <w:pStyle w:val="BodyText"/>
        <w:tabs>
          <w:tab w:pos="5761" w:val="left" w:leader="none"/>
        </w:tabs>
        <w:spacing w:before="73"/>
        <w:ind w:left="1772"/>
      </w:pPr>
      <w:r>
        <w:rPr>
          <w:w w:val="105"/>
        </w:rPr>
        <w:t>CTS</w:t>
      </w:r>
      <w:r>
        <w:rPr>
          <w:spacing w:val="6"/>
          <w:w w:val="105"/>
        </w:rPr>
        <w:t> </w:t>
      </w:r>
      <w:r>
        <w:rPr>
          <w:spacing w:val="-2"/>
          <w:w w:val="105"/>
        </w:rPr>
        <w:t>Corporation</w:t>
      </w:r>
      <w:r>
        <w:rPr/>
        <w:tab/>
      </w:r>
      <w:r>
        <w:rPr>
          <w:w w:val="105"/>
        </w:rPr>
        <w:t>Orthofix</w:t>
      </w:r>
      <w:r>
        <w:rPr>
          <w:spacing w:val="14"/>
          <w:w w:val="105"/>
        </w:rPr>
        <w:t> </w:t>
      </w:r>
      <w:r>
        <w:rPr>
          <w:w w:val="105"/>
        </w:rPr>
        <w:t>Medical</w:t>
      </w:r>
      <w:r>
        <w:rPr>
          <w:spacing w:val="14"/>
          <w:w w:val="105"/>
        </w:rPr>
        <w:t> </w:t>
      </w:r>
      <w:r>
        <w:rPr>
          <w:spacing w:val="-4"/>
          <w:w w:val="105"/>
        </w:rPr>
        <w:t>Inc.</w:t>
      </w:r>
    </w:p>
    <w:p>
      <w:pPr>
        <w:pStyle w:val="BodyText"/>
        <w:tabs>
          <w:tab w:pos="5761" w:val="left" w:leader="none"/>
        </w:tabs>
        <w:spacing w:before="72"/>
        <w:ind w:left="1772"/>
      </w:pPr>
      <w:r>
        <w:rPr>
          <w:w w:val="105"/>
        </w:rPr>
        <w:t>Cryolife</w:t>
      </w:r>
      <w:r>
        <w:rPr>
          <w:spacing w:val="15"/>
          <w:w w:val="105"/>
        </w:rPr>
        <w:t> </w:t>
      </w:r>
      <w:r>
        <w:rPr>
          <w:spacing w:val="-4"/>
          <w:w w:val="105"/>
        </w:rPr>
        <w:t>Inc.</w:t>
      </w:r>
      <w:r>
        <w:rPr/>
        <w:tab/>
      </w:r>
      <w:r>
        <w:rPr>
          <w:w w:val="105"/>
        </w:rPr>
        <w:t>OSI</w:t>
      </w:r>
      <w:r>
        <w:rPr>
          <w:spacing w:val="10"/>
          <w:w w:val="105"/>
        </w:rPr>
        <w:t> </w:t>
      </w:r>
      <w:r>
        <w:rPr>
          <w:w w:val="105"/>
        </w:rPr>
        <w:t>Systems,</w:t>
      </w:r>
      <w:r>
        <w:rPr>
          <w:spacing w:val="11"/>
          <w:w w:val="105"/>
        </w:rPr>
        <w:t> </w:t>
      </w:r>
      <w:r>
        <w:rPr>
          <w:spacing w:val="-4"/>
          <w:w w:val="105"/>
        </w:rPr>
        <w:t>Inc.</w:t>
      </w:r>
    </w:p>
    <w:p>
      <w:pPr>
        <w:pStyle w:val="BodyText"/>
        <w:tabs>
          <w:tab w:pos="5761" w:val="left" w:leader="none"/>
        </w:tabs>
        <w:spacing w:before="73"/>
        <w:ind w:left="1772"/>
      </w:pPr>
      <w:r>
        <w:rPr>
          <w:w w:val="105"/>
        </w:rPr>
        <w:t>Lantheus</w:t>
      </w:r>
      <w:r>
        <w:rPr>
          <w:spacing w:val="15"/>
          <w:w w:val="105"/>
        </w:rPr>
        <w:t> </w:t>
      </w:r>
      <w:r>
        <w:rPr>
          <w:w w:val="105"/>
        </w:rPr>
        <w:t>Holdings,</w:t>
      </w:r>
      <w:r>
        <w:rPr>
          <w:spacing w:val="16"/>
          <w:w w:val="105"/>
        </w:rPr>
        <w:t> </w:t>
      </w:r>
      <w:r>
        <w:rPr>
          <w:spacing w:val="-4"/>
          <w:w w:val="105"/>
        </w:rPr>
        <w:t>Inc.</w:t>
      </w:r>
      <w:r>
        <w:rPr/>
        <w:tab/>
      </w:r>
      <w:r>
        <w:rPr>
          <w:w w:val="105"/>
        </w:rPr>
        <w:t>Rogers</w:t>
      </w:r>
      <w:r>
        <w:rPr>
          <w:spacing w:val="11"/>
          <w:w w:val="105"/>
        </w:rPr>
        <w:t> </w:t>
      </w:r>
      <w:r>
        <w:rPr>
          <w:spacing w:val="-2"/>
          <w:w w:val="105"/>
        </w:rPr>
        <w:t>Corporation</w:t>
      </w:r>
    </w:p>
    <w:p>
      <w:pPr>
        <w:pStyle w:val="BodyText"/>
        <w:tabs>
          <w:tab w:pos="5761" w:val="left" w:leader="none"/>
        </w:tabs>
        <w:spacing w:line="324" w:lineRule="auto" w:before="73"/>
        <w:ind w:left="1772" w:right="3678"/>
      </w:pPr>
      <w:r>
        <w:rPr>
          <w:w w:val="105"/>
        </w:rPr>
        <w:t>Luminex Corporation</w:t>
      </w:r>
      <w:r>
        <w:rPr/>
        <w:tab/>
      </w:r>
      <w:r>
        <w:rPr>
          <w:w w:val="105"/>
        </w:rPr>
        <w:t>Vishay Precision Group Merit Medical Systems, Inc.</w:t>
      </w:r>
    </w:p>
    <w:p>
      <w:pPr>
        <w:pStyle w:val="BodyText"/>
        <w:spacing w:before="8"/>
        <w:rPr>
          <w:sz w:val="13"/>
        </w:rPr>
      </w:pPr>
      <w:r>
        <w:rPr/>
        <w:pict>
          <v:rect style="position:absolute;margin-left:94.006287pt;margin-top:9.111869pt;width:100.654902pt;height:.698992pt;mso-position-horizontal-relative:page;mso-position-vertical-relative:paragraph;z-index:-15686656;mso-wrap-distance-left:0;mso-wrap-distance-right:0" id="docshape295" filled="true" fillcolor="#000000" stroked="false">
            <v:fill type="solid"/>
            <w10:wrap type="topAndBottom"/>
          </v:rect>
        </w:pict>
      </w:r>
    </w:p>
    <w:p>
      <w:pPr>
        <w:pStyle w:val="BodyText"/>
        <w:tabs>
          <w:tab w:pos="1772" w:val="left" w:leader="none"/>
        </w:tabs>
        <w:spacing w:before="153"/>
        <w:ind w:left="1400"/>
      </w:pPr>
      <w:r>
        <w:rPr>
          <w:spacing w:val="-10"/>
          <w:w w:val="105"/>
        </w:rPr>
        <w:t>*</w:t>
      </w:r>
      <w:r>
        <w:rPr/>
        <w:tab/>
      </w:r>
      <w:r>
        <w:rPr>
          <w:w w:val="105"/>
        </w:rPr>
        <w:t>New</w:t>
      </w:r>
      <w:r>
        <w:rPr>
          <w:spacing w:val="7"/>
          <w:w w:val="105"/>
        </w:rPr>
        <w:t> </w:t>
      </w:r>
      <w:r>
        <w:rPr>
          <w:w w:val="105"/>
        </w:rPr>
        <w:t>to</w:t>
      </w:r>
      <w:r>
        <w:rPr>
          <w:spacing w:val="8"/>
          <w:w w:val="105"/>
        </w:rPr>
        <w:t> </w:t>
      </w:r>
      <w:r>
        <w:rPr>
          <w:w w:val="105"/>
        </w:rPr>
        <w:t>the</w:t>
      </w:r>
      <w:r>
        <w:rPr>
          <w:spacing w:val="8"/>
          <w:w w:val="105"/>
        </w:rPr>
        <w:t> </w:t>
      </w:r>
      <w:r>
        <w:rPr>
          <w:w w:val="105"/>
        </w:rPr>
        <w:t>peer</w:t>
      </w:r>
      <w:r>
        <w:rPr>
          <w:spacing w:val="7"/>
          <w:w w:val="105"/>
        </w:rPr>
        <w:t> </w:t>
      </w:r>
      <w:r>
        <w:rPr>
          <w:spacing w:val="-2"/>
          <w:w w:val="105"/>
        </w:rPr>
        <w:t>group.</w:t>
      </w:r>
    </w:p>
    <w:p>
      <w:pPr>
        <w:pStyle w:val="BodyText"/>
        <w:spacing w:before="157"/>
        <w:ind w:left="142" w:right="493"/>
        <w:jc w:val="center"/>
      </w:pPr>
      <w:r>
        <w:rPr>
          <w:w w:val="105"/>
        </w:rPr>
        <w:t>At</w:t>
      </w:r>
      <w:r>
        <w:rPr>
          <w:spacing w:val="9"/>
          <w:w w:val="105"/>
        </w:rPr>
        <w:t> </w:t>
      </w:r>
      <w:r>
        <w:rPr>
          <w:w w:val="105"/>
        </w:rPr>
        <w:t>the</w:t>
      </w:r>
      <w:r>
        <w:rPr>
          <w:spacing w:val="10"/>
          <w:w w:val="105"/>
        </w:rPr>
        <w:t> </w:t>
      </w:r>
      <w:r>
        <w:rPr>
          <w:w w:val="105"/>
        </w:rPr>
        <w:t>time</w:t>
      </w:r>
      <w:r>
        <w:rPr>
          <w:spacing w:val="10"/>
          <w:w w:val="105"/>
        </w:rPr>
        <w:t> </w:t>
      </w:r>
      <w:r>
        <w:rPr>
          <w:w w:val="105"/>
        </w:rPr>
        <w:t>the</w:t>
      </w:r>
      <w:r>
        <w:rPr>
          <w:spacing w:val="9"/>
          <w:w w:val="105"/>
        </w:rPr>
        <w:t> </w:t>
      </w:r>
      <w:r>
        <w:rPr>
          <w:w w:val="105"/>
        </w:rPr>
        <w:t>peer</w:t>
      </w:r>
      <w:r>
        <w:rPr>
          <w:spacing w:val="10"/>
          <w:w w:val="105"/>
        </w:rPr>
        <w:t> </w:t>
      </w:r>
      <w:r>
        <w:rPr>
          <w:w w:val="105"/>
        </w:rPr>
        <w:t>group</w:t>
      </w:r>
      <w:r>
        <w:rPr>
          <w:spacing w:val="10"/>
          <w:w w:val="105"/>
        </w:rPr>
        <w:t> </w:t>
      </w:r>
      <w:r>
        <w:rPr>
          <w:w w:val="105"/>
        </w:rPr>
        <w:t>was</w:t>
      </w:r>
      <w:r>
        <w:rPr>
          <w:spacing w:val="9"/>
          <w:w w:val="105"/>
        </w:rPr>
        <w:t> </w:t>
      </w:r>
      <w:r>
        <w:rPr>
          <w:w w:val="105"/>
        </w:rPr>
        <w:t>selected,</w:t>
      </w:r>
      <w:r>
        <w:rPr>
          <w:spacing w:val="10"/>
          <w:w w:val="105"/>
        </w:rPr>
        <w:t> </w:t>
      </w:r>
      <w:r>
        <w:rPr>
          <w:w w:val="105"/>
        </w:rPr>
        <w:t>we</w:t>
      </w:r>
      <w:r>
        <w:rPr>
          <w:spacing w:val="10"/>
          <w:w w:val="105"/>
        </w:rPr>
        <w:t> </w:t>
      </w:r>
      <w:r>
        <w:rPr>
          <w:w w:val="105"/>
        </w:rPr>
        <w:t>had</w:t>
      </w:r>
      <w:r>
        <w:rPr>
          <w:spacing w:val="9"/>
          <w:w w:val="105"/>
        </w:rPr>
        <w:t> </w:t>
      </w:r>
      <w:r>
        <w:rPr>
          <w:w w:val="105"/>
        </w:rPr>
        <w:t>annual</w:t>
      </w:r>
      <w:r>
        <w:rPr>
          <w:spacing w:val="10"/>
          <w:w w:val="105"/>
        </w:rPr>
        <w:t> </w:t>
      </w:r>
      <w:r>
        <w:rPr>
          <w:w w:val="105"/>
        </w:rPr>
        <w:t>revenue</w:t>
      </w:r>
      <w:r>
        <w:rPr>
          <w:spacing w:val="10"/>
          <w:w w:val="105"/>
        </w:rPr>
        <w:t> </w:t>
      </w:r>
      <w:r>
        <w:rPr>
          <w:w w:val="105"/>
        </w:rPr>
        <w:t>(based</w:t>
      </w:r>
      <w:r>
        <w:rPr>
          <w:spacing w:val="9"/>
          <w:w w:val="105"/>
        </w:rPr>
        <w:t> </w:t>
      </w:r>
      <w:r>
        <w:rPr>
          <w:w w:val="105"/>
        </w:rPr>
        <w:t>on</w:t>
      </w:r>
      <w:r>
        <w:rPr>
          <w:spacing w:val="10"/>
          <w:w w:val="105"/>
        </w:rPr>
        <w:t> </w:t>
      </w:r>
      <w:r>
        <w:rPr>
          <w:w w:val="105"/>
        </w:rPr>
        <w:t>the</w:t>
      </w:r>
      <w:r>
        <w:rPr>
          <w:spacing w:val="10"/>
          <w:w w:val="105"/>
        </w:rPr>
        <w:t> </w:t>
      </w:r>
      <w:r>
        <w:rPr>
          <w:w w:val="105"/>
        </w:rPr>
        <w:t>most</w:t>
      </w:r>
      <w:r>
        <w:rPr>
          <w:spacing w:val="10"/>
          <w:w w:val="105"/>
        </w:rPr>
        <w:t> </w:t>
      </w:r>
      <w:r>
        <w:rPr>
          <w:w w:val="105"/>
        </w:rPr>
        <w:t>recent</w:t>
      </w:r>
      <w:r>
        <w:rPr>
          <w:spacing w:val="9"/>
          <w:w w:val="105"/>
        </w:rPr>
        <w:t> </w:t>
      </w:r>
      <w:r>
        <w:rPr>
          <w:spacing w:val="-4"/>
          <w:w w:val="105"/>
        </w:rPr>
        <w:t>four</w:t>
      </w:r>
    </w:p>
    <w:p>
      <w:pPr>
        <w:pStyle w:val="BodyText"/>
        <w:spacing w:line="259" w:lineRule="auto" w:before="2"/>
        <w:ind w:left="1400" w:right="1551"/>
      </w:pPr>
      <w:r>
        <w:rPr>
          <w:w w:val="105"/>
        </w:rPr>
        <w:t>quarters) and market capitalization (based on the last fiscal year average) near the median of the peer group.</w:t>
      </w:r>
      <w:r>
        <w:rPr>
          <w:spacing w:val="40"/>
          <w:w w:val="105"/>
        </w:rPr>
        <w:t> </w:t>
      </w:r>
      <w:r>
        <w:rPr>
          <w:w w:val="105"/>
        </w:rPr>
        <w:t>Further detail on the peer group is as follows:</w:t>
      </w:r>
    </w:p>
    <w:p>
      <w:pPr>
        <w:spacing w:before="141" w:after="58"/>
        <w:ind w:left="0" w:right="2224" w:firstLine="0"/>
        <w:jc w:val="right"/>
        <w:rPr>
          <w:b/>
          <w:sz w:val="15"/>
        </w:rPr>
      </w:pPr>
      <w:r>
        <w:rPr>
          <w:b/>
          <w:spacing w:val="-4"/>
          <w:sz w:val="15"/>
        </w:rPr>
        <w:t>Peer</w:t>
      </w:r>
      <w:r>
        <w:rPr>
          <w:b/>
          <w:spacing w:val="-5"/>
          <w:sz w:val="15"/>
        </w:rPr>
        <w:t> </w:t>
      </w:r>
      <w:r>
        <w:rPr>
          <w:b/>
          <w:spacing w:val="-2"/>
          <w:sz w:val="15"/>
        </w:rPr>
        <w:t>Group</w:t>
      </w:r>
    </w:p>
    <w:tbl>
      <w:tblPr>
        <w:tblW w:w="0" w:type="auto"/>
        <w:jc w:val="left"/>
        <w:tblInd w:w="1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7"/>
        <w:gridCol w:w="224"/>
        <w:gridCol w:w="364"/>
        <w:gridCol w:w="224"/>
        <w:gridCol w:w="280"/>
        <w:gridCol w:w="224"/>
        <w:gridCol w:w="476"/>
        <w:gridCol w:w="224"/>
        <w:gridCol w:w="424"/>
      </w:tblGrid>
      <w:tr>
        <w:trPr>
          <w:trHeight w:val="264" w:hRule="atLeast"/>
        </w:trPr>
        <w:tc>
          <w:tcPr>
            <w:tcW w:w="5317" w:type="dxa"/>
            <w:tcBorders>
              <w:bottom w:val="single" w:sz="6" w:space="0" w:color="000000"/>
            </w:tcBorders>
          </w:tcPr>
          <w:p>
            <w:pPr>
              <w:pStyle w:val="TableParagraph"/>
              <w:spacing w:before="41"/>
              <w:rPr>
                <w:b/>
                <w:sz w:val="15"/>
              </w:rPr>
            </w:pPr>
            <w:r>
              <w:rPr>
                <w:b/>
                <w:spacing w:val="-5"/>
                <w:sz w:val="15"/>
              </w:rPr>
              <w:t>Company</w:t>
            </w:r>
            <w:r>
              <w:rPr>
                <w:b/>
                <w:spacing w:val="3"/>
                <w:sz w:val="15"/>
              </w:rPr>
              <w:t> </w:t>
            </w:r>
            <w:r>
              <w:rPr>
                <w:b/>
                <w:spacing w:val="-2"/>
                <w:sz w:val="15"/>
              </w:rPr>
              <w:t>Scope</w:t>
            </w:r>
          </w:p>
        </w:tc>
        <w:tc>
          <w:tcPr>
            <w:tcW w:w="224" w:type="dxa"/>
          </w:tcPr>
          <w:p>
            <w:pPr>
              <w:pStyle w:val="TableParagraph"/>
              <w:rPr>
                <w:sz w:val="18"/>
              </w:rPr>
            </w:pPr>
          </w:p>
        </w:tc>
        <w:tc>
          <w:tcPr>
            <w:tcW w:w="364" w:type="dxa"/>
            <w:tcBorders>
              <w:bottom w:val="single" w:sz="6" w:space="0" w:color="000000"/>
            </w:tcBorders>
          </w:tcPr>
          <w:p>
            <w:pPr>
              <w:pStyle w:val="TableParagraph"/>
              <w:spacing w:before="41"/>
              <w:rPr>
                <w:b/>
                <w:sz w:val="15"/>
              </w:rPr>
            </w:pPr>
            <w:r>
              <w:rPr>
                <w:b/>
                <w:spacing w:val="-9"/>
                <w:sz w:val="15"/>
              </w:rPr>
              <w:t>Varex</w:t>
            </w:r>
          </w:p>
        </w:tc>
        <w:tc>
          <w:tcPr>
            <w:tcW w:w="224" w:type="dxa"/>
          </w:tcPr>
          <w:p>
            <w:pPr>
              <w:pStyle w:val="TableParagraph"/>
              <w:rPr>
                <w:sz w:val="18"/>
              </w:rPr>
            </w:pPr>
          </w:p>
        </w:tc>
        <w:tc>
          <w:tcPr>
            <w:tcW w:w="280" w:type="dxa"/>
            <w:tcBorders>
              <w:top w:val="single" w:sz="6" w:space="0" w:color="000000"/>
              <w:bottom w:val="single" w:sz="6" w:space="0" w:color="000000"/>
            </w:tcBorders>
          </w:tcPr>
          <w:p>
            <w:pPr>
              <w:pStyle w:val="TableParagraph"/>
              <w:spacing w:before="41"/>
              <w:ind w:left="1" w:right="1"/>
              <w:jc w:val="center"/>
              <w:rPr>
                <w:b/>
                <w:sz w:val="15"/>
              </w:rPr>
            </w:pPr>
            <w:r>
              <w:rPr>
                <w:b/>
                <w:spacing w:val="-5"/>
                <w:sz w:val="15"/>
              </w:rPr>
              <w:t>25P</w:t>
            </w:r>
          </w:p>
        </w:tc>
        <w:tc>
          <w:tcPr>
            <w:tcW w:w="224" w:type="dxa"/>
            <w:tcBorders>
              <w:top w:val="single" w:sz="6" w:space="0" w:color="000000"/>
            </w:tcBorders>
          </w:tcPr>
          <w:p>
            <w:pPr>
              <w:pStyle w:val="TableParagraph"/>
              <w:rPr>
                <w:sz w:val="18"/>
              </w:rPr>
            </w:pPr>
          </w:p>
        </w:tc>
        <w:tc>
          <w:tcPr>
            <w:tcW w:w="476" w:type="dxa"/>
            <w:tcBorders>
              <w:top w:val="single" w:sz="6" w:space="0" w:color="000000"/>
              <w:bottom w:val="single" w:sz="6" w:space="0" w:color="000000"/>
            </w:tcBorders>
          </w:tcPr>
          <w:p>
            <w:pPr>
              <w:pStyle w:val="TableParagraph"/>
              <w:spacing w:before="41"/>
              <w:ind w:left="1"/>
              <w:jc w:val="center"/>
              <w:rPr>
                <w:b/>
                <w:sz w:val="15"/>
              </w:rPr>
            </w:pPr>
            <w:r>
              <w:rPr>
                <w:b/>
                <w:spacing w:val="-6"/>
                <w:sz w:val="15"/>
              </w:rPr>
              <w:t>Median</w:t>
            </w:r>
          </w:p>
        </w:tc>
        <w:tc>
          <w:tcPr>
            <w:tcW w:w="224" w:type="dxa"/>
            <w:tcBorders>
              <w:top w:val="single" w:sz="6" w:space="0" w:color="000000"/>
            </w:tcBorders>
          </w:tcPr>
          <w:p>
            <w:pPr>
              <w:pStyle w:val="TableParagraph"/>
              <w:rPr>
                <w:sz w:val="18"/>
              </w:rPr>
            </w:pPr>
          </w:p>
        </w:tc>
        <w:tc>
          <w:tcPr>
            <w:tcW w:w="424" w:type="dxa"/>
            <w:tcBorders>
              <w:top w:val="single" w:sz="6" w:space="0" w:color="000000"/>
              <w:bottom w:val="single" w:sz="6" w:space="0" w:color="000000"/>
            </w:tcBorders>
          </w:tcPr>
          <w:p>
            <w:pPr>
              <w:pStyle w:val="TableParagraph"/>
              <w:spacing w:before="41"/>
              <w:ind w:left="94"/>
              <w:rPr>
                <w:b/>
                <w:sz w:val="15"/>
              </w:rPr>
            </w:pPr>
            <w:r>
              <w:rPr>
                <w:b/>
                <w:spacing w:val="-5"/>
                <w:sz w:val="15"/>
              </w:rPr>
              <w:t>75P</w:t>
            </w:r>
          </w:p>
        </w:tc>
      </w:tr>
      <w:tr>
        <w:trPr>
          <w:trHeight w:val="286" w:hRule="atLeast"/>
        </w:trPr>
        <w:tc>
          <w:tcPr>
            <w:tcW w:w="5317" w:type="dxa"/>
            <w:tcBorders>
              <w:top w:val="single" w:sz="6" w:space="0" w:color="000000"/>
            </w:tcBorders>
          </w:tcPr>
          <w:p>
            <w:pPr>
              <w:pStyle w:val="TableParagraph"/>
              <w:spacing w:before="41"/>
              <w:rPr>
                <w:sz w:val="18"/>
              </w:rPr>
            </w:pPr>
            <w:r>
              <w:rPr>
                <w:w w:val="105"/>
                <w:sz w:val="18"/>
              </w:rPr>
              <w:t>Revenue</w:t>
            </w:r>
            <w:r>
              <w:rPr>
                <w:spacing w:val="11"/>
                <w:w w:val="105"/>
                <w:sz w:val="18"/>
              </w:rPr>
              <w:t> </w:t>
            </w:r>
            <w:r>
              <w:rPr>
                <w:w w:val="105"/>
                <w:sz w:val="18"/>
              </w:rPr>
              <w:t>($M)</w:t>
            </w:r>
            <w:r>
              <w:rPr>
                <w:spacing w:val="11"/>
                <w:w w:val="105"/>
                <w:sz w:val="18"/>
              </w:rPr>
              <w:t> </w:t>
            </w:r>
            <w:r>
              <w:rPr>
                <w:w w:val="105"/>
                <w:sz w:val="18"/>
              </w:rPr>
              <w:t>(trailing</w:t>
            </w:r>
            <w:r>
              <w:rPr>
                <w:spacing w:val="11"/>
                <w:w w:val="105"/>
                <w:sz w:val="18"/>
              </w:rPr>
              <w:t> </w:t>
            </w:r>
            <w:r>
              <w:rPr>
                <w:w w:val="105"/>
                <w:sz w:val="18"/>
              </w:rPr>
              <w:t>4</w:t>
            </w:r>
            <w:r>
              <w:rPr>
                <w:spacing w:val="11"/>
                <w:w w:val="105"/>
                <w:sz w:val="18"/>
              </w:rPr>
              <w:t> </w:t>
            </w:r>
            <w:r>
              <w:rPr>
                <w:spacing w:val="-2"/>
                <w:w w:val="105"/>
                <w:sz w:val="18"/>
              </w:rPr>
              <w:t>quarters)</w:t>
            </w:r>
          </w:p>
        </w:tc>
        <w:tc>
          <w:tcPr>
            <w:tcW w:w="224" w:type="dxa"/>
          </w:tcPr>
          <w:p>
            <w:pPr>
              <w:pStyle w:val="TableParagraph"/>
              <w:rPr>
                <w:sz w:val="18"/>
              </w:rPr>
            </w:pPr>
          </w:p>
        </w:tc>
        <w:tc>
          <w:tcPr>
            <w:tcW w:w="364" w:type="dxa"/>
            <w:tcBorders>
              <w:top w:val="single" w:sz="6" w:space="0" w:color="000000"/>
            </w:tcBorders>
          </w:tcPr>
          <w:p>
            <w:pPr>
              <w:pStyle w:val="TableParagraph"/>
              <w:spacing w:before="41"/>
              <w:ind w:left="40"/>
              <w:rPr>
                <w:sz w:val="18"/>
              </w:rPr>
            </w:pPr>
            <w:r>
              <w:rPr>
                <w:spacing w:val="-5"/>
                <w:w w:val="105"/>
                <w:sz w:val="18"/>
              </w:rPr>
              <w:t>722</w:t>
            </w:r>
          </w:p>
        </w:tc>
        <w:tc>
          <w:tcPr>
            <w:tcW w:w="224" w:type="dxa"/>
          </w:tcPr>
          <w:p>
            <w:pPr>
              <w:pStyle w:val="TableParagraph"/>
              <w:rPr>
                <w:sz w:val="18"/>
              </w:rPr>
            </w:pPr>
          </w:p>
        </w:tc>
        <w:tc>
          <w:tcPr>
            <w:tcW w:w="280" w:type="dxa"/>
            <w:tcBorders>
              <w:top w:val="single" w:sz="6" w:space="0" w:color="000000"/>
            </w:tcBorders>
          </w:tcPr>
          <w:p>
            <w:pPr>
              <w:pStyle w:val="TableParagraph"/>
              <w:spacing w:before="41"/>
              <w:ind w:left="-1" w:right="1"/>
              <w:jc w:val="center"/>
              <w:rPr>
                <w:sz w:val="18"/>
              </w:rPr>
            </w:pPr>
            <w:r>
              <w:rPr>
                <w:spacing w:val="-5"/>
                <w:sz w:val="18"/>
              </w:rPr>
              <w:t>361</w:t>
            </w:r>
          </w:p>
        </w:tc>
        <w:tc>
          <w:tcPr>
            <w:tcW w:w="224" w:type="dxa"/>
          </w:tcPr>
          <w:p>
            <w:pPr>
              <w:pStyle w:val="TableParagraph"/>
              <w:rPr>
                <w:sz w:val="18"/>
              </w:rPr>
            </w:pPr>
          </w:p>
        </w:tc>
        <w:tc>
          <w:tcPr>
            <w:tcW w:w="476" w:type="dxa"/>
            <w:tcBorders>
              <w:top w:val="single" w:sz="6" w:space="0" w:color="000000"/>
            </w:tcBorders>
          </w:tcPr>
          <w:p>
            <w:pPr>
              <w:pStyle w:val="TableParagraph"/>
              <w:spacing w:before="41"/>
              <w:jc w:val="center"/>
              <w:rPr>
                <w:sz w:val="18"/>
              </w:rPr>
            </w:pPr>
            <w:r>
              <w:rPr>
                <w:spacing w:val="-5"/>
                <w:w w:val="105"/>
                <w:sz w:val="18"/>
              </w:rPr>
              <w:t>438</w:t>
            </w:r>
          </w:p>
        </w:tc>
        <w:tc>
          <w:tcPr>
            <w:tcW w:w="224" w:type="dxa"/>
          </w:tcPr>
          <w:p>
            <w:pPr>
              <w:pStyle w:val="TableParagraph"/>
              <w:rPr>
                <w:sz w:val="18"/>
              </w:rPr>
            </w:pPr>
          </w:p>
        </w:tc>
        <w:tc>
          <w:tcPr>
            <w:tcW w:w="424" w:type="dxa"/>
            <w:tcBorders>
              <w:top w:val="single" w:sz="6" w:space="0" w:color="000000"/>
            </w:tcBorders>
          </w:tcPr>
          <w:p>
            <w:pPr>
              <w:pStyle w:val="TableParagraph"/>
              <w:spacing w:before="41"/>
              <w:ind w:right="1"/>
              <w:jc w:val="right"/>
              <w:rPr>
                <w:sz w:val="18"/>
              </w:rPr>
            </w:pPr>
            <w:r>
              <w:rPr>
                <w:spacing w:val="-5"/>
                <w:w w:val="105"/>
                <w:sz w:val="18"/>
              </w:rPr>
              <w:t>857</w:t>
            </w:r>
          </w:p>
        </w:tc>
      </w:tr>
      <w:tr>
        <w:trPr>
          <w:trHeight w:val="242" w:hRule="atLeast"/>
        </w:trPr>
        <w:tc>
          <w:tcPr>
            <w:tcW w:w="5317" w:type="dxa"/>
          </w:tcPr>
          <w:p>
            <w:pPr>
              <w:pStyle w:val="TableParagraph"/>
              <w:spacing w:line="188" w:lineRule="exact" w:before="34"/>
              <w:rPr>
                <w:sz w:val="18"/>
              </w:rPr>
            </w:pPr>
            <w:r>
              <w:rPr>
                <w:w w:val="105"/>
                <w:sz w:val="18"/>
              </w:rPr>
              <w:t>Market</w:t>
            </w:r>
            <w:r>
              <w:rPr>
                <w:spacing w:val="13"/>
                <w:w w:val="105"/>
                <w:sz w:val="18"/>
              </w:rPr>
              <w:t> </w:t>
            </w:r>
            <w:r>
              <w:rPr>
                <w:w w:val="105"/>
                <w:sz w:val="18"/>
              </w:rPr>
              <w:t>Capitalization</w:t>
            </w:r>
            <w:r>
              <w:rPr>
                <w:spacing w:val="14"/>
                <w:w w:val="105"/>
                <w:sz w:val="18"/>
              </w:rPr>
              <w:t> </w:t>
            </w:r>
            <w:r>
              <w:rPr>
                <w:w w:val="105"/>
                <w:sz w:val="18"/>
              </w:rPr>
              <w:t>as</w:t>
            </w:r>
            <w:r>
              <w:rPr>
                <w:spacing w:val="13"/>
                <w:w w:val="105"/>
                <w:sz w:val="18"/>
              </w:rPr>
              <w:t> </w:t>
            </w:r>
            <w:r>
              <w:rPr>
                <w:w w:val="105"/>
                <w:sz w:val="18"/>
              </w:rPr>
              <w:t>(last</w:t>
            </w:r>
            <w:r>
              <w:rPr>
                <w:spacing w:val="14"/>
                <w:w w:val="105"/>
                <w:sz w:val="18"/>
              </w:rPr>
              <w:t> </w:t>
            </w:r>
            <w:r>
              <w:rPr>
                <w:w w:val="105"/>
                <w:sz w:val="18"/>
              </w:rPr>
              <w:t>fiscal</w:t>
            </w:r>
            <w:r>
              <w:rPr>
                <w:spacing w:val="13"/>
                <w:w w:val="105"/>
                <w:sz w:val="18"/>
              </w:rPr>
              <w:t> </w:t>
            </w:r>
            <w:r>
              <w:rPr>
                <w:w w:val="105"/>
                <w:sz w:val="18"/>
              </w:rPr>
              <w:t>year</w:t>
            </w:r>
            <w:r>
              <w:rPr>
                <w:spacing w:val="14"/>
                <w:w w:val="105"/>
                <w:sz w:val="18"/>
              </w:rPr>
              <w:t> </w:t>
            </w:r>
            <w:r>
              <w:rPr>
                <w:w w:val="105"/>
                <w:sz w:val="18"/>
              </w:rPr>
              <w:t>average)</w:t>
            </w:r>
            <w:r>
              <w:rPr>
                <w:spacing w:val="14"/>
                <w:w w:val="105"/>
                <w:sz w:val="18"/>
              </w:rPr>
              <w:t> </w:t>
            </w:r>
            <w:r>
              <w:rPr>
                <w:spacing w:val="-4"/>
                <w:w w:val="105"/>
                <w:sz w:val="18"/>
              </w:rPr>
              <w:t>($M)</w:t>
            </w:r>
          </w:p>
        </w:tc>
        <w:tc>
          <w:tcPr>
            <w:tcW w:w="224" w:type="dxa"/>
          </w:tcPr>
          <w:p>
            <w:pPr>
              <w:pStyle w:val="TableParagraph"/>
              <w:rPr>
                <w:sz w:val="16"/>
              </w:rPr>
            </w:pPr>
          </w:p>
        </w:tc>
        <w:tc>
          <w:tcPr>
            <w:tcW w:w="364" w:type="dxa"/>
          </w:tcPr>
          <w:p>
            <w:pPr>
              <w:pStyle w:val="TableParagraph"/>
              <w:spacing w:line="188" w:lineRule="exact" w:before="34"/>
              <w:ind w:left="40"/>
              <w:rPr>
                <w:sz w:val="18"/>
              </w:rPr>
            </w:pPr>
            <w:r>
              <w:rPr>
                <w:spacing w:val="-5"/>
                <w:w w:val="105"/>
                <w:sz w:val="18"/>
              </w:rPr>
              <w:t>859</w:t>
            </w:r>
          </w:p>
        </w:tc>
        <w:tc>
          <w:tcPr>
            <w:tcW w:w="224" w:type="dxa"/>
          </w:tcPr>
          <w:p>
            <w:pPr>
              <w:pStyle w:val="TableParagraph"/>
              <w:rPr>
                <w:sz w:val="16"/>
              </w:rPr>
            </w:pPr>
          </w:p>
        </w:tc>
        <w:tc>
          <w:tcPr>
            <w:tcW w:w="280" w:type="dxa"/>
          </w:tcPr>
          <w:p>
            <w:pPr>
              <w:pStyle w:val="TableParagraph"/>
              <w:spacing w:line="188" w:lineRule="exact" w:before="34"/>
              <w:ind w:left="-1" w:right="1"/>
              <w:jc w:val="center"/>
              <w:rPr>
                <w:sz w:val="18"/>
              </w:rPr>
            </w:pPr>
            <w:r>
              <w:rPr>
                <w:spacing w:val="-5"/>
                <w:sz w:val="18"/>
              </w:rPr>
              <w:t>650</w:t>
            </w:r>
          </w:p>
        </w:tc>
        <w:tc>
          <w:tcPr>
            <w:tcW w:w="224" w:type="dxa"/>
          </w:tcPr>
          <w:p>
            <w:pPr>
              <w:pStyle w:val="TableParagraph"/>
              <w:rPr>
                <w:sz w:val="16"/>
              </w:rPr>
            </w:pPr>
          </w:p>
        </w:tc>
        <w:tc>
          <w:tcPr>
            <w:tcW w:w="476" w:type="dxa"/>
          </w:tcPr>
          <w:p>
            <w:pPr>
              <w:pStyle w:val="TableParagraph"/>
              <w:spacing w:line="188" w:lineRule="exact" w:before="34"/>
              <w:jc w:val="center"/>
              <w:rPr>
                <w:sz w:val="18"/>
              </w:rPr>
            </w:pPr>
            <w:r>
              <w:rPr>
                <w:spacing w:val="-5"/>
                <w:w w:val="105"/>
                <w:sz w:val="18"/>
              </w:rPr>
              <w:t>802</w:t>
            </w:r>
          </w:p>
        </w:tc>
        <w:tc>
          <w:tcPr>
            <w:tcW w:w="224" w:type="dxa"/>
          </w:tcPr>
          <w:p>
            <w:pPr>
              <w:pStyle w:val="TableParagraph"/>
              <w:rPr>
                <w:sz w:val="16"/>
              </w:rPr>
            </w:pPr>
          </w:p>
        </w:tc>
        <w:tc>
          <w:tcPr>
            <w:tcW w:w="424" w:type="dxa"/>
          </w:tcPr>
          <w:p>
            <w:pPr>
              <w:pStyle w:val="TableParagraph"/>
              <w:spacing w:line="188" w:lineRule="exact" w:before="34"/>
              <w:ind w:right="1"/>
              <w:jc w:val="right"/>
              <w:rPr>
                <w:sz w:val="18"/>
              </w:rPr>
            </w:pPr>
            <w:r>
              <w:rPr>
                <w:spacing w:val="-2"/>
                <w:sz w:val="18"/>
              </w:rPr>
              <w:t>1,464</w:t>
            </w:r>
          </w:p>
        </w:tc>
      </w:tr>
    </w:tbl>
    <w:p>
      <w:pPr>
        <w:pStyle w:val="BodyText"/>
        <w:spacing w:before="3"/>
        <w:rPr>
          <w:b/>
          <w:sz w:val="20"/>
        </w:rPr>
      </w:pPr>
    </w:p>
    <w:p>
      <w:pPr>
        <w:pStyle w:val="Heading2"/>
      </w:pPr>
      <w:bookmarkStart w:name="_TOC_250012" w:id="31"/>
      <w:r>
        <w:rPr>
          <w:spacing w:val="-2"/>
        </w:rPr>
        <w:t>Fiscal</w:t>
      </w:r>
      <w:r>
        <w:rPr>
          <w:spacing w:val="-10"/>
        </w:rPr>
        <w:t> </w:t>
      </w:r>
      <w:r>
        <w:rPr>
          <w:spacing w:val="-2"/>
        </w:rPr>
        <w:t>Year</w:t>
      </w:r>
      <w:r>
        <w:rPr>
          <w:spacing w:val="-5"/>
        </w:rPr>
        <w:t> </w:t>
      </w:r>
      <w:r>
        <w:rPr>
          <w:spacing w:val="-2"/>
        </w:rPr>
        <w:t>2022 Compensation</w:t>
      </w:r>
      <w:r>
        <w:rPr>
          <w:spacing w:val="-1"/>
        </w:rPr>
        <w:t> </w:t>
      </w:r>
      <w:r>
        <w:rPr>
          <w:spacing w:val="-2"/>
        </w:rPr>
        <w:t>Program</w:t>
      </w:r>
      <w:r>
        <w:rPr>
          <w:spacing w:val="-1"/>
        </w:rPr>
        <w:t> </w:t>
      </w:r>
      <w:r>
        <w:rPr>
          <w:spacing w:val="-2"/>
        </w:rPr>
        <w:t>and</w:t>
      </w:r>
      <w:r>
        <w:rPr>
          <w:spacing w:val="-1"/>
        </w:rPr>
        <w:t> </w:t>
      </w:r>
      <w:r>
        <w:rPr>
          <w:spacing w:val="-2"/>
        </w:rPr>
        <w:t>Pay</w:t>
      </w:r>
      <w:r>
        <w:rPr>
          <w:spacing w:val="-1"/>
        </w:rPr>
        <w:t> </w:t>
      </w:r>
      <w:bookmarkEnd w:id="31"/>
      <w:r>
        <w:rPr>
          <w:spacing w:val="-2"/>
        </w:rPr>
        <w:t>Decisions</w:t>
      </w:r>
    </w:p>
    <w:p>
      <w:pPr>
        <w:pStyle w:val="BodyText"/>
        <w:spacing w:line="249" w:lineRule="auto" w:before="170"/>
        <w:ind w:left="1400" w:right="1551" w:firstLine="372"/>
      </w:pPr>
      <w:r>
        <w:rPr>
          <w:b/>
          <w:w w:val="105"/>
        </w:rPr>
        <w:t>Base Salaries.</w:t>
      </w:r>
      <w:r>
        <w:rPr>
          <w:b/>
          <w:spacing w:val="80"/>
          <w:w w:val="105"/>
        </w:rPr>
        <w:t> </w:t>
      </w:r>
      <w:r>
        <w:rPr>
          <w:w w:val="105"/>
        </w:rPr>
        <w:t>The Compensation Committee reviews the base salaries of our NEOs annually but primarily adjusts salaries in recognition of significant increases in position responsibilities, demonstrated</w:t>
      </w:r>
      <w:r>
        <w:rPr>
          <w:spacing w:val="40"/>
          <w:w w:val="105"/>
        </w:rPr>
        <w:t> </w:t>
      </w:r>
      <w:r>
        <w:rPr>
          <w:w w:val="105"/>
        </w:rPr>
        <w:t>capabilities,</w:t>
      </w:r>
      <w:r>
        <w:rPr>
          <w:spacing w:val="29"/>
          <w:w w:val="105"/>
        </w:rPr>
        <w:t> </w:t>
      </w:r>
      <w:r>
        <w:rPr>
          <w:w w:val="105"/>
        </w:rPr>
        <w:t>and</w:t>
      </w:r>
      <w:r>
        <w:rPr>
          <w:spacing w:val="29"/>
          <w:w w:val="105"/>
        </w:rPr>
        <w:t> </w:t>
      </w:r>
      <w:r>
        <w:rPr>
          <w:w w:val="105"/>
        </w:rPr>
        <w:t>sustained</w:t>
      </w:r>
      <w:r>
        <w:rPr>
          <w:spacing w:val="29"/>
          <w:w w:val="105"/>
        </w:rPr>
        <w:t> </w:t>
      </w:r>
      <w:r>
        <w:rPr>
          <w:w w:val="105"/>
        </w:rPr>
        <w:t>individual</w:t>
      </w:r>
      <w:r>
        <w:rPr>
          <w:spacing w:val="29"/>
          <w:w w:val="105"/>
        </w:rPr>
        <w:t> </w:t>
      </w:r>
      <w:r>
        <w:rPr>
          <w:w w:val="105"/>
        </w:rPr>
        <w:t>performance.</w:t>
      </w:r>
      <w:r>
        <w:rPr>
          <w:spacing w:val="29"/>
          <w:w w:val="105"/>
        </w:rPr>
        <w:t> </w:t>
      </w:r>
      <w:r>
        <w:rPr>
          <w:w w:val="105"/>
        </w:rPr>
        <w:t>Gaps</w:t>
      </w:r>
      <w:r>
        <w:rPr>
          <w:spacing w:val="29"/>
          <w:w w:val="105"/>
        </w:rPr>
        <w:t> </w:t>
      </w:r>
      <w:r>
        <w:rPr>
          <w:w w:val="105"/>
        </w:rPr>
        <w:t>in</w:t>
      </w:r>
      <w:r>
        <w:rPr>
          <w:spacing w:val="29"/>
          <w:w w:val="105"/>
        </w:rPr>
        <w:t> </w:t>
      </w:r>
      <w:r>
        <w:rPr>
          <w:w w:val="105"/>
        </w:rPr>
        <w:t>internal</w:t>
      </w:r>
      <w:r>
        <w:rPr>
          <w:spacing w:val="29"/>
          <w:w w:val="105"/>
        </w:rPr>
        <w:t> </w:t>
      </w:r>
      <w:r>
        <w:rPr>
          <w:w w:val="105"/>
        </w:rPr>
        <w:t>pay</w:t>
      </w:r>
      <w:r>
        <w:rPr>
          <w:spacing w:val="29"/>
          <w:w w:val="105"/>
        </w:rPr>
        <w:t> </w:t>
      </w:r>
      <w:r>
        <w:rPr>
          <w:w w:val="105"/>
        </w:rPr>
        <w:t>equity</w:t>
      </w:r>
      <w:r>
        <w:rPr>
          <w:spacing w:val="29"/>
          <w:w w:val="105"/>
        </w:rPr>
        <w:t> </w:t>
      </w:r>
      <w:r>
        <w:rPr>
          <w:w w:val="105"/>
        </w:rPr>
        <w:t>or</w:t>
      </w:r>
      <w:r>
        <w:rPr>
          <w:spacing w:val="29"/>
          <w:w w:val="105"/>
        </w:rPr>
        <w:t> </w:t>
      </w:r>
      <w:r>
        <w:rPr>
          <w:w w:val="105"/>
        </w:rPr>
        <w:t>external</w:t>
      </w:r>
      <w:r>
        <w:rPr>
          <w:spacing w:val="29"/>
          <w:w w:val="105"/>
        </w:rPr>
        <w:t> </w:t>
      </w:r>
      <w:r>
        <w:rPr>
          <w:w w:val="105"/>
        </w:rPr>
        <w:t>pay competitiveness are also considered. For fiscal year 2022, the NEOs received base salary increases to better</w:t>
      </w:r>
      <w:r>
        <w:rPr>
          <w:spacing w:val="40"/>
          <w:w w:val="105"/>
        </w:rPr>
        <w:t> </w:t>
      </w:r>
      <w:r>
        <w:rPr>
          <w:w w:val="105"/>
        </w:rPr>
        <w:t>align</w:t>
      </w:r>
      <w:r>
        <w:rPr>
          <w:spacing w:val="26"/>
          <w:w w:val="105"/>
        </w:rPr>
        <w:t> </w:t>
      </w:r>
      <w:r>
        <w:rPr>
          <w:w w:val="105"/>
        </w:rPr>
        <w:t>total</w:t>
      </w:r>
      <w:r>
        <w:rPr>
          <w:spacing w:val="26"/>
          <w:w w:val="105"/>
        </w:rPr>
        <w:t> </w:t>
      </w:r>
      <w:r>
        <w:rPr>
          <w:w w:val="105"/>
        </w:rPr>
        <w:t>cash</w:t>
      </w:r>
      <w:r>
        <w:rPr>
          <w:spacing w:val="26"/>
          <w:w w:val="105"/>
        </w:rPr>
        <w:t> </w:t>
      </w:r>
      <w:r>
        <w:rPr>
          <w:w w:val="105"/>
        </w:rPr>
        <w:t>compensation</w:t>
      </w:r>
      <w:r>
        <w:rPr>
          <w:spacing w:val="26"/>
          <w:w w:val="105"/>
        </w:rPr>
        <w:t> </w:t>
      </w:r>
      <w:r>
        <w:rPr>
          <w:w w:val="105"/>
        </w:rPr>
        <w:t>with</w:t>
      </w:r>
      <w:r>
        <w:rPr>
          <w:spacing w:val="26"/>
          <w:w w:val="105"/>
        </w:rPr>
        <w:t> </w:t>
      </w:r>
      <w:r>
        <w:rPr>
          <w:w w:val="105"/>
        </w:rPr>
        <w:t>median</w:t>
      </w:r>
      <w:r>
        <w:rPr>
          <w:spacing w:val="26"/>
          <w:w w:val="105"/>
        </w:rPr>
        <w:t> </w:t>
      </w:r>
      <w:r>
        <w:rPr>
          <w:w w:val="105"/>
        </w:rPr>
        <w:t>market</w:t>
      </w:r>
      <w:r>
        <w:rPr>
          <w:spacing w:val="26"/>
          <w:w w:val="105"/>
        </w:rPr>
        <w:t> </w:t>
      </w:r>
      <w:r>
        <w:rPr>
          <w:w w:val="105"/>
        </w:rPr>
        <w:t>levels. The</w:t>
      </w:r>
      <w:r>
        <w:rPr>
          <w:spacing w:val="26"/>
          <w:w w:val="105"/>
        </w:rPr>
        <w:t> </w:t>
      </w:r>
      <w:r>
        <w:rPr>
          <w:w w:val="105"/>
        </w:rPr>
        <w:t>increase</w:t>
      </w:r>
      <w:r>
        <w:rPr>
          <w:spacing w:val="26"/>
          <w:w w:val="105"/>
        </w:rPr>
        <w:t> </w:t>
      </w:r>
      <w:r>
        <w:rPr>
          <w:w w:val="105"/>
        </w:rPr>
        <w:t>ranged</w:t>
      </w:r>
      <w:r>
        <w:rPr>
          <w:spacing w:val="26"/>
          <w:w w:val="105"/>
        </w:rPr>
        <w:t> </w:t>
      </w:r>
      <w:r>
        <w:rPr>
          <w:w w:val="105"/>
        </w:rPr>
        <w:t>from</w:t>
      </w:r>
      <w:r>
        <w:rPr>
          <w:spacing w:val="26"/>
          <w:w w:val="105"/>
        </w:rPr>
        <w:t> </w:t>
      </w:r>
      <w:r>
        <w:rPr>
          <w:w w:val="105"/>
        </w:rPr>
        <w:t>approximately</w:t>
      </w:r>
      <w:r>
        <w:rPr>
          <w:spacing w:val="26"/>
          <w:w w:val="105"/>
        </w:rPr>
        <w:t> </w:t>
      </w:r>
      <w:r>
        <w:rPr>
          <w:w w:val="105"/>
        </w:rPr>
        <w:t>3%</w:t>
      </w:r>
      <w:r>
        <w:rPr>
          <w:spacing w:val="26"/>
          <w:w w:val="105"/>
        </w:rPr>
        <w:t> </w:t>
      </w:r>
      <w:r>
        <w:rPr>
          <w:w w:val="105"/>
        </w:rPr>
        <w:t>to 16% and was effective as of December 25, 2021. As noted above, in an effort to better-align the CEO’s pay mix (and levels) with</w:t>
      </w:r>
    </w:p>
    <w:p>
      <w:pPr>
        <w:pStyle w:val="BodyText"/>
        <w:rPr>
          <w:sz w:val="20"/>
        </w:rPr>
      </w:pPr>
    </w:p>
    <w:p>
      <w:pPr>
        <w:pStyle w:val="BodyText"/>
        <w:spacing w:before="165"/>
        <w:ind w:left="142" w:right="143"/>
        <w:jc w:val="center"/>
      </w:pPr>
      <w:r>
        <w:rPr>
          <w:spacing w:val="-5"/>
          <w:w w:val="105"/>
        </w:rPr>
        <w:t>41</w:t>
      </w:r>
    </w:p>
    <w:p>
      <w:pPr>
        <w:pStyle w:val="BodyText"/>
        <w:rPr>
          <w:sz w:val="20"/>
        </w:rPr>
      </w:pPr>
    </w:p>
    <w:p>
      <w:pPr>
        <w:pStyle w:val="BodyText"/>
        <w:spacing w:before="10"/>
        <w:rPr>
          <w:sz w:val="15"/>
        </w:rPr>
      </w:pPr>
      <w:r>
        <w:rPr/>
        <w:pict>
          <v:group style="position:absolute;margin-left:28.999998pt;margin-top:10.326416pt;width:555pt;height:1.4pt;mso-position-horizontal-relative:page;mso-position-vertical-relative:paragraph;z-index:-15686144;mso-wrap-distance-left:0;mso-wrap-distance-right:0" id="docshapegroup296" coordorigin="580,207" coordsize="11100,28">
            <v:rect style="position:absolute;left:580;top:206;width:11100;height:14" id="docshape297" filled="true" fillcolor="#999999" stroked="false">
              <v:fill type="solid"/>
            </v:rect>
            <v:shape style="position:absolute;left:579;top:206;width:11100;height:28" id="docshape298" coordorigin="580,207" coordsize="11100,28" path="m11680,207l11666,221,580,221,580,234,11666,234,11680,234,11680,221,11680,207xe" filled="true" fillcolor="#ededed" stroked="false">
              <v:path arrowok="t"/>
              <v:fill type="solid"/>
            </v:shape>
            <v:shape style="position:absolute;left:580;top:206;width:14;height:28" id="docshape299" coordorigin="580,207" coordsize="14,28" path="m580,234l580,207,594,207,594,221,580,234xe" filled="true" fillcolor="#999999" stroked="false">
              <v:path arrowok="t"/>
              <v:fill type="solid"/>
            </v:shape>
            <w10:wrap type="topAndBottom"/>
          </v:group>
        </w:pict>
      </w:r>
    </w:p>
    <w:p>
      <w:pPr>
        <w:spacing w:after="0"/>
        <w:rPr>
          <w:sz w:val="15"/>
        </w:rPr>
        <w:sectPr>
          <w:headerReference w:type="default" r:id="rId124"/>
          <w:footerReference w:type="default" r:id="rId125"/>
          <w:pgSz w:w="12240" w:h="15840"/>
          <w:pgMar w:header="529" w:footer="0" w:top="720" w:bottom="280" w:left="480" w:right="460"/>
        </w:sectPr>
      </w:pPr>
    </w:p>
    <w:p>
      <w:pPr>
        <w:pStyle w:val="BodyText"/>
        <w:rPr>
          <w:sz w:val="20"/>
        </w:rPr>
      </w:pPr>
    </w:p>
    <w:p>
      <w:pPr>
        <w:pStyle w:val="BodyText"/>
        <w:rPr>
          <w:sz w:val="20"/>
        </w:rPr>
      </w:pPr>
    </w:p>
    <w:p>
      <w:pPr>
        <w:pStyle w:val="BodyText"/>
        <w:spacing w:before="2"/>
        <w:rPr>
          <w:sz w:val="27"/>
        </w:rPr>
      </w:pPr>
    </w:p>
    <w:p>
      <w:pPr>
        <w:pStyle w:val="BodyText"/>
        <w:spacing w:line="276" w:lineRule="auto" w:before="98"/>
        <w:ind w:left="1400" w:right="1733"/>
      </w:pPr>
      <w:r>
        <w:rPr>
          <w:w w:val="105"/>
        </w:rPr>
        <w:t>market, for fiscal year 2022, his target TDC mix was slightly re-balanced via a market-based increase to</w:t>
      </w:r>
      <w:r>
        <w:rPr>
          <w:spacing w:val="40"/>
          <w:w w:val="105"/>
        </w:rPr>
        <w:t> </w:t>
      </w:r>
      <w:r>
        <w:rPr>
          <w:w w:val="105"/>
        </w:rPr>
        <w:t>base salary, and a slight decrease in target LTI value.</w:t>
      </w:r>
    </w:p>
    <w:p>
      <w:pPr>
        <w:pStyle w:val="BodyText"/>
        <w:spacing w:before="2"/>
        <w:rPr>
          <w:sz w:val="15"/>
        </w:rPr>
      </w:pPr>
    </w:p>
    <w:tbl>
      <w:tblPr>
        <w:tblW w:w="0" w:type="auto"/>
        <w:jc w:val="left"/>
        <w:tblInd w:w="1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7"/>
        <w:gridCol w:w="223"/>
        <w:gridCol w:w="1034"/>
        <w:gridCol w:w="223"/>
        <w:gridCol w:w="1020"/>
      </w:tblGrid>
      <w:tr>
        <w:trPr>
          <w:trHeight w:val="383" w:hRule="atLeast"/>
        </w:trPr>
        <w:tc>
          <w:tcPr>
            <w:tcW w:w="5247" w:type="dxa"/>
            <w:tcBorders>
              <w:bottom w:val="single" w:sz="6" w:space="0" w:color="000000"/>
            </w:tcBorders>
          </w:tcPr>
          <w:p>
            <w:pPr>
              <w:pStyle w:val="TableParagraph"/>
              <w:spacing w:before="11"/>
              <w:rPr>
                <w:sz w:val="13"/>
              </w:rPr>
            </w:pPr>
          </w:p>
          <w:p>
            <w:pPr>
              <w:pStyle w:val="TableParagraph"/>
              <w:rPr>
                <w:b/>
                <w:sz w:val="15"/>
              </w:rPr>
            </w:pPr>
            <w:r>
              <w:rPr>
                <w:b/>
                <w:spacing w:val="-4"/>
                <w:sz w:val="15"/>
              </w:rPr>
              <w:t>Name</w:t>
            </w:r>
          </w:p>
        </w:tc>
        <w:tc>
          <w:tcPr>
            <w:tcW w:w="223" w:type="dxa"/>
          </w:tcPr>
          <w:p>
            <w:pPr>
              <w:pStyle w:val="TableParagraph"/>
              <w:rPr>
                <w:sz w:val="18"/>
              </w:rPr>
            </w:pPr>
          </w:p>
        </w:tc>
        <w:tc>
          <w:tcPr>
            <w:tcW w:w="1034" w:type="dxa"/>
            <w:tcBorders>
              <w:bottom w:val="single" w:sz="6" w:space="0" w:color="000000"/>
            </w:tcBorders>
          </w:tcPr>
          <w:p>
            <w:pPr>
              <w:pStyle w:val="TableParagraph"/>
              <w:spacing w:line="232" w:lineRule="auto"/>
              <w:ind w:left="154" w:hanging="136"/>
              <w:rPr>
                <w:b/>
                <w:sz w:val="15"/>
              </w:rPr>
            </w:pPr>
            <w:r>
              <w:rPr>
                <w:b/>
                <w:spacing w:val="-6"/>
                <w:sz w:val="15"/>
              </w:rPr>
              <w:t>Fiscal</w:t>
            </w:r>
            <w:r>
              <w:rPr>
                <w:b/>
                <w:spacing w:val="-12"/>
                <w:sz w:val="15"/>
              </w:rPr>
              <w:t> </w:t>
            </w:r>
            <w:r>
              <w:rPr>
                <w:b/>
                <w:spacing w:val="-6"/>
                <w:sz w:val="15"/>
              </w:rPr>
              <w:t>Year</w:t>
            </w:r>
            <w:r>
              <w:rPr>
                <w:b/>
                <w:spacing w:val="-9"/>
                <w:sz w:val="15"/>
              </w:rPr>
              <w:t> </w:t>
            </w:r>
            <w:r>
              <w:rPr>
                <w:b/>
                <w:spacing w:val="-6"/>
                <w:sz w:val="15"/>
              </w:rPr>
              <w:t>2021</w:t>
            </w:r>
            <w:r>
              <w:rPr>
                <w:b/>
                <w:spacing w:val="40"/>
                <w:sz w:val="15"/>
              </w:rPr>
              <w:t> </w:t>
            </w:r>
            <w:r>
              <w:rPr>
                <w:b/>
                <w:sz w:val="15"/>
              </w:rPr>
              <w:t>Base</w:t>
            </w:r>
            <w:r>
              <w:rPr>
                <w:b/>
                <w:spacing w:val="-10"/>
                <w:sz w:val="15"/>
              </w:rPr>
              <w:t> </w:t>
            </w:r>
            <w:r>
              <w:rPr>
                <w:b/>
                <w:sz w:val="15"/>
              </w:rPr>
              <w:t>Salary</w:t>
            </w:r>
          </w:p>
        </w:tc>
        <w:tc>
          <w:tcPr>
            <w:tcW w:w="223" w:type="dxa"/>
          </w:tcPr>
          <w:p>
            <w:pPr>
              <w:pStyle w:val="TableParagraph"/>
              <w:rPr>
                <w:sz w:val="18"/>
              </w:rPr>
            </w:pPr>
          </w:p>
        </w:tc>
        <w:tc>
          <w:tcPr>
            <w:tcW w:w="1020" w:type="dxa"/>
            <w:tcBorders>
              <w:bottom w:val="single" w:sz="6" w:space="0" w:color="000000"/>
            </w:tcBorders>
          </w:tcPr>
          <w:p>
            <w:pPr>
              <w:pStyle w:val="TableParagraph"/>
              <w:spacing w:line="232" w:lineRule="auto"/>
              <w:ind w:left="152" w:hanging="136"/>
              <w:rPr>
                <w:b/>
                <w:sz w:val="15"/>
              </w:rPr>
            </w:pPr>
            <w:r>
              <w:rPr>
                <w:b/>
                <w:spacing w:val="-6"/>
                <w:sz w:val="15"/>
              </w:rPr>
              <w:t>Fiscal</w:t>
            </w:r>
            <w:r>
              <w:rPr>
                <w:b/>
                <w:spacing w:val="-12"/>
                <w:sz w:val="15"/>
              </w:rPr>
              <w:t> </w:t>
            </w:r>
            <w:r>
              <w:rPr>
                <w:b/>
                <w:spacing w:val="-6"/>
                <w:sz w:val="15"/>
              </w:rPr>
              <w:t>Year</w:t>
            </w:r>
            <w:r>
              <w:rPr>
                <w:b/>
                <w:spacing w:val="-9"/>
                <w:sz w:val="15"/>
              </w:rPr>
              <w:t> </w:t>
            </w:r>
            <w:r>
              <w:rPr>
                <w:b/>
                <w:spacing w:val="-6"/>
                <w:sz w:val="15"/>
              </w:rPr>
              <w:t>2022</w:t>
            </w:r>
            <w:r>
              <w:rPr>
                <w:b/>
                <w:spacing w:val="40"/>
                <w:sz w:val="15"/>
              </w:rPr>
              <w:t> </w:t>
            </w:r>
            <w:r>
              <w:rPr>
                <w:b/>
                <w:sz w:val="15"/>
              </w:rPr>
              <w:t>Base</w:t>
            </w:r>
            <w:r>
              <w:rPr>
                <w:b/>
                <w:spacing w:val="-10"/>
                <w:sz w:val="15"/>
              </w:rPr>
              <w:t> </w:t>
            </w:r>
            <w:r>
              <w:rPr>
                <w:b/>
                <w:sz w:val="15"/>
              </w:rPr>
              <w:t>Salary</w:t>
            </w:r>
          </w:p>
        </w:tc>
      </w:tr>
      <w:tr>
        <w:trPr>
          <w:trHeight w:val="286" w:hRule="atLeast"/>
        </w:trPr>
        <w:tc>
          <w:tcPr>
            <w:tcW w:w="5247" w:type="dxa"/>
            <w:tcBorders>
              <w:top w:val="single" w:sz="6" w:space="0" w:color="000000"/>
            </w:tcBorders>
          </w:tcPr>
          <w:p>
            <w:pPr>
              <w:pStyle w:val="TableParagraph"/>
              <w:spacing w:before="41"/>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1034" w:type="dxa"/>
            <w:tcBorders>
              <w:top w:val="single" w:sz="6" w:space="0" w:color="000000"/>
            </w:tcBorders>
          </w:tcPr>
          <w:p>
            <w:pPr>
              <w:pStyle w:val="TableParagraph"/>
              <w:spacing w:before="41"/>
              <w:ind w:left="148" w:right="153"/>
              <w:jc w:val="center"/>
              <w:rPr>
                <w:sz w:val="18"/>
              </w:rPr>
            </w:pPr>
            <w:r>
              <w:rPr>
                <w:spacing w:val="-2"/>
                <w:w w:val="105"/>
                <w:sz w:val="18"/>
              </w:rPr>
              <w:t>$637,360</w:t>
            </w:r>
          </w:p>
        </w:tc>
        <w:tc>
          <w:tcPr>
            <w:tcW w:w="223" w:type="dxa"/>
          </w:tcPr>
          <w:p>
            <w:pPr>
              <w:pStyle w:val="TableParagraph"/>
              <w:rPr>
                <w:sz w:val="18"/>
              </w:rPr>
            </w:pPr>
          </w:p>
        </w:tc>
        <w:tc>
          <w:tcPr>
            <w:tcW w:w="1020" w:type="dxa"/>
            <w:tcBorders>
              <w:top w:val="single" w:sz="6" w:space="0" w:color="000000"/>
            </w:tcBorders>
          </w:tcPr>
          <w:p>
            <w:pPr>
              <w:pStyle w:val="TableParagraph"/>
              <w:spacing w:before="41"/>
              <w:ind w:left="144" w:right="142"/>
              <w:jc w:val="center"/>
              <w:rPr>
                <w:sz w:val="18"/>
              </w:rPr>
            </w:pPr>
            <w:r>
              <w:rPr>
                <w:spacing w:val="-2"/>
                <w:w w:val="105"/>
                <w:sz w:val="18"/>
              </w:rPr>
              <w:t>$738,000</w:t>
            </w:r>
          </w:p>
        </w:tc>
      </w:tr>
      <w:tr>
        <w:trPr>
          <w:trHeight w:val="279" w:hRule="atLeast"/>
        </w:trPr>
        <w:tc>
          <w:tcPr>
            <w:tcW w:w="5247" w:type="dxa"/>
          </w:tcPr>
          <w:p>
            <w:pPr>
              <w:pStyle w:val="TableParagraph"/>
              <w:spacing w:before="34"/>
              <w:rPr>
                <w:sz w:val="18"/>
              </w:rPr>
            </w:pPr>
            <w:r>
              <w:rPr>
                <w:w w:val="105"/>
                <w:sz w:val="18"/>
              </w:rPr>
              <w:t>Shubham</w:t>
            </w:r>
            <w:r>
              <w:rPr>
                <w:spacing w:val="11"/>
                <w:w w:val="105"/>
                <w:sz w:val="18"/>
              </w:rPr>
              <w:t> </w:t>
            </w:r>
            <w:r>
              <w:rPr>
                <w:spacing w:val="-2"/>
                <w:w w:val="105"/>
                <w:sz w:val="18"/>
              </w:rPr>
              <w:t>Maheshwari</w:t>
            </w:r>
          </w:p>
        </w:tc>
        <w:tc>
          <w:tcPr>
            <w:tcW w:w="223" w:type="dxa"/>
          </w:tcPr>
          <w:p>
            <w:pPr>
              <w:pStyle w:val="TableParagraph"/>
              <w:rPr>
                <w:sz w:val="18"/>
              </w:rPr>
            </w:pPr>
          </w:p>
        </w:tc>
        <w:tc>
          <w:tcPr>
            <w:tcW w:w="1034" w:type="dxa"/>
          </w:tcPr>
          <w:p>
            <w:pPr>
              <w:pStyle w:val="TableParagraph"/>
              <w:spacing w:before="34"/>
              <w:ind w:left="148" w:right="153"/>
              <w:jc w:val="center"/>
              <w:rPr>
                <w:sz w:val="18"/>
              </w:rPr>
            </w:pPr>
            <w:r>
              <w:rPr>
                <w:spacing w:val="-2"/>
                <w:w w:val="105"/>
                <w:sz w:val="18"/>
              </w:rPr>
              <w:t>$460,000</w:t>
            </w:r>
          </w:p>
        </w:tc>
        <w:tc>
          <w:tcPr>
            <w:tcW w:w="223" w:type="dxa"/>
          </w:tcPr>
          <w:p>
            <w:pPr>
              <w:pStyle w:val="TableParagraph"/>
              <w:rPr>
                <w:sz w:val="18"/>
              </w:rPr>
            </w:pPr>
          </w:p>
        </w:tc>
        <w:tc>
          <w:tcPr>
            <w:tcW w:w="1020" w:type="dxa"/>
          </w:tcPr>
          <w:p>
            <w:pPr>
              <w:pStyle w:val="TableParagraph"/>
              <w:spacing w:before="34"/>
              <w:ind w:left="144" w:right="142"/>
              <w:jc w:val="center"/>
              <w:rPr>
                <w:sz w:val="18"/>
              </w:rPr>
            </w:pPr>
            <w:r>
              <w:rPr>
                <w:spacing w:val="-2"/>
                <w:w w:val="105"/>
                <w:sz w:val="18"/>
              </w:rPr>
              <w:t>$474,000</w:t>
            </w:r>
          </w:p>
        </w:tc>
      </w:tr>
      <w:tr>
        <w:trPr>
          <w:trHeight w:val="279" w:hRule="atLeast"/>
        </w:trPr>
        <w:tc>
          <w:tcPr>
            <w:tcW w:w="5247" w:type="dxa"/>
          </w:tcPr>
          <w:p>
            <w:pPr>
              <w:pStyle w:val="TableParagraph"/>
              <w:spacing w:before="3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3" w:type="dxa"/>
          </w:tcPr>
          <w:p>
            <w:pPr>
              <w:pStyle w:val="TableParagraph"/>
              <w:rPr>
                <w:sz w:val="18"/>
              </w:rPr>
            </w:pPr>
          </w:p>
        </w:tc>
        <w:tc>
          <w:tcPr>
            <w:tcW w:w="1034" w:type="dxa"/>
          </w:tcPr>
          <w:p>
            <w:pPr>
              <w:pStyle w:val="TableParagraph"/>
              <w:spacing w:before="34"/>
              <w:ind w:left="148" w:right="153"/>
              <w:jc w:val="center"/>
              <w:rPr>
                <w:sz w:val="18"/>
              </w:rPr>
            </w:pPr>
            <w:r>
              <w:rPr>
                <w:spacing w:val="-2"/>
                <w:w w:val="105"/>
                <w:sz w:val="18"/>
              </w:rPr>
              <w:t>$350,000</w:t>
            </w:r>
          </w:p>
        </w:tc>
        <w:tc>
          <w:tcPr>
            <w:tcW w:w="223" w:type="dxa"/>
          </w:tcPr>
          <w:p>
            <w:pPr>
              <w:pStyle w:val="TableParagraph"/>
              <w:rPr>
                <w:sz w:val="18"/>
              </w:rPr>
            </w:pPr>
          </w:p>
        </w:tc>
        <w:tc>
          <w:tcPr>
            <w:tcW w:w="1020" w:type="dxa"/>
          </w:tcPr>
          <w:p>
            <w:pPr>
              <w:pStyle w:val="TableParagraph"/>
              <w:spacing w:before="34"/>
              <w:ind w:left="144" w:right="142"/>
              <w:jc w:val="center"/>
              <w:rPr>
                <w:sz w:val="18"/>
              </w:rPr>
            </w:pPr>
            <w:r>
              <w:rPr>
                <w:spacing w:val="-2"/>
                <w:w w:val="105"/>
                <w:sz w:val="18"/>
              </w:rPr>
              <w:t>$380,000</w:t>
            </w:r>
          </w:p>
        </w:tc>
      </w:tr>
      <w:tr>
        <w:trPr>
          <w:trHeight w:val="279" w:hRule="atLeast"/>
        </w:trPr>
        <w:tc>
          <w:tcPr>
            <w:tcW w:w="5247" w:type="dxa"/>
          </w:tcPr>
          <w:p>
            <w:pPr>
              <w:pStyle w:val="TableParagraph"/>
              <w:spacing w:before="34"/>
              <w:rPr>
                <w:sz w:val="18"/>
              </w:rPr>
            </w:pPr>
            <w:r>
              <w:rPr>
                <w:w w:val="105"/>
                <w:sz w:val="18"/>
              </w:rPr>
              <w:t>Brian</w:t>
            </w:r>
            <w:r>
              <w:rPr>
                <w:spacing w:val="-5"/>
                <w:w w:val="105"/>
                <w:sz w:val="18"/>
              </w:rPr>
              <w:t> </w:t>
            </w:r>
            <w:r>
              <w:rPr>
                <w:w w:val="105"/>
                <w:sz w:val="18"/>
              </w:rPr>
              <w:t>W. </w:t>
            </w:r>
            <w:r>
              <w:rPr>
                <w:spacing w:val="-2"/>
                <w:w w:val="105"/>
                <w:sz w:val="18"/>
              </w:rPr>
              <w:t>Giambattista</w:t>
            </w:r>
          </w:p>
        </w:tc>
        <w:tc>
          <w:tcPr>
            <w:tcW w:w="223" w:type="dxa"/>
          </w:tcPr>
          <w:p>
            <w:pPr>
              <w:pStyle w:val="TableParagraph"/>
              <w:rPr>
                <w:sz w:val="18"/>
              </w:rPr>
            </w:pPr>
          </w:p>
        </w:tc>
        <w:tc>
          <w:tcPr>
            <w:tcW w:w="1034" w:type="dxa"/>
          </w:tcPr>
          <w:p>
            <w:pPr>
              <w:pStyle w:val="TableParagraph"/>
              <w:spacing w:before="34"/>
              <w:ind w:left="148" w:right="153"/>
              <w:jc w:val="center"/>
              <w:rPr>
                <w:sz w:val="18"/>
              </w:rPr>
            </w:pPr>
            <w:r>
              <w:rPr>
                <w:spacing w:val="-2"/>
                <w:w w:val="105"/>
                <w:sz w:val="18"/>
              </w:rPr>
              <w:t>$349,513</w:t>
            </w:r>
          </w:p>
        </w:tc>
        <w:tc>
          <w:tcPr>
            <w:tcW w:w="223" w:type="dxa"/>
          </w:tcPr>
          <w:p>
            <w:pPr>
              <w:pStyle w:val="TableParagraph"/>
              <w:rPr>
                <w:sz w:val="18"/>
              </w:rPr>
            </w:pPr>
          </w:p>
        </w:tc>
        <w:tc>
          <w:tcPr>
            <w:tcW w:w="1020" w:type="dxa"/>
          </w:tcPr>
          <w:p>
            <w:pPr>
              <w:pStyle w:val="TableParagraph"/>
              <w:spacing w:before="34"/>
              <w:ind w:left="144" w:right="142"/>
              <w:jc w:val="center"/>
              <w:rPr>
                <w:sz w:val="18"/>
              </w:rPr>
            </w:pPr>
            <w:r>
              <w:rPr>
                <w:spacing w:val="-2"/>
                <w:w w:val="105"/>
                <w:sz w:val="18"/>
              </w:rPr>
              <w:t>$380,000</w:t>
            </w:r>
          </w:p>
        </w:tc>
      </w:tr>
      <w:tr>
        <w:trPr>
          <w:trHeight w:val="242" w:hRule="atLeast"/>
        </w:trPr>
        <w:tc>
          <w:tcPr>
            <w:tcW w:w="5247" w:type="dxa"/>
          </w:tcPr>
          <w:p>
            <w:pPr>
              <w:pStyle w:val="TableParagraph"/>
              <w:spacing w:line="188" w:lineRule="exact" w:before="3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3" w:type="dxa"/>
          </w:tcPr>
          <w:p>
            <w:pPr>
              <w:pStyle w:val="TableParagraph"/>
              <w:rPr>
                <w:sz w:val="16"/>
              </w:rPr>
            </w:pPr>
          </w:p>
        </w:tc>
        <w:tc>
          <w:tcPr>
            <w:tcW w:w="1034" w:type="dxa"/>
          </w:tcPr>
          <w:p>
            <w:pPr>
              <w:pStyle w:val="TableParagraph"/>
              <w:spacing w:line="188" w:lineRule="exact" w:before="34"/>
              <w:ind w:left="148" w:right="153"/>
              <w:jc w:val="center"/>
              <w:rPr>
                <w:sz w:val="18"/>
              </w:rPr>
            </w:pPr>
            <w:r>
              <w:rPr>
                <w:spacing w:val="-2"/>
                <w:w w:val="105"/>
                <w:sz w:val="18"/>
              </w:rPr>
              <w:t>$349,520</w:t>
            </w:r>
          </w:p>
        </w:tc>
        <w:tc>
          <w:tcPr>
            <w:tcW w:w="223" w:type="dxa"/>
          </w:tcPr>
          <w:p>
            <w:pPr>
              <w:pStyle w:val="TableParagraph"/>
              <w:rPr>
                <w:sz w:val="16"/>
              </w:rPr>
            </w:pPr>
          </w:p>
        </w:tc>
        <w:tc>
          <w:tcPr>
            <w:tcW w:w="1020" w:type="dxa"/>
          </w:tcPr>
          <w:p>
            <w:pPr>
              <w:pStyle w:val="TableParagraph"/>
              <w:spacing w:line="188" w:lineRule="exact" w:before="34"/>
              <w:ind w:left="144" w:right="142"/>
              <w:jc w:val="center"/>
              <w:rPr>
                <w:sz w:val="18"/>
              </w:rPr>
            </w:pPr>
            <w:r>
              <w:rPr>
                <w:spacing w:val="-2"/>
                <w:w w:val="105"/>
                <w:sz w:val="18"/>
              </w:rPr>
              <w:t>$385,000</w:t>
            </w:r>
          </w:p>
        </w:tc>
      </w:tr>
    </w:tbl>
    <w:p>
      <w:pPr>
        <w:pStyle w:val="BodyText"/>
        <w:spacing w:before="5"/>
        <w:rPr>
          <w:sz w:val="17"/>
        </w:rPr>
      </w:pPr>
    </w:p>
    <w:p>
      <w:pPr>
        <w:pStyle w:val="BodyText"/>
        <w:spacing w:line="268" w:lineRule="auto"/>
        <w:ind w:left="1400" w:right="1430" w:firstLine="372"/>
      </w:pPr>
      <w:r>
        <w:rPr>
          <w:b/>
          <w:w w:val="105"/>
        </w:rPr>
        <w:t>Annual</w:t>
      </w:r>
      <w:r>
        <w:rPr>
          <w:b/>
          <w:spacing w:val="-6"/>
          <w:w w:val="105"/>
        </w:rPr>
        <w:t> </w:t>
      </w:r>
      <w:r>
        <w:rPr>
          <w:b/>
          <w:w w:val="105"/>
        </w:rPr>
        <w:t>Cash</w:t>
      </w:r>
      <w:r>
        <w:rPr>
          <w:b/>
          <w:spacing w:val="-6"/>
          <w:w w:val="105"/>
        </w:rPr>
        <w:t> </w:t>
      </w:r>
      <w:r>
        <w:rPr>
          <w:b/>
          <w:w w:val="105"/>
        </w:rPr>
        <w:t>Incentives.</w:t>
      </w:r>
      <w:r>
        <w:rPr>
          <w:b/>
          <w:spacing w:val="80"/>
          <w:w w:val="105"/>
        </w:rPr>
        <w:t> </w:t>
      </w:r>
      <w:r>
        <w:rPr>
          <w:w w:val="105"/>
        </w:rPr>
        <w:t>Our NEOs receive annual incentives through our Management Incentive Plan (“</w:t>
      </w:r>
      <w:r>
        <w:rPr>
          <w:b/>
          <w:w w:val="105"/>
        </w:rPr>
        <w:t>MIP</w:t>
      </w:r>
      <w:r>
        <w:rPr>
          <w:w w:val="105"/>
        </w:rPr>
        <w:t>”), which rewards our executive officers for the achievement of pre-determined annual financial and strategic goals. On November 18, 2021, the Compensation Committee set the fiscal year 2022 performance</w:t>
      </w:r>
      <w:r>
        <w:rPr>
          <w:spacing w:val="40"/>
          <w:w w:val="105"/>
        </w:rPr>
        <w:t> </w:t>
      </w:r>
      <w:r>
        <w:rPr>
          <w:w w:val="105"/>
        </w:rPr>
        <w:t>goals</w:t>
      </w:r>
      <w:r>
        <w:rPr>
          <w:spacing w:val="22"/>
          <w:w w:val="105"/>
        </w:rPr>
        <w:t> </w:t>
      </w:r>
      <w:r>
        <w:rPr>
          <w:w w:val="105"/>
        </w:rPr>
        <w:t>under</w:t>
      </w:r>
      <w:r>
        <w:rPr>
          <w:spacing w:val="22"/>
          <w:w w:val="105"/>
        </w:rPr>
        <w:t> </w:t>
      </w:r>
      <w:r>
        <w:rPr>
          <w:w w:val="105"/>
        </w:rPr>
        <w:t>the</w:t>
      </w:r>
      <w:r>
        <w:rPr>
          <w:spacing w:val="22"/>
          <w:w w:val="105"/>
        </w:rPr>
        <w:t> </w:t>
      </w:r>
      <w:r>
        <w:rPr>
          <w:w w:val="105"/>
        </w:rPr>
        <w:t>MIP for</w:t>
      </w:r>
      <w:r>
        <w:rPr>
          <w:spacing w:val="22"/>
          <w:w w:val="105"/>
        </w:rPr>
        <w:t> </w:t>
      </w:r>
      <w:r>
        <w:rPr>
          <w:w w:val="105"/>
        </w:rPr>
        <w:t>the</w:t>
      </w:r>
      <w:r>
        <w:rPr>
          <w:spacing w:val="22"/>
          <w:w w:val="105"/>
        </w:rPr>
        <w:t> </w:t>
      </w:r>
      <w:r>
        <w:rPr>
          <w:w w:val="105"/>
        </w:rPr>
        <w:t>NEOs</w:t>
      </w:r>
      <w:r>
        <w:rPr>
          <w:spacing w:val="22"/>
          <w:w w:val="105"/>
        </w:rPr>
        <w:t> </w:t>
      </w:r>
      <w:r>
        <w:rPr>
          <w:w w:val="105"/>
        </w:rPr>
        <w:t>and</w:t>
      </w:r>
      <w:r>
        <w:rPr>
          <w:spacing w:val="22"/>
          <w:w w:val="105"/>
        </w:rPr>
        <w:t> </w:t>
      </w:r>
      <w:r>
        <w:rPr>
          <w:w w:val="105"/>
        </w:rPr>
        <w:t>certain</w:t>
      </w:r>
      <w:r>
        <w:rPr>
          <w:spacing w:val="22"/>
          <w:w w:val="105"/>
        </w:rPr>
        <w:t> </w:t>
      </w:r>
      <w:r>
        <w:rPr>
          <w:w w:val="105"/>
        </w:rPr>
        <w:t>other</w:t>
      </w:r>
      <w:r>
        <w:rPr>
          <w:spacing w:val="22"/>
          <w:w w:val="105"/>
        </w:rPr>
        <w:t> </w:t>
      </w:r>
      <w:r>
        <w:rPr>
          <w:w w:val="105"/>
        </w:rPr>
        <w:t>executive</w:t>
      </w:r>
      <w:r>
        <w:rPr>
          <w:spacing w:val="22"/>
          <w:w w:val="105"/>
        </w:rPr>
        <w:t> </w:t>
      </w:r>
      <w:r>
        <w:rPr>
          <w:w w:val="105"/>
        </w:rPr>
        <w:t>officers.</w:t>
      </w:r>
      <w:r>
        <w:rPr>
          <w:spacing w:val="22"/>
          <w:w w:val="105"/>
        </w:rPr>
        <w:t> </w:t>
      </w:r>
      <w:r>
        <w:rPr>
          <w:w w:val="105"/>
        </w:rPr>
        <w:t>For</w:t>
      </w:r>
      <w:r>
        <w:rPr>
          <w:spacing w:val="22"/>
          <w:w w:val="105"/>
        </w:rPr>
        <w:t> </w:t>
      </w:r>
      <w:r>
        <w:rPr>
          <w:w w:val="105"/>
        </w:rPr>
        <w:t>fiscal</w:t>
      </w:r>
      <w:r>
        <w:rPr>
          <w:spacing w:val="22"/>
          <w:w w:val="105"/>
        </w:rPr>
        <w:t> </w:t>
      </w:r>
      <w:r>
        <w:rPr>
          <w:w w:val="105"/>
        </w:rPr>
        <w:t>year</w:t>
      </w:r>
      <w:r>
        <w:rPr>
          <w:spacing w:val="22"/>
          <w:w w:val="105"/>
        </w:rPr>
        <w:t> </w:t>
      </w:r>
      <w:r>
        <w:rPr>
          <w:w w:val="105"/>
        </w:rPr>
        <w:t>2022,</w:t>
      </w:r>
      <w:r>
        <w:rPr>
          <w:spacing w:val="22"/>
          <w:w w:val="105"/>
        </w:rPr>
        <w:t> </w:t>
      </w:r>
      <w:r>
        <w:rPr>
          <w:w w:val="105"/>
        </w:rPr>
        <w:t>the Compensation</w:t>
      </w:r>
      <w:r>
        <w:rPr>
          <w:spacing w:val="23"/>
          <w:w w:val="105"/>
        </w:rPr>
        <w:t> </w:t>
      </w:r>
      <w:r>
        <w:rPr>
          <w:w w:val="105"/>
        </w:rPr>
        <w:t>Committee</w:t>
      </w:r>
      <w:r>
        <w:rPr>
          <w:spacing w:val="23"/>
          <w:w w:val="105"/>
        </w:rPr>
        <w:t> </w:t>
      </w:r>
      <w:r>
        <w:rPr>
          <w:w w:val="105"/>
        </w:rPr>
        <w:t>established</w:t>
      </w:r>
      <w:r>
        <w:rPr>
          <w:spacing w:val="23"/>
          <w:w w:val="105"/>
        </w:rPr>
        <w:t> </w:t>
      </w:r>
      <w:r>
        <w:rPr>
          <w:w w:val="105"/>
        </w:rPr>
        <w:t>a</w:t>
      </w:r>
      <w:r>
        <w:rPr>
          <w:spacing w:val="23"/>
          <w:w w:val="105"/>
        </w:rPr>
        <w:t> </w:t>
      </w:r>
      <w:r>
        <w:rPr>
          <w:w w:val="105"/>
        </w:rPr>
        <w:t>pool</w:t>
      </w:r>
      <w:r>
        <w:rPr>
          <w:spacing w:val="23"/>
          <w:w w:val="105"/>
        </w:rPr>
        <w:t> </w:t>
      </w:r>
      <w:r>
        <w:rPr>
          <w:w w:val="105"/>
        </w:rPr>
        <w:t>of</w:t>
      </w:r>
      <w:r>
        <w:rPr>
          <w:spacing w:val="23"/>
          <w:w w:val="105"/>
        </w:rPr>
        <w:t> </w:t>
      </w:r>
      <w:r>
        <w:rPr>
          <w:w w:val="105"/>
        </w:rPr>
        <w:t>funds</w:t>
      </w:r>
      <w:r>
        <w:rPr>
          <w:spacing w:val="23"/>
          <w:w w:val="105"/>
        </w:rPr>
        <w:t> </w:t>
      </w:r>
      <w:r>
        <w:rPr>
          <w:w w:val="105"/>
        </w:rPr>
        <w:t>equal</w:t>
      </w:r>
      <w:r>
        <w:rPr>
          <w:spacing w:val="23"/>
          <w:w w:val="105"/>
        </w:rPr>
        <w:t> </w:t>
      </w:r>
      <w:r>
        <w:rPr>
          <w:w w:val="105"/>
        </w:rPr>
        <w:t>to</w:t>
      </w:r>
      <w:r>
        <w:rPr>
          <w:spacing w:val="23"/>
          <w:w w:val="105"/>
        </w:rPr>
        <w:t> </w:t>
      </w:r>
      <w:r>
        <w:rPr>
          <w:w w:val="105"/>
        </w:rPr>
        <w:t>4.0%</w:t>
      </w:r>
      <w:r>
        <w:rPr>
          <w:spacing w:val="23"/>
          <w:w w:val="105"/>
        </w:rPr>
        <w:t> </w:t>
      </w:r>
      <w:r>
        <w:rPr>
          <w:w w:val="105"/>
        </w:rPr>
        <w:t>of</w:t>
      </w:r>
      <w:r>
        <w:rPr>
          <w:spacing w:val="23"/>
          <w:w w:val="105"/>
        </w:rPr>
        <w:t> </w:t>
      </w:r>
      <w:r>
        <w:rPr>
          <w:w w:val="105"/>
        </w:rPr>
        <w:t>our</w:t>
      </w:r>
      <w:r>
        <w:rPr>
          <w:spacing w:val="23"/>
          <w:w w:val="105"/>
        </w:rPr>
        <w:t> </w:t>
      </w:r>
      <w:r>
        <w:rPr>
          <w:w w:val="105"/>
        </w:rPr>
        <w:t>fiscal</w:t>
      </w:r>
      <w:r>
        <w:rPr>
          <w:spacing w:val="23"/>
          <w:w w:val="105"/>
        </w:rPr>
        <w:t> </w:t>
      </w:r>
      <w:r>
        <w:rPr>
          <w:w w:val="105"/>
        </w:rPr>
        <w:t>year</w:t>
      </w:r>
      <w:r>
        <w:rPr>
          <w:spacing w:val="23"/>
          <w:w w:val="105"/>
        </w:rPr>
        <w:t> </w:t>
      </w:r>
      <w:r>
        <w:rPr>
          <w:w w:val="105"/>
        </w:rPr>
        <w:t>2022</w:t>
      </w:r>
      <w:r>
        <w:rPr>
          <w:spacing w:val="23"/>
          <w:w w:val="105"/>
        </w:rPr>
        <w:t> </w:t>
      </w:r>
      <w:r>
        <w:rPr>
          <w:w w:val="105"/>
        </w:rPr>
        <w:t>EBIT</w:t>
      </w:r>
      <w:r>
        <w:rPr>
          <w:spacing w:val="18"/>
          <w:w w:val="105"/>
        </w:rPr>
        <w:t> </w:t>
      </w:r>
      <w:r>
        <w:rPr>
          <w:w w:val="105"/>
        </w:rPr>
        <w:t>results</w:t>
      </w:r>
      <w:r>
        <w:rPr>
          <w:w w:val="105"/>
        </w:rPr>
        <w:t> (the</w:t>
      </w:r>
      <w:r>
        <w:rPr>
          <w:spacing w:val="19"/>
          <w:w w:val="105"/>
        </w:rPr>
        <w:t> </w:t>
      </w:r>
      <w:r>
        <w:rPr>
          <w:w w:val="105"/>
        </w:rPr>
        <w:t>“</w:t>
      </w:r>
      <w:r>
        <w:rPr>
          <w:b/>
          <w:w w:val="105"/>
        </w:rPr>
        <w:t>MIP</w:t>
      </w:r>
      <w:r>
        <w:rPr>
          <w:b/>
          <w:spacing w:val="-13"/>
          <w:w w:val="105"/>
        </w:rPr>
        <w:t> </w:t>
      </w:r>
      <w:r>
        <w:rPr>
          <w:b/>
          <w:w w:val="105"/>
        </w:rPr>
        <w:t>Bonus Pool</w:t>
      </w:r>
      <w:r>
        <w:rPr>
          <w:w w:val="105"/>
        </w:rPr>
        <w:t>”)</w:t>
      </w:r>
      <w:r>
        <w:rPr>
          <w:spacing w:val="19"/>
          <w:w w:val="105"/>
        </w:rPr>
        <w:t> </w:t>
      </w:r>
      <w:r>
        <w:rPr>
          <w:w w:val="105"/>
        </w:rPr>
        <w:t>to</w:t>
      </w:r>
      <w:r>
        <w:rPr>
          <w:spacing w:val="19"/>
          <w:w w:val="105"/>
        </w:rPr>
        <w:t> </w:t>
      </w:r>
      <w:r>
        <w:rPr>
          <w:w w:val="105"/>
        </w:rPr>
        <w:t>be</w:t>
      </w:r>
      <w:r>
        <w:rPr>
          <w:spacing w:val="19"/>
          <w:w w:val="105"/>
        </w:rPr>
        <w:t> </w:t>
      </w:r>
      <w:r>
        <w:rPr>
          <w:w w:val="105"/>
        </w:rPr>
        <w:t>available</w:t>
      </w:r>
      <w:r>
        <w:rPr>
          <w:spacing w:val="19"/>
          <w:w w:val="105"/>
        </w:rPr>
        <w:t> </w:t>
      </w:r>
      <w:r>
        <w:rPr>
          <w:w w:val="105"/>
        </w:rPr>
        <w:t>for</w:t>
      </w:r>
      <w:r>
        <w:rPr>
          <w:spacing w:val="19"/>
          <w:w w:val="105"/>
        </w:rPr>
        <w:t> </w:t>
      </w:r>
      <w:r>
        <w:rPr>
          <w:w w:val="105"/>
        </w:rPr>
        <w:t>annual</w:t>
      </w:r>
      <w:r>
        <w:rPr>
          <w:spacing w:val="19"/>
          <w:w w:val="105"/>
        </w:rPr>
        <w:t> </w:t>
      </w:r>
      <w:r>
        <w:rPr>
          <w:w w:val="105"/>
        </w:rPr>
        <w:t>cash</w:t>
      </w:r>
      <w:r>
        <w:rPr>
          <w:spacing w:val="19"/>
          <w:w w:val="105"/>
        </w:rPr>
        <w:t> </w:t>
      </w:r>
      <w:r>
        <w:rPr>
          <w:w w:val="105"/>
        </w:rPr>
        <w:t>incentives</w:t>
      </w:r>
      <w:r>
        <w:rPr>
          <w:spacing w:val="19"/>
          <w:w w:val="105"/>
        </w:rPr>
        <w:t> </w:t>
      </w:r>
      <w:r>
        <w:rPr>
          <w:w w:val="105"/>
        </w:rPr>
        <w:t>under</w:t>
      </w:r>
      <w:r>
        <w:rPr>
          <w:spacing w:val="19"/>
          <w:w w:val="105"/>
        </w:rPr>
        <w:t> </w:t>
      </w:r>
      <w:r>
        <w:rPr>
          <w:w w:val="105"/>
        </w:rPr>
        <w:t>the</w:t>
      </w:r>
      <w:r>
        <w:rPr>
          <w:spacing w:val="19"/>
          <w:w w:val="105"/>
        </w:rPr>
        <w:t> </w:t>
      </w:r>
      <w:r>
        <w:rPr>
          <w:w w:val="105"/>
        </w:rPr>
        <w:t>MIP to</w:t>
      </w:r>
      <w:r>
        <w:rPr>
          <w:spacing w:val="19"/>
          <w:w w:val="105"/>
        </w:rPr>
        <w:t> </w:t>
      </w:r>
      <w:r>
        <w:rPr>
          <w:w w:val="105"/>
        </w:rPr>
        <w:t>the</w:t>
      </w:r>
      <w:r>
        <w:rPr>
          <w:spacing w:val="19"/>
          <w:w w:val="105"/>
        </w:rPr>
        <w:t> </w:t>
      </w:r>
      <w:r>
        <w:rPr>
          <w:w w:val="105"/>
        </w:rPr>
        <w:t>executive</w:t>
      </w:r>
      <w:r>
        <w:rPr>
          <w:spacing w:val="19"/>
          <w:w w:val="105"/>
        </w:rPr>
        <w:t> </w:t>
      </w:r>
      <w:r>
        <w:rPr>
          <w:w w:val="105"/>
        </w:rPr>
        <w:t>officers. The Compensation Committee retained negative discretion to pay each of these executive officers less than</w:t>
      </w:r>
      <w:r>
        <w:rPr>
          <w:spacing w:val="40"/>
          <w:w w:val="105"/>
        </w:rPr>
        <w:t> </w:t>
      </w:r>
      <w:r>
        <w:rPr>
          <w:w w:val="105"/>
        </w:rPr>
        <w:t>their</w:t>
      </w:r>
      <w:r>
        <w:rPr>
          <w:spacing w:val="26"/>
          <w:w w:val="105"/>
        </w:rPr>
        <w:t> </w:t>
      </w:r>
      <w:r>
        <w:rPr>
          <w:w w:val="105"/>
        </w:rPr>
        <w:t>corresponding</w:t>
      </w:r>
      <w:r>
        <w:rPr>
          <w:spacing w:val="26"/>
          <w:w w:val="105"/>
        </w:rPr>
        <w:t> </w:t>
      </w:r>
      <w:r>
        <w:rPr>
          <w:w w:val="105"/>
        </w:rPr>
        <w:t>maximum</w:t>
      </w:r>
      <w:r>
        <w:rPr>
          <w:spacing w:val="26"/>
          <w:w w:val="105"/>
        </w:rPr>
        <w:t> </w:t>
      </w:r>
      <w:r>
        <w:rPr>
          <w:w w:val="105"/>
        </w:rPr>
        <w:t>share</w:t>
      </w:r>
      <w:r>
        <w:rPr>
          <w:spacing w:val="26"/>
          <w:w w:val="105"/>
        </w:rPr>
        <w:t> </w:t>
      </w:r>
      <w:r>
        <w:rPr>
          <w:w w:val="105"/>
        </w:rPr>
        <w:t>of</w:t>
      </w:r>
      <w:r>
        <w:rPr>
          <w:spacing w:val="26"/>
          <w:w w:val="105"/>
        </w:rPr>
        <w:t> </w:t>
      </w:r>
      <w:r>
        <w:rPr>
          <w:w w:val="105"/>
        </w:rPr>
        <w:t>the</w:t>
      </w:r>
      <w:r>
        <w:rPr>
          <w:spacing w:val="26"/>
          <w:w w:val="105"/>
        </w:rPr>
        <w:t> </w:t>
      </w:r>
      <w:r>
        <w:rPr>
          <w:w w:val="105"/>
        </w:rPr>
        <w:t>MIP Bonus</w:t>
      </w:r>
      <w:r>
        <w:rPr>
          <w:spacing w:val="26"/>
          <w:w w:val="105"/>
        </w:rPr>
        <w:t> </w:t>
      </w:r>
      <w:r>
        <w:rPr>
          <w:w w:val="105"/>
        </w:rPr>
        <w:t>Pool</w:t>
      </w:r>
      <w:r>
        <w:rPr>
          <w:spacing w:val="26"/>
          <w:w w:val="105"/>
        </w:rPr>
        <w:t> </w:t>
      </w:r>
      <w:r>
        <w:rPr>
          <w:w w:val="105"/>
        </w:rPr>
        <w:t>based</w:t>
      </w:r>
      <w:r>
        <w:rPr>
          <w:spacing w:val="26"/>
          <w:w w:val="105"/>
        </w:rPr>
        <w:t> </w:t>
      </w:r>
      <w:r>
        <w:rPr>
          <w:w w:val="105"/>
        </w:rPr>
        <w:t>on</w:t>
      </w:r>
      <w:r>
        <w:rPr>
          <w:spacing w:val="26"/>
          <w:w w:val="105"/>
        </w:rPr>
        <w:t> </w:t>
      </w:r>
      <w:r>
        <w:rPr>
          <w:w w:val="105"/>
        </w:rPr>
        <w:t>the</w:t>
      </w:r>
      <w:r>
        <w:rPr>
          <w:spacing w:val="26"/>
          <w:w w:val="105"/>
        </w:rPr>
        <w:t> </w:t>
      </w:r>
      <w:r>
        <w:rPr>
          <w:w w:val="105"/>
        </w:rPr>
        <w:t>financial</w:t>
      </w:r>
      <w:r>
        <w:rPr>
          <w:spacing w:val="26"/>
          <w:w w:val="105"/>
        </w:rPr>
        <w:t> </w:t>
      </w:r>
      <w:r>
        <w:rPr>
          <w:w w:val="105"/>
        </w:rPr>
        <w:t>performance</w:t>
      </w:r>
      <w:r>
        <w:rPr>
          <w:spacing w:val="26"/>
          <w:w w:val="105"/>
        </w:rPr>
        <w:t> </w:t>
      </w:r>
      <w:r>
        <w:rPr>
          <w:w w:val="105"/>
        </w:rPr>
        <w:t>measures, team</w:t>
      </w:r>
      <w:r>
        <w:rPr>
          <w:spacing w:val="26"/>
          <w:w w:val="105"/>
        </w:rPr>
        <w:t> </w:t>
      </w:r>
      <w:r>
        <w:rPr>
          <w:w w:val="105"/>
        </w:rPr>
        <w:t>and</w:t>
      </w:r>
      <w:r>
        <w:rPr>
          <w:spacing w:val="26"/>
          <w:w w:val="105"/>
        </w:rPr>
        <w:t> </w:t>
      </w:r>
      <w:r>
        <w:rPr>
          <w:w w:val="105"/>
        </w:rPr>
        <w:t>individual</w:t>
      </w:r>
      <w:r>
        <w:rPr>
          <w:spacing w:val="26"/>
          <w:w w:val="105"/>
        </w:rPr>
        <w:t> </w:t>
      </w:r>
      <w:r>
        <w:rPr>
          <w:w w:val="105"/>
        </w:rPr>
        <w:t>strategic</w:t>
      </w:r>
      <w:r>
        <w:rPr>
          <w:spacing w:val="26"/>
          <w:w w:val="105"/>
        </w:rPr>
        <w:t> </w:t>
      </w:r>
      <w:r>
        <w:rPr>
          <w:w w:val="105"/>
        </w:rPr>
        <w:t>goals</w:t>
      </w:r>
      <w:r>
        <w:rPr>
          <w:spacing w:val="26"/>
          <w:w w:val="105"/>
        </w:rPr>
        <w:t> </w:t>
      </w:r>
      <w:r>
        <w:rPr>
          <w:w w:val="105"/>
        </w:rPr>
        <w:t>summarized</w:t>
      </w:r>
      <w:r>
        <w:rPr>
          <w:spacing w:val="26"/>
          <w:w w:val="105"/>
        </w:rPr>
        <w:t> </w:t>
      </w:r>
      <w:r>
        <w:rPr>
          <w:w w:val="105"/>
        </w:rPr>
        <w:t>below.</w:t>
      </w:r>
      <w:r>
        <w:rPr>
          <w:spacing w:val="21"/>
          <w:w w:val="105"/>
        </w:rPr>
        <w:t> </w:t>
      </w:r>
      <w:r>
        <w:rPr>
          <w:w w:val="105"/>
        </w:rPr>
        <w:t>The</w:t>
      </w:r>
      <w:r>
        <w:rPr>
          <w:spacing w:val="26"/>
          <w:w w:val="105"/>
        </w:rPr>
        <w:t> </w:t>
      </w:r>
      <w:r>
        <w:rPr>
          <w:w w:val="105"/>
        </w:rPr>
        <w:t>corresponding</w:t>
      </w:r>
      <w:r>
        <w:rPr>
          <w:spacing w:val="26"/>
          <w:w w:val="105"/>
        </w:rPr>
        <w:t> </w:t>
      </w:r>
      <w:r>
        <w:rPr>
          <w:w w:val="105"/>
        </w:rPr>
        <w:t>maximum</w:t>
      </w:r>
      <w:r>
        <w:rPr>
          <w:spacing w:val="26"/>
          <w:w w:val="105"/>
        </w:rPr>
        <w:t> </w:t>
      </w:r>
      <w:r>
        <w:rPr>
          <w:w w:val="105"/>
        </w:rPr>
        <w:t>share</w:t>
      </w:r>
      <w:r>
        <w:rPr>
          <w:spacing w:val="26"/>
          <w:w w:val="105"/>
        </w:rPr>
        <w:t> </w:t>
      </w:r>
      <w:r>
        <w:rPr>
          <w:w w:val="105"/>
        </w:rPr>
        <w:t>of</w:t>
      </w:r>
      <w:r>
        <w:rPr>
          <w:spacing w:val="26"/>
          <w:w w:val="105"/>
        </w:rPr>
        <w:t> </w:t>
      </w:r>
      <w:r>
        <w:rPr>
          <w:w w:val="105"/>
        </w:rPr>
        <w:t>the</w:t>
      </w:r>
      <w:r>
        <w:rPr>
          <w:spacing w:val="26"/>
          <w:w w:val="105"/>
        </w:rPr>
        <w:t> </w:t>
      </w:r>
      <w:r>
        <w:rPr>
          <w:w w:val="105"/>
        </w:rPr>
        <w:t>MIP Bonus</w:t>
      </w:r>
      <w:r>
        <w:rPr>
          <w:spacing w:val="13"/>
          <w:w w:val="105"/>
        </w:rPr>
        <w:t> </w:t>
      </w:r>
      <w:r>
        <w:rPr>
          <w:w w:val="105"/>
        </w:rPr>
        <w:t>Pool</w:t>
      </w:r>
      <w:r>
        <w:rPr>
          <w:spacing w:val="13"/>
          <w:w w:val="105"/>
        </w:rPr>
        <w:t> </w:t>
      </w:r>
      <w:r>
        <w:rPr>
          <w:w w:val="105"/>
        </w:rPr>
        <w:t>was</w:t>
      </w:r>
      <w:r>
        <w:rPr>
          <w:spacing w:val="13"/>
          <w:w w:val="105"/>
        </w:rPr>
        <w:t> </w:t>
      </w:r>
      <w:r>
        <w:rPr>
          <w:w w:val="105"/>
        </w:rPr>
        <w:t>the</w:t>
      </w:r>
      <w:r>
        <w:rPr>
          <w:spacing w:val="13"/>
          <w:w w:val="105"/>
        </w:rPr>
        <w:t> </w:t>
      </w:r>
      <w:r>
        <w:rPr>
          <w:w w:val="105"/>
        </w:rPr>
        <w:t>lesser</w:t>
      </w:r>
      <w:r>
        <w:rPr>
          <w:spacing w:val="13"/>
          <w:w w:val="105"/>
        </w:rPr>
        <w:t> </w:t>
      </w:r>
      <w:r>
        <w:rPr>
          <w:w w:val="105"/>
        </w:rPr>
        <w:t>of</w:t>
      </w:r>
      <w:r>
        <w:rPr>
          <w:spacing w:val="13"/>
          <w:w w:val="105"/>
        </w:rPr>
        <w:t> </w:t>
      </w:r>
      <w:r>
        <w:rPr>
          <w:w w:val="105"/>
        </w:rPr>
        <w:t>two</w:t>
      </w:r>
      <w:r>
        <w:rPr>
          <w:spacing w:val="13"/>
          <w:w w:val="105"/>
        </w:rPr>
        <w:t> </w:t>
      </w:r>
      <w:r>
        <w:rPr>
          <w:w w:val="105"/>
        </w:rPr>
        <w:t>times</w:t>
      </w:r>
      <w:r>
        <w:rPr>
          <w:spacing w:val="13"/>
          <w:w w:val="105"/>
        </w:rPr>
        <w:t> </w:t>
      </w:r>
      <w:r>
        <w:rPr>
          <w:w w:val="105"/>
        </w:rPr>
        <w:t>the</w:t>
      </w:r>
      <w:r>
        <w:rPr>
          <w:spacing w:val="13"/>
          <w:w w:val="105"/>
        </w:rPr>
        <w:t> </w:t>
      </w:r>
      <w:r>
        <w:rPr>
          <w:w w:val="105"/>
        </w:rPr>
        <w:t>target</w:t>
      </w:r>
      <w:r>
        <w:rPr>
          <w:spacing w:val="13"/>
          <w:w w:val="105"/>
        </w:rPr>
        <w:t> </w:t>
      </w:r>
      <w:r>
        <w:rPr>
          <w:w w:val="105"/>
        </w:rPr>
        <w:t>participation</w:t>
      </w:r>
      <w:r>
        <w:rPr>
          <w:spacing w:val="13"/>
          <w:w w:val="105"/>
        </w:rPr>
        <w:t> </w:t>
      </w:r>
      <w:r>
        <w:rPr>
          <w:w w:val="105"/>
        </w:rPr>
        <w:t>level</w:t>
      </w:r>
      <w:r>
        <w:rPr>
          <w:spacing w:val="13"/>
          <w:w w:val="105"/>
        </w:rPr>
        <w:t> </w:t>
      </w:r>
      <w:r>
        <w:rPr>
          <w:w w:val="105"/>
        </w:rPr>
        <w:t>of</w:t>
      </w:r>
      <w:r>
        <w:rPr>
          <w:spacing w:val="13"/>
          <w:w w:val="105"/>
        </w:rPr>
        <w:t> </w:t>
      </w:r>
      <w:r>
        <w:rPr>
          <w:w w:val="105"/>
        </w:rPr>
        <w:t>each</w:t>
      </w:r>
      <w:r>
        <w:rPr>
          <w:spacing w:val="13"/>
          <w:w w:val="105"/>
        </w:rPr>
        <w:t> </w:t>
      </w:r>
      <w:r>
        <w:rPr>
          <w:w w:val="105"/>
        </w:rPr>
        <w:t>executive</w:t>
      </w:r>
      <w:r>
        <w:rPr>
          <w:spacing w:val="13"/>
          <w:w w:val="105"/>
        </w:rPr>
        <w:t> </w:t>
      </w:r>
      <w:r>
        <w:rPr>
          <w:w w:val="105"/>
        </w:rPr>
        <w:t>officer</w:t>
      </w:r>
      <w:r>
        <w:rPr>
          <w:spacing w:val="13"/>
          <w:w w:val="105"/>
        </w:rPr>
        <w:t> </w:t>
      </w:r>
      <w:r>
        <w:rPr>
          <w:w w:val="105"/>
        </w:rPr>
        <w:t>under</w:t>
      </w:r>
      <w:r>
        <w:rPr>
          <w:spacing w:val="13"/>
          <w:w w:val="105"/>
        </w:rPr>
        <w:t> </w:t>
      </w:r>
      <w:r>
        <w:rPr>
          <w:w w:val="105"/>
        </w:rPr>
        <w:t>the</w:t>
      </w:r>
      <w:r>
        <w:rPr>
          <w:spacing w:val="13"/>
          <w:w w:val="105"/>
        </w:rPr>
        <w:t> </w:t>
      </w:r>
      <w:r>
        <w:rPr>
          <w:w w:val="105"/>
        </w:rPr>
        <w:t>MIP or</w:t>
      </w:r>
      <w:r>
        <w:rPr>
          <w:spacing w:val="20"/>
          <w:w w:val="105"/>
        </w:rPr>
        <w:t> </w:t>
      </w:r>
      <w:r>
        <w:rPr>
          <w:w w:val="105"/>
        </w:rPr>
        <w:t>a</w:t>
      </w:r>
      <w:r>
        <w:rPr>
          <w:spacing w:val="20"/>
          <w:w w:val="105"/>
        </w:rPr>
        <w:t> </w:t>
      </w:r>
      <w:r>
        <w:rPr>
          <w:w w:val="105"/>
        </w:rPr>
        <w:t>specified</w:t>
      </w:r>
      <w:r>
        <w:rPr>
          <w:spacing w:val="20"/>
          <w:w w:val="105"/>
        </w:rPr>
        <w:t> </w:t>
      </w:r>
      <w:r>
        <w:rPr>
          <w:w w:val="105"/>
        </w:rPr>
        <w:t>percentage</w:t>
      </w:r>
      <w:r>
        <w:rPr>
          <w:spacing w:val="20"/>
          <w:w w:val="105"/>
        </w:rPr>
        <w:t> </w:t>
      </w:r>
      <w:r>
        <w:rPr>
          <w:w w:val="105"/>
        </w:rPr>
        <w:t>of</w:t>
      </w:r>
      <w:r>
        <w:rPr>
          <w:spacing w:val="20"/>
          <w:w w:val="105"/>
        </w:rPr>
        <w:t> </w:t>
      </w:r>
      <w:r>
        <w:rPr>
          <w:w w:val="105"/>
        </w:rPr>
        <w:t>the</w:t>
      </w:r>
      <w:r>
        <w:rPr>
          <w:spacing w:val="20"/>
          <w:w w:val="105"/>
        </w:rPr>
        <w:t> </w:t>
      </w:r>
      <w:r>
        <w:rPr>
          <w:w w:val="105"/>
        </w:rPr>
        <w:t>MIP Bonus</w:t>
      </w:r>
      <w:r>
        <w:rPr>
          <w:spacing w:val="20"/>
          <w:w w:val="105"/>
        </w:rPr>
        <w:t> </w:t>
      </w:r>
      <w:r>
        <w:rPr>
          <w:w w:val="105"/>
        </w:rPr>
        <w:t>Pool,</w:t>
      </w:r>
      <w:r>
        <w:rPr>
          <w:spacing w:val="20"/>
          <w:w w:val="105"/>
        </w:rPr>
        <w:t> </w:t>
      </w:r>
      <w:r>
        <w:rPr>
          <w:w w:val="105"/>
        </w:rPr>
        <w:t>which</w:t>
      </w:r>
      <w:r>
        <w:rPr>
          <w:spacing w:val="20"/>
          <w:w w:val="105"/>
        </w:rPr>
        <w:t> </w:t>
      </w:r>
      <w:r>
        <w:rPr>
          <w:w w:val="105"/>
        </w:rPr>
        <w:t>is</w:t>
      </w:r>
      <w:r>
        <w:rPr>
          <w:spacing w:val="20"/>
          <w:w w:val="105"/>
        </w:rPr>
        <w:t> </w:t>
      </w:r>
      <w:r>
        <w:rPr>
          <w:w w:val="105"/>
        </w:rPr>
        <w:t>defined</w:t>
      </w:r>
      <w:r>
        <w:rPr>
          <w:spacing w:val="20"/>
          <w:w w:val="105"/>
        </w:rPr>
        <w:t> </w:t>
      </w:r>
      <w:r>
        <w:rPr>
          <w:w w:val="105"/>
        </w:rPr>
        <w:t>in</w:t>
      </w:r>
      <w:r>
        <w:rPr>
          <w:spacing w:val="20"/>
          <w:w w:val="105"/>
        </w:rPr>
        <w:t> </w:t>
      </w:r>
      <w:r>
        <w:rPr>
          <w:w w:val="105"/>
        </w:rPr>
        <w:t>the</w:t>
      </w:r>
      <w:r>
        <w:rPr>
          <w:spacing w:val="20"/>
          <w:w w:val="105"/>
        </w:rPr>
        <w:t> </w:t>
      </w:r>
      <w:r>
        <w:rPr>
          <w:w w:val="105"/>
        </w:rPr>
        <w:t>table</w:t>
      </w:r>
      <w:r>
        <w:rPr>
          <w:spacing w:val="20"/>
          <w:w w:val="105"/>
        </w:rPr>
        <w:t> </w:t>
      </w:r>
      <w:r>
        <w:rPr>
          <w:w w:val="105"/>
        </w:rPr>
        <w:t>below</w:t>
      </w:r>
      <w:r>
        <w:rPr>
          <w:spacing w:val="20"/>
          <w:w w:val="105"/>
        </w:rPr>
        <w:t> </w:t>
      </w:r>
      <w:r>
        <w:rPr>
          <w:w w:val="105"/>
        </w:rPr>
        <w:t>for</w:t>
      </w:r>
      <w:r>
        <w:rPr>
          <w:spacing w:val="20"/>
          <w:w w:val="105"/>
        </w:rPr>
        <w:t> </w:t>
      </w:r>
      <w:r>
        <w:rPr>
          <w:w w:val="105"/>
        </w:rPr>
        <w:t>each</w:t>
      </w:r>
      <w:r>
        <w:rPr>
          <w:spacing w:val="20"/>
          <w:w w:val="105"/>
        </w:rPr>
        <w:t> </w:t>
      </w:r>
      <w:r>
        <w:rPr>
          <w:w w:val="105"/>
        </w:rPr>
        <w:t>NEO.</w:t>
      </w:r>
    </w:p>
    <w:p>
      <w:pPr>
        <w:pStyle w:val="BodyText"/>
        <w:spacing w:line="266" w:lineRule="auto" w:before="162"/>
        <w:ind w:left="1400" w:right="1551" w:firstLine="372"/>
      </w:pPr>
      <w:r>
        <w:rPr>
          <w:w w:val="105"/>
        </w:rPr>
        <w:t>The</w:t>
      </w:r>
      <w:r>
        <w:rPr>
          <w:spacing w:val="32"/>
          <w:w w:val="105"/>
        </w:rPr>
        <w:t> </w:t>
      </w:r>
      <w:r>
        <w:rPr>
          <w:w w:val="105"/>
        </w:rPr>
        <w:t>Compensation</w:t>
      </w:r>
      <w:r>
        <w:rPr>
          <w:spacing w:val="32"/>
          <w:w w:val="105"/>
        </w:rPr>
        <w:t> </w:t>
      </w:r>
      <w:r>
        <w:rPr>
          <w:w w:val="105"/>
        </w:rPr>
        <w:t>Committee</w:t>
      </w:r>
      <w:r>
        <w:rPr>
          <w:spacing w:val="32"/>
          <w:w w:val="105"/>
        </w:rPr>
        <w:t> </w:t>
      </w:r>
      <w:r>
        <w:rPr>
          <w:w w:val="105"/>
        </w:rPr>
        <w:t>sets</w:t>
      </w:r>
      <w:r>
        <w:rPr>
          <w:spacing w:val="32"/>
          <w:w w:val="105"/>
        </w:rPr>
        <w:t> </w:t>
      </w:r>
      <w:r>
        <w:rPr>
          <w:w w:val="105"/>
        </w:rPr>
        <w:t>individual</w:t>
      </w:r>
      <w:r>
        <w:rPr>
          <w:spacing w:val="32"/>
          <w:w w:val="105"/>
        </w:rPr>
        <w:t> </w:t>
      </w:r>
      <w:r>
        <w:rPr>
          <w:w w:val="105"/>
        </w:rPr>
        <w:t>incentive</w:t>
      </w:r>
      <w:r>
        <w:rPr>
          <w:spacing w:val="32"/>
          <w:w w:val="105"/>
        </w:rPr>
        <w:t> </w:t>
      </w:r>
      <w:r>
        <w:rPr>
          <w:w w:val="105"/>
        </w:rPr>
        <w:t>opportunities,</w:t>
      </w:r>
      <w:r>
        <w:rPr>
          <w:spacing w:val="32"/>
          <w:w w:val="105"/>
        </w:rPr>
        <w:t> </w:t>
      </w:r>
      <w:r>
        <w:rPr>
          <w:w w:val="105"/>
        </w:rPr>
        <w:t>expressed</w:t>
      </w:r>
      <w:r>
        <w:rPr>
          <w:spacing w:val="32"/>
          <w:w w:val="105"/>
        </w:rPr>
        <w:t> </w:t>
      </w:r>
      <w:r>
        <w:rPr>
          <w:w w:val="105"/>
        </w:rPr>
        <w:t>as</w:t>
      </w:r>
      <w:r>
        <w:rPr>
          <w:spacing w:val="32"/>
          <w:w w:val="105"/>
        </w:rPr>
        <w:t> </w:t>
      </w:r>
      <w:r>
        <w:rPr>
          <w:w w:val="105"/>
        </w:rPr>
        <w:t>a</w:t>
      </w:r>
      <w:r>
        <w:rPr>
          <w:spacing w:val="32"/>
          <w:w w:val="105"/>
        </w:rPr>
        <w:t> </w:t>
      </w:r>
      <w:r>
        <w:rPr>
          <w:w w:val="105"/>
        </w:rPr>
        <w:t>percentage</w:t>
      </w:r>
      <w:r>
        <w:rPr>
          <w:spacing w:val="32"/>
          <w:w w:val="105"/>
        </w:rPr>
        <w:t> </w:t>
      </w:r>
      <w:r>
        <w:rPr>
          <w:w w:val="105"/>
        </w:rPr>
        <w:t>of each individual’s salary, prior to the commencement of the fiscal year corresponding with each individual’s position and responsibilities with the Company and competitive pay practices. The target incentive opportunities are reviewed by the Compensation Committee, in consultation with its independent</w:t>
      </w:r>
      <w:r>
        <w:rPr>
          <w:spacing w:val="80"/>
          <w:w w:val="105"/>
        </w:rPr>
        <w:t> </w:t>
      </w:r>
      <w:r>
        <w:rPr>
          <w:w w:val="105"/>
        </w:rPr>
        <w:t>compensation consultant. For fiscal year 2022, the Committee increased bonus target percentages by 5% for</w:t>
      </w:r>
      <w:r>
        <w:rPr>
          <w:spacing w:val="40"/>
          <w:w w:val="105"/>
        </w:rPr>
        <w:t> </w:t>
      </w:r>
      <w:r>
        <w:rPr>
          <w:w w:val="105"/>
        </w:rPr>
        <w:t>Ms. Honeysett and Messrs. Giambattista and Hartmann. These changes were made to better align bonus opportunities with market.</w:t>
      </w:r>
    </w:p>
    <w:p>
      <w:pPr>
        <w:spacing w:after="0" w:line="266" w:lineRule="auto"/>
        <w:sectPr>
          <w:headerReference w:type="default" r:id="rId126"/>
          <w:footerReference w:type="default" r:id="rId127"/>
          <w:pgSz w:w="12240" w:h="15840"/>
          <w:pgMar w:header="529" w:footer="0" w:top="720" w:bottom="280" w:left="480" w:right="460"/>
        </w:sectPr>
      </w:pPr>
    </w:p>
    <w:p>
      <w:pPr>
        <w:pStyle w:val="BodyText"/>
        <w:rPr>
          <w:sz w:val="16"/>
        </w:rPr>
      </w:pPr>
    </w:p>
    <w:p>
      <w:pPr>
        <w:pStyle w:val="BodyText"/>
        <w:spacing w:before="4"/>
        <w:rPr>
          <w:sz w:val="14"/>
        </w:rPr>
      </w:pPr>
    </w:p>
    <w:p>
      <w:pPr>
        <w:spacing w:before="0"/>
        <w:ind w:left="0" w:right="0" w:firstLine="0"/>
        <w:jc w:val="right"/>
        <w:rPr>
          <w:b/>
          <w:sz w:val="15"/>
        </w:rPr>
      </w:pPr>
      <w:r>
        <w:rPr>
          <w:b/>
          <w:spacing w:val="-4"/>
          <w:sz w:val="15"/>
        </w:rPr>
        <w:t>MIP</w:t>
      </w:r>
      <w:r>
        <w:rPr>
          <w:b/>
          <w:spacing w:val="-15"/>
          <w:sz w:val="15"/>
        </w:rPr>
        <w:t> </w:t>
      </w:r>
      <w:r>
        <w:rPr>
          <w:b/>
          <w:spacing w:val="-2"/>
          <w:sz w:val="15"/>
        </w:rPr>
        <w:t>Target</w:t>
      </w:r>
    </w:p>
    <w:p>
      <w:pPr>
        <w:spacing w:line="240" w:lineRule="auto" w:before="1"/>
        <w:rPr>
          <w:b/>
          <w:sz w:val="16"/>
        </w:rPr>
      </w:pPr>
      <w:r>
        <w:rPr/>
        <w:br w:type="column"/>
      </w:r>
      <w:r>
        <w:rPr>
          <w:b/>
          <w:sz w:val="16"/>
        </w:rPr>
      </w:r>
    </w:p>
    <w:p>
      <w:pPr>
        <w:spacing w:line="232" w:lineRule="auto" w:before="1"/>
        <w:ind w:left="928" w:right="1497" w:firstLine="226"/>
        <w:jc w:val="left"/>
        <w:rPr>
          <w:b/>
          <w:sz w:val="15"/>
        </w:rPr>
      </w:pPr>
      <w:r>
        <w:rPr>
          <w:b/>
          <w:sz w:val="15"/>
        </w:rPr>
        <w:t>MIP</w:t>
      </w:r>
      <w:r>
        <w:rPr>
          <w:b/>
          <w:spacing w:val="-15"/>
          <w:sz w:val="15"/>
        </w:rPr>
        <w:t> </w:t>
      </w:r>
      <w:r>
        <w:rPr>
          <w:b/>
          <w:sz w:val="15"/>
        </w:rPr>
        <w:t>Maximum</w:t>
      </w:r>
      <w:r>
        <w:rPr>
          <w:b/>
          <w:spacing w:val="40"/>
          <w:sz w:val="15"/>
        </w:rPr>
        <w:t> </w:t>
      </w:r>
      <w:r>
        <w:rPr>
          <w:b/>
          <w:spacing w:val="-4"/>
          <w:sz w:val="15"/>
        </w:rPr>
        <w:t>(lesser</w:t>
      </w:r>
      <w:r>
        <w:rPr>
          <w:b/>
          <w:spacing w:val="-9"/>
          <w:sz w:val="15"/>
        </w:rPr>
        <w:t> </w:t>
      </w:r>
      <w:r>
        <w:rPr>
          <w:b/>
          <w:spacing w:val="-4"/>
          <w:sz w:val="15"/>
        </w:rPr>
        <w:t>of</w:t>
      </w:r>
      <w:r>
        <w:rPr>
          <w:b/>
          <w:spacing w:val="-7"/>
          <w:sz w:val="15"/>
        </w:rPr>
        <w:t> </w:t>
      </w:r>
      <w:r>
        <w:rPr>
          <w:b/>
          <w:spacing w:val="-4"/>
          <w:sz w:val="15"/>
        </w:rPr>
        <w:t>the</w:t>
      </w:r>
      <w:r>
        <w:rPr>
          <w:b/>
          <w:spacing w:val="-7"/>
          <w:sz w:val="15"/>
        </w:rPr>
        <w:t> </w:t>
      </w:r>
      <w:r>
        <w:rPr>
          <w:b/>
          <w:spacing w:val="-4"/>
          <w:sz w:val="15"/>
        </w:rPr>
        <w:t>following)</w:t>
      </w:r>
    </w:p>
    <w:p>
      <w:pPr>
        <w:spacing w:after="0" w:line="232" w:lineRule="auto"/>
        <w:jc w:val="left"/>
        <w:rPr>
          <w:sz w:val="15"/>
        </w:rPr>
        <w:sectPr>
          <w:type w:val="continuous"/>
          <w:pgSz w:w="12240" w:h="15840"/>
          <w:pgMar w:header="529" w:footer="0" w:top="600" w:bottom="960" w:left="480" w:right="460"/>
          <w:cols w:num="2" w:equalWidth="0">
            <w:col w:w="7268" w:space="40"/>
            <w:col w:w="3992"/>
          </w:cols>
        </w:sectPr>
      </w:pPr>
    </w:p>
    <w:p>
      <w:pPr>
        <w:pStyle w:val="BodyText"/>
        <w:spacing w:before="1"/>
        <w:rPr>
          <w:b/>
          <w:sz w:val="5"/>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1"/>
        <w:gridCol w:w="224"/>
        <w:gridCol w:w="755"/>
        <w:gridCol w:w="224"/>
        <w:gridCol w:w="741"/>
        <w:gridCol w:w="223"/>
        <w:gridCol w:w="700"/>
        <w:gridCol w:w="224"/>
        <w:gridCol w:w="755"/>
        <w:gridCol w:w="224"/>
        <w:gridCol w:w="951"/>
      </w:tblGrid>
      <w:tr>
        <w:trPr>
          <w:trHeight w:val="432" w:hRule="atLeast"/>
        </w:trPr>
        <w:tc>
          <w:tcPr>
            <w:tcW w:w="3481" w:type="dxa"/>
            <w:tcBorders>
              <w:bottom w:val="single" w:sz="6" w:space="0" w:color="000000"/>
            </w:tcBorders>
          </w:tcPr>
          <w:p>
            <w:pPr>
              <w:pStyle w:val="TableParagraph"/>
              <w:spacing w:before="1"/>
              <w:rPr>
                <w:b/>
                <w:sz w:val="18"/>
              </w:rPr>
            </w:pPr>
          </w:p>
          <w:p>
            <w:pPr>
              <w:pStyle w:val="TableParagraph"/>
              <w:spacing w:before="1"/>
              <w:rPr>
                <w:b/>
                <w:sz w:val="15"/>
              </w:rPr>
            </w:pPr>
            <w:r>
              <w:rPr>
                <w:b/>
                <w:spacing w:val="-4"/>
                <w:sz w:val="15"/>
              </w:rPr>
              <w:t>Name</w:t>
            </w:r>
          </w:p>
        </w:tc>
        <w:tc>
          <w:tcPr>
            <w:tcW w:w="224" w:type="dxa"/>
          </w:tcPr>
          <w:p>
            <w:pPr>
              <w:pStyle w:val="TableParagraph"/>
              <w:rPr>
                <w:sz w:val="18"/>
              </w:rPr>
            </w:pPr>
          </w:p>
        </w:tc>
        <w:tc>
          <w:tcPr>
            <w:tcW w:w="755" w:type="dxa"/>
            <w:tcBorders>
              <w:bottom w:val="single" w:sz="6" w:space="0" w:color="000000"/>
            </w:tcBorders>
          </w:tcPr>
          <w:p>
            <w:pPr>
              <w:pStyle w:val="TableParagraph"/>
              <w:spacing w:before="1"/>
              <w:rPr>
                <w:b/>
                <w:sz w:val="18"/>
              </w:rPr>
            </w:pPr>
          </w:p>
          <w:p>
            <w:pPr>
              <w:pStyle w:val="TableParagraph"/>
              <w:spacing w:before="1"/>
              <w:ind w:right="1"/>
              <w:jc w:val="center"/>
              <w:rPr>
                <w:b/>
                <w:sz w:val="15"/>
              </w:rPr>
            </w:pPr>
            <w:r>
              <w:rPr>
                <w:b/>
                <w:spacing w:val="-4"/>
                <w:sz w:val="15"/>
              </w:rPr>
              <w:t>Base</w:t>
            </w:r>
            <w:r>
              <w:rPr>
                <w:b/>
                <w:spacing w:val="-3"/>
                <w:sz w:val="15"/>
              </w:rPr>
              <w:t> </w:t>
            </w:r>
            <w:r>
              <w:rPr>
                <w:b/>
                <w:spacing w:val="-2"/>
                <w:sz w:val="15"/>
              </w:rPr>
              <w:t>Salary</w:t>
            </w:r>
          </w:p>
        </w:tc>
        <w:tc>
          <w:tcPr>
            <w:tcW w:w="224" w:type="dxa"/>
          </w:tcPr>
          <w:p>
            <w:pPr>
              <w:pStyle w:val="TableParagraph"/>
              <w:rPr>
                <w:sz w:val="18"/>
              </w:rPr>
            </w:pPr>
          </w:p>
        </w:tc>
        <w:tc>
          <w:tcPr>
            <w:tcW w:w="741" w:type="dxa"/>
            <w:tcBorders>
              <w:top w:val="single" w:sz="6" w:space="0" w:color="000000"/>
              <w:bottom w:val="single" w:sz="6" w:space="0" w:color="000000"/>
            </w:tcBorders>
          </w:tcPr>
          <w:p>
            <w:pPr>
              <w:pStyle w:val="TableParagraph"/>
              <w:spacing w:line="232" w:lineRule="auto" w:before="45"/>
              <w:ind w:left="7" w:right="6" w:firstLine="208"/>
              <w:rPr>
                <w:b/>
                <w:sz w:val="15"/>
              </w:rPr>
            </w:pPr>
            <w:r>
              <w:rPr>
                <w:b/>
                <w:sz w:val="15"/>
              </w:rPr>
              <w:t>%</w:t>
            </w:r>
            <w:r>
              <w:rPr>
                <w:b/>
                <w:spacing w:val="-10"/>
                <w:sz w:val="15"/>
              </w:rPr>
              <w:t> </w:t>
            </w:r>
            <w:r>
              <w:rPr>
                <w:b/>
                <w:sz w:val="15"/>
              </w:rPr>
              <w:t>of</w:t>
            </w:r>
            <w:r>
              <w:rPr>
                <w:b/>
                <w:spacing w:val="40"/>
                <w:sz w:val="15"/>
              </w:rPr>
              <w:t> </w:t>
            </w:r>
            <w:r>
              <w:rPr>
                <w:b/>
                <w:spacing w:val="-4"/>
                <w:sz w:val="15"/>
              </w:rPr>
              <w:t>Base</w:t>
            </w:r>
            <w:r>
              <w:rPr>
                <w:b/>
                <w:spacing w:val="-7"/>
                <w:sz w:val="15"/>
              </w:rPr>
              <w:t> </w:t>
            </w:r>
            <w:r>
              <w:rPr>
                <w:b/>
                <w:spacing w:val="-4"/>
                <w:sz w:val="15"/>
              </w:rPr>
              <w:t>Salary</w:t>
            </w:r>
          </w:p>
        </w:tc>
        <w:tc>
          <w:tcPr>
            <w:tcW w:w="223" w:type="dxa"/>
            <w:tcBorders>
              <w:top w:val="single" w:sz="6" w:space="0" w:color="000000"/>
            </w:tcBorders>
          </w:tcPr>
          <w:p>
            <w:pPr>
              <w:pStyle w:val="TableParagraph"/>
              <w:rPr>
                <w:sz w:val="18"/>
              </w:rPr>
            </w:pPr>
          </w:p>
        </w:tc>
        <w:tc>
          <w:tcPr>
            <w:tcW w:w="700" w:type="dxa"/>
            <w:tcBorders>
              <w:top w:val="single" w:sz="6" w:space="0" w:color="000000"/>
              <w:bottom w:val="single" w:sz="6" w:space="0" w:color="000000"/>
            </w:tcBorders>
          </w:tcPr>
          <w:p>
            <w:pPr>
              <w:pStyle w:val="TableParagraph"/>
              <w:spacing w:before="1"/>
              <w:rPr>
                <w:b/>
                <w:sz w:val="18"/>
              </w:rPr>
            </w:pPr>
          </w:p>
          <w:p>
            <w:pPr>
              <w:pStyle w:val="TableParagraph"/>
              <w:spacing w:before="1"/>
              <w:ind w:left="74" w:right="71"/>
              <w:jc w:val="center"/>
              <w:rPr>
                <w:b/>
                <w:sz w:val="15"/>
              </w:rPr>
            </w:pPr>
            <w:r>
              <w:rPr>
                <w:b/>
                <w:spacing w:val="-2"/>
                <w:sz w:val="15"/>
              </w:rPr>
              <w:t>Amount</w:t>
            </w:r>
          </w:p>
        </w:tc>
        <w:tc>
          <w:tcPr>
            <w:tcW w:w="224" w:type="dxa"/>
          </w:tcPr>
          <w:p>
            <w:pPr>
              <w:pStyle w:val="TableParagraph"/>
              <w:rPr>
                <w:sz w:val="18"/>
              </w:rPr>
            </w:pPr>
          </w:p>
        </w:tc>
        <w:tc>
          <w:tcPr>
            <w:tcW w:w="755" w:type="dxa"/>
            <w:tcBorders>
              <w:top w:val="single" w:sz="6" w:space="0" w:color="000000"/>
              <w:bottom w:val="single" w:sz="6" w:space="0" w:color="000000"/>
            </w:tcBorders>
          </w:tcPr>
          <w:p>
            <w:pPr>
              <w:pStyle w:val="TableParagraph"/>
              <w:spacing w:line="232" w:lineRule="auto" w:before="45"/>
              <w:ind w:left="16" w:right="11" w:firstLine="208"/>
              <w:rPr>
                <w:b/>
                <w:sz w:val="15"/>
              </w:rPr>
            </w:pPr>
            <w:r>
              <w:rPr>
                <w:b/>
                <w:sz w:val="15"/>
              </w:rPr>
              <w:t>%</w:t>
            </w:r>
            <w:r>
              <w:rPr>
                <w:b/>
                <w:spacing w:val="-10"/>
                <w:sz w:val="15"/>
              </w:rPr>
              <w:t> </w:t>
            </w:r>
            <w:r>
              <w:rPr>
                <w:b/>
                <w:sz w:val="15"/>
              </w:rPr>
              <w:t>of</w:t>
            </w:r>
            <w:r>
              <w:rPr>
                <w:b/>
                <w:spacing w:val="40"/>
                <w:sz w:val="15"/>
              </w:rPr>
              <w:t> </w:t>
            </w:r>
            <w:r>
              <w:rPr>
                <w:b/>
                <w:spacing w:val="-4"/>
                <w:sz w:val="15"/>
              </w:rPr>
              <w:t>Base</w:t>
            </w:r>
            <w:r>
              <w:rPr>
                <w:b/>
                <w:spacing w:val="-7"/>
                <w:sz w:val="15"/>
              </w:rPr>
              <w:t> </w:t>
            </w:r>
            <w:r>
              <w:rPr>
                <w:b/>
                <w:spacing w:val="-4"/>
                <w:sz w:val="15"/>
              </w:rPr>
              <w:t>Salary</w:t>
            </w:r>
          </w:p>
        </w:tc>
        <w:tc>
          <w:tcPr>
            <w:tcW w:w="224" w:type="dxa"/>
            <w:tcBorders>
              <w:top w:val="single" w:sz="6" w:space="0" w:color="000000"/>
            </w:tcBorders>
          </w:tcPr>
          <w:p>
            <w:pPr>
              <w:pStyle w:val="TableParagraph"/>
              <w:rPr>
                <w:sz w:val="18"/>
              </w:rPr>
            </w:pPr>
          </w:p>
        </w:tc>
        <w:tc>
          <w:tcPr>
            <w:tcW w:w="951" w:type="dxa"/>
            <w:tcBorders>
              <w:top w:val="single" w:sz="6" w:space="0" w:color="000000"/>
              <w:bottom w:val="single" w:sz="6" w:space="0" w:color="000000"/>
            </w:tcBorders>
          </w:tcPr>
          <w:p>
            <w:pPr>
              <w:pStyle w:val="TableParagraph"/>
              <w:spacing w:line="232" w:lineRule="auto" w:before="45"/>
              <w:ind w:left="127" w:hanging="114"/>
              <w:rPr>
                <w:b/>
                <w:sz w:val="15"/>
              </w:rPr>
            </w:pPr>
            <w:r>
              <w:rPr>
                <w:b/>
                <w:spacing w:val="-4"/>
                <w:sz w:val="15"/>
              </w:rPr>
              <w:t>As</w:t>
            </w:r>
            <w:r>
              <w:rPr>
                <w:b/>
                <w:spacing w:val="-7"/>
                <w:sz w:val="15"/>
              </w:rPr>
              <w:t> </w:t>
            </w:r>
            <w:r>
              <w:rPr>
                <w:b/>
                <w:spacing w:val="-4"/>
                <w:sz w:val="15"/>
              </w:rPr>
              <w:t>a</w:t>
            </w:r>
            <w:r>
              <w:rPr>
                <w:b/>
                <w:spacing w:val="-7"/>
                <w:sz w:val="15"/>
              </w:rPr>
              <w:t> </w:t>
            </w:r>
            <w:r>
              <w:rPr>
                <w:b/>
                <w:spacing w:val="-4"/>
                <w:sz w:val="15"/>
              </w:rPr>
              <w:t>%</w:t>
            </w:r>
            <w:r>
              <w:rPr>
                <w:b/>
                <w:spacing w:val="-7"/>
                <w:sz w:val="15"/>
              </w:rPr>
              <w:t> </w:t>
            </w:r>
            <w:r>
              <w:rPr>
                <w:b/>
                <w:spacing w:val="-4"/>
                <w:sz w:val="15"/>
              </w:rPr>
              <w:t>of</w:t>
            </w:r>
            <w:r>
              <w:rPr>
                <w:b/>
                <w:spacing w:val="-7"/>
                <w:sz w:val="15"/>
              </w:rPr>
              <w:t> </w:t>
            </w:r>
            <w:r>
              <w:rPr>
                <w:b/>
                <w:spacing w:val="-4"/>
                <w:sz w:val="15"/>
              </w:rPr>
              <w:t>MIP</w:t>
            </w:r>
            <w:r>
              <w:rPr>
                <w:b/>
                <w:spacing w:val="40"/>
                <w:sz w:val="15"/>
              </w:rPr>
              <w:t> </w:t>
            </w:r>
            <w:r>
              <w:rPr>
                <w:b/>
                <w:sz w:val="15"/>
              </w:rPr>
              <w:t>Bonus</w:t>
            </w:r>
            <w:r>
              <w:rPr>
                <w:b/>
                <w:spacing w:val="-10"/>
                <w:sz w:val="15"/>
              </w:rPr>
              <w:t> </w:t>
            </w:r>
            <w:r>
              <w:rPr>
                <w:b/>
                <w:sz w:val="15"/>
              </w:rPr>
              <w:t>Pool</w:t>
            </w:r>
          </w:p>
        </w:tc>
      </w:tr>
      <w:tr>
        <w:trPr>
          <w:trHeight w:val="286" w:hRule="atLeast"/>
        </w:trPr>
        <w:tc>
          <w:tcPr>
            <w:tcW w:w="3481" w:type="dxa"/>
            <w:tcBorders>
              <w:top w:val="single" w:sz="6" w:space="0" w:color="000000"/>
            </w:tcBorders>
          </w:tcPr>
          <w:p>
            <w:pPr>
              <w:pStyle w:val="TableParagraph"/>
              <w:spacing w:before="41"/>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4" w:type="dxa"/>
          </w:tcPr>
          <w:p>
            <w:pPr>
              <w:pStyle w:val="TableParagraph"/>
              <w:rPr>
                <w:sz w:val="18"/>
              </w:rPr>
            </w:pPr>
          </w:p>
        </w:tc>
        <w:tc>
          <w:tcPr>
            <w:tcW w:w="755" w:type="dxa"/>
            <w:tcBorders>
              <w:top w:val="single" w:sz="6" w:space="0" w:color="000000"/>
            </w:tcBorders>
          </w:tcPr>
          <w:p>
            <w:pPr>
              <w:pStyle w:val="TableParagraph"/>
              <w:spacing w:before="41"/>
              <w:ind w:right="2"/>
              <w:jc w:val="center"/>
              <w:rPr>
                <w:sz w:val="18"/>
              </w:rPr>
            </w:pPr>
            <w:r>
              <w:rPr>
                <w:spacing w:val="-2"/>
                <w:w w:val="105"/>
                <w:sz w:val="18"/>
              </w:rPr>
              <w:t>$738,000</w:t>
            </w:r>
          </w:p>
        </w:tc>
        <w:tc>
          <w:tcPr>
            <w:tcW w:w="224" w:type="dxa"/>
          </w:tcPr>
          <w:p>
            <w:pPr>
              <w:pStyle w:val="TableParagraph"/>
              <w:rPr>
                <w:sz w:val="18"/>
              </w:rPr>
            </w:pPr>
          </w:p>
        </w:tc>
        <w:tc>
          <w:tcPr>
            <w:tcW w:w="741" w:type="dxa"/>
            <w:tcBorders>
              <w:top w:val="single" w:sz="6" w:space="0" w:color="000000"/>
            </w:tcBorders>
          </w:tcPr>
          <w:p>
            <w:pPr>
              <w:pStyle w:val="TableParagraph"/>
              <w:spacing w:before="41"/>
              <w:ind w:right="77"/>
              <w:jc w:val="right"/>
              <w:rPr>
                <w:sz w:val="18"/>
              </w:rPr>
            </w:pPr>
            <w:r>
              <w:rPr>
                <w:spacing w:val="-4"/>
                <w:w w:val="105"/>
                <w:sz w:val="18"/>
              </w:rPr>
              <w:t>100%</w:t>
            </w:r>
          </w:p>
        </w:tc>
        <w:tc>
          <w:tcPr>
            <w:tcW w:w="223" w:type="dxa"/>
          </w:tcPr>
          <w:p>
            <w:pPr>
              <w:pStyle w:val="TableParagraph"/>
              <w:rPr>
                <w:sz w:val="18"/>
              </w:rPr>
            </w:pPr>
          </w:p>
        </w:tc>
        <w:tc>
          <w:tcPr>
            <w:tcW w:w="700" w:type="dxa"/>
            <w:tcBorders>
              <w:top w:val="single" w:sz="6" w:space="0" w:color="000000"/>
            </w:tcBorders>
          </w:tcPr>
          <w:p>
            <w:pPr>
              <w:pStyle w:val="TableParagraph"/>
              <w:spacing w:before="41"/>
              <w:ind w:left="-1" w:right="-15"/>
              <w:jc w:val="center"/>
              <w:rPr>
                <w:sz w:val="18"/>
              </w:rPr>
            </w:pPr>
            <w:r>
              <w:rPr>
                <w:spacing w:val="-2"/>
                <w:w w:val="105"/>
                <w:sz w:val="18"/>
              </w:rPr>
              <w:t>$738,000</w:t>
            </w:r>
          </w:p>
        </w:tc>
        <w:tc>
          <w:tcPr>
            <w:tcW w:w="224" w:type="dxa"/>
          </w:tcPr>
          <w:p>
            <w:pPr>
              <w:pStyle w:val="TableParagraph"/>
              <w:rPr>
                <w:sz w:val="18"/>
              </w:rPr>
            </w:pPr>
          </w:p>
        </w:tc>
        <w:tc>
          <w:tcPr>
            <w:tcW w:w="755" w:type="dxa"/>
            <w:tcBorders>
              <w:top w:val="single" w:sz="6" w:space="0" w:color="000000"/>
            </w:tcBorders>
          </w:tcPr>
          <w:p>
            <w:pPr>
              <w:pStyle w:val="TableParagraph"/>
              <w:spacing w:before="41"/>
              <w:ind w:right="82"/>
              <w:jc w:val="right"/>
              <w:rPr>
                <w:sz w:val="18"/>
              </w:rPr>
            </w:pPr>
            <w:r>
              <w:rPr>
                <w:spacing w:val="-4"/>
                <w:w w:val="105"/>
                <w:sz w:val="18"/>
              </w:rPr>
              <w:t>200%</w:t>
            </w:r>
          </w:p>
        </w:tc>
        <w:tc>
          <w:tcPr>
            <w:tcW w:w="224" w:type="dxa"/>
          </w:tcPr>
          <w:p>
            <w:pPr>
              <w:pStyle w:val="TableParagraph"/>
              <w:rPr>
                <w:sz w:val="18"/>
              </w:rPr>
            </w:pPr>
          </w:p>
        </w:tc>
        <w:tc>
          <w:tcPr>
            <w:tcW w:w="951" w:type="dxa"/>
            <w:tcBorders>
              <w:top w:val="single" w:sz="6" w:space="0" w:color="000000"/>
            </w:tcBorders>
          </w:tcPr>
          <w:p>
            <w:pPr>
              <w:pStyle w:val="TableParagraph"/>
              <w:spacing w:before="41"/>
              <w:ind w:right="158"/>
              <w:jc w:val="right"/>
              <w:rPr>
                <w:sz w:val="18"/>
              </w:rPr>
            </w:pPr>
            <w:r>
              <w:rPr>
                <w:spacing w:val="-4"/>
                <w:w w:val="105"/>
                <w:sz w:val="18"/>
              </w:rPr>
              <w:t>39.4%</w:t>
            </w:r>
          </w:p>
        </w:tc>
      </w:tr>
      <w:tr>
        <w:trPr>
          <w:trHeight w:val="279" w:hRule="atLeast"/>
        </w:trPr>
        <w:tc>
          <w:tcPr>
            <w:tcW w:w="3481" w:type="dxa"/>
          </w:tcPr>
          <w:p>
            <w:pPr>
              <w:pStyle w:val="TableParagraph"/>
              <w:spacing w:before="34"/>
              <w:rPr>
                <w:sz w:val="18"/>
              </w:rPr>
            </w:pPr>
            <w:r>
              <w:rPr>
                <w:w w:val="105"/>
                <w:sz w:val="18"/>
              </w:rPr>
              <w:t>Shubham</w:t>
            </w:r>
            <w:r>
              <w:rPr>
                <w:spacing w:val="11"/>
                <w:w w:val="105"/>
                <w:sz w:val="18"/>
              </w:rPr>
              <w:t> </w:t>
            </w:r>
            <w:r>
              <w:rPr>
                <w:spacing w:val="-2"/>
                <w:w w:val="105"/>
                <w:sz w:val="18"/>
              </w:rPr>
              <w:t>Maheshwari</w:t>
            </w:r>
          </w:p>
        </w:tc>
        <w:tc>
          <w:tcPr>
            <w:tcW w:w="224" w:type="dxa"/>
          </w:tcPr>
          <w:p>
            <w:pPr>
              <w:pStyle w:val="TableParagraph"/>
              <w:rPr>
                <w:sz w:val="18"/>
              </w:rPr>
            </w:pPr>
          </w:p>
        </w:tc>
        <w:tc>
          <w:tcPr>
            <w:tcW w:w="755" w:type="dxa"/>
          </w:tcPr>
          <w:p>
            <w:pPr>
              <w:pStyle w:val="TableParagraph"/>
              <w:spacing w:before="34"/>
              <w:ind w:right="2"/>
              <w:jc w:val="center"/>
              <w:rPr>
                <w:sz w:val="18"/>
              </w:rPr>
            </w:pPr>
            <w:r>
              <w:rPr>
                <w:spacing w:val="-2"/>
                <w:w w:val="105"/>
                <w:sz w:val="18"/>
              </w:rPr>
              <w:t>$474,000</w:t>
            </w:r>
          </w:p>
        </w:tc>
        <w:tc>
          <w:tcPr>
            <w:tcW w:w="224" w:type="dxa"/>
          </w:tcPr>
          <w:p>
            <w:pPr>
              <w:pStyle w:val="TableParagraph"/>
              <w:rPr>
                <w:sz w:val="18"/>
              </w:rPr>
            </w:pPr>
          </w:p>
        </w:tc>
        <w:tc>
          <w:tcPr>
            <w:tcW w:w="741" w:type="dxa"/>
          </w:tcPr>
          <w:p>
            <w:pPr>
              <w:pStyle w:val="TableParagraph"/>
              <w:spacing w:before="34"/>
              <w:ind w:right="77"/>
              <w:jc w:val="right"/>
              <w:rPr>
                <w:sz w:val="18"/>
              </w:rPr>
            </w:pPr>
            <w:r>
              <w:rPr>
                <w:spacing w:val="-5"/>
                <w:w w:val="105"/>
                <w:sz w:val="18"/>
              </w:rPr>
              <w:t>65%</w:t>
            </w:r>
          </w:p>
        </w:tc>
        <w:tc>
          <w:tcPr>
            <w:tcW w:w="223" w:type="dxa"/>
          </w:tcPr>
          <w:p>
            <w:pPr>
              <w:pStyle w:val="TableParagraph"/>
              <w:rPr>
                <w:sz w:val="18"/>
              </w:rPr>
            </w:pPr>
          </w:p>
        </w:tc>
        <w:tc>
          <w:tcPr>
            <w:tcW w:w="700" w:type="dxa"/>
          </w:tcPr>
          <w:p>
            <w:pPr>
              <w:pStyle w:val="TableParagraph"/>
              <w:spacing w:before="34"/>
              <w:ind w:left="-1" w:right="-15"/>
              <w:jc w:val="center"/>
              <w:rPr>
                <w:sz w:val="18"/>
              </w:rPr>
            </w:pPr>
            <w:r>
              <w:rPr>
                <w:spacing w:val="-2"/>
                <w:w w:val="105"/>
                <w:sz w:val="18"/>
              </w:rPr>
              <w:t>$308,100</w:t>
            </w:r>
          </w:p>
        </w:tc>
        <w:tc>
          <w:tcPr>
            <w:tcW w:w="224" w:type="dxa"/>
          </w:tcPr>
          <w:p>
            <w:pPr>
              <w:pStyle w:val="TableParagraph"/>
              <w:rPr>
                <w:sz w:val="18"/>
              </w:rPr>
            </w:pPr>
          </w:p>
        </w:tc>
        <w:tc>
          <w:tcPr>
            <w:tcW w:w="755" w:type="dxa"/>
          </w:tcPr>
          <w:p>
            <w:pPr>
              <w:pStyle w:val="TableParagraph"/>
              <w:spacing w:before="34"/>
              <w:ind w:right="82"/>
              <w:jc w:val="right"/>
              <w:rPr>
                <w:sz w:val="18"/>
              </w:rPr>
            </w:pPr>
            <w:r>
              <w:rPr>
                <w:spacing w:val="-4"/>
                <w:w w:val="105"/>
                <w:sz w:val="18"/>
              </w:rPr>
              <w:t>130%</w:t>
            </w:r>
          </w:p>
        </w:tc>
        <w:tc>
          <w:tcPr>
            <w:tcW w:w="224" w:type="dxa"/>
          </w:tcPr>
          <w:p>
            <w:pPr>
              <w:pStyle w:val="TableParagraph"/>
              <w:rPr>
                <w:sz w:val="18"/>
              </w:rPr>
            </w:pPr>
          </w:p>
        </w:tc>
        <w:tc>
          <w:tcPr>
            <w:tcW w:w="951" w:type="dxa"/>
          </w:tcPr>
          <w:p>
            <w:pPr>
              <w:pStyle w:val="TableParagraph"/>
              <w:spacing w:before="34"/>
              <w:ind w:right="158"/>
              <w:jc w:val="right"/>
              <w:rPr>
                <w:sz w:val="18"/>
              </w:rPr>
            </w:pPr>
            <w:r>
              <w:rPr>
                <w:spacing w:val="-4"/>
                <w:w w:val="105"/>
                <w:sz w:val="18"/>
              </w:rPr>
              <w:t>16.4%</w:t>
            </w:r>
          </w:p>
        </w:tc>
      </w:tr>
      <w:tr>
        <w:trPr>
          <w:trHeight w:val="279" w:hRule="atLeast"/>
        </w:trPr>
        <w:tc>
          <w:tcPr>
            <w:tcW w:w="3481" w:type="dxa"/>
          </w:tcPr>
          <w:p>
            <w:pPr>
              <w:pStyle w:val="TableParagraph"/>
              <w:spacing w:before="3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4" w:type="dxa"/>
          </w:tcPr>
          <w:p>
            <w:pPr>
              <w:pStyle w:val="TableParagraph"/>
              <w:rPr>
                <w:sz w:val="18"/>
              </w:rPr>
            </w:pPr>
          </w:p>
        </w:tc>
        <w:tc>
          <w:tcPr>
            <w:tcW w:w="755" w:type="dxa"/>
          </w:tcPr>
          <w:p>
            <w:pPr>
              <w:pStyle w:val="TableParagraph"/>
              <w:spacing w:before="34"/>
              <w:ind w:right="2"/>
              <w:jc w:val="center"/>
              <w:rPr>
                <w:sz w:val="18"/>
              </w:rPr>
            </w:pPr>
            <w:r>
              <w:rPr>
                <w:spacing w:val="-2"/>
                <w:w w:val="105"/>
                <w:sz w:val="18"/>
              </w:rPr>
              <w:t>$380,000</w:t>
            </w:r>
          </w:p>
        </w:tc>
        <w:tc>
          <w:tcPr>
            <w:tcW w:w="224" w:type="dxa"/>
          </w:tcPr>
          <w:p>
            <w:pPr>
              <w:pStyle w:val="TableParagraph"/>
              <w:rPr>
                <w:sz w:val="18"/>
              </w:rPr>
            </w:pPr>
          </w:p>
        </w:tc>
        <w:tc>
          <w:tcPr>
            <w:tcW w:w="741" w:type="dxa"/>
          </w:tcPr>
          <w:p>
            <w:pPr>
              <w:pStyle w:val="TableParagraph"/>
              <w:spacing w:before="34"/>
              <w:ind w:right="77"/>
              <w:jc w:val="right"/>
              <w:rPr>
                <w:sz w:val="18"/>
              </w:rPr>
            </w:pPr>
            <w:r>
              <w:rPr>
                <w:spacing w:val="-5"/>
                <w:w w:val="105"/>
                <w:sz w:val="18"/>
              </w:rPr>
              <w:t>55%</w:t>
            </w:r>
          </w:p>
        </w:tc>
        <w:tc>
          <w:tcPr>
            <w:tcW w:w="223" w:type="dxa"/>
          </w:tcPr>
          <w:p>
            <w:pPr>
              <w:pStyle w:val="TableParagraph"/>
              <w:rPr>
                <w:sz w:val="18"/>
              </w:rPr>
            </w:pPr>
          </w:p>
        </w:tc>
        <w:tc>
          <w:tcPr>
            <w:tcW w:w="700" w:type="dxa"/>
          </w:tcPr>
          <w:p>
            <w:pPr>
              <w:pStyle w:val="TableParagraph"/>
              <w:spacing w:before="34"/>
              <w:ind w:left="-1" w:right="-15"/>
              <w:jc w:val="center"/>
              <w:rPr>
                <w:sz w:val="18"/>
              </w:rPr>
            </w:pPr>
            <w:r>
              <w:rPr>
                <w:spacing w:val="-2"/>
                <w:w w:val="105"/>
                <w:sz w:val="18"/>
              </w:rPr>
              <w:t>$209,000</w:t>
            </w:r>
          </w:p>
        </w:tc>
        <w:tc>
          <w:tcPr>
            <w:tcW w:w="224" w:type="dxa"/>
          </w:tcPr>
          <w:p>
            <w:pPr>
              <w:pStyle w:val="TableParagraph"/>
              <w:rPr>
                <w:sz w:val="18"/>
              </w:rPr>
            </w:pPr>
          </w:p>
        </w:tc>
        <w:tc>
          <w:tcPr>
            <w:tcW w:w="755" w:type="dxa"/>
          </w:tcPr>
          <w:p>
            <w:pPr>
              <w:pStyle w:val="TableParagraph"/>
              <w:spacing w:before="34"/>
              <w:ind w:right="82"/>
              <w:jc w:val="right"/>
              <w:rPr>
                <w:sz w:val="18"/>
              </w:rPr>
            </w:pPr>
            <w:r>
              <w:rPr>
                <w:spacing w:val="-4"/>
                <w:w w:val="105"/>
                <w:sz w:val="18"/>
              </w:rPr>
              <w:t>110%</w:t>
            </w:r>
          </w:p>
        </w:tc>
        <w:tc>
          <w:tcPr>
            <w:tcW w:w="224" w:type="dxa"/>
          </w:tcPr>
          <w:p>
            <w:pPr>
              <w:pStyle w:val="TableParagraph"/>
              <w:rPr>
                <w:sz w:val="18"/>
              </w:rPr>
            </w:pPr>
          </w:p>
        </w:tc>
        <w:tc>
          <w:tcPr>
            <w:tcW w:w="951" w:type="dxa"/>
          </w:tcPr>
          <w:p>
            <w:pPr>
              <w:pStyle w:val="TableParagraph"/>
              <w:spacing w:before="34"/>
              <w:ind w:right="158"/>
              <w:jc w:val="right"/>
              <w:rPr>
                <w:sz w:val="18"/>
              </w:rPr>
            </w:pPr>
            <w:r>
              <w:rPr>
                <w:spacing w:val="-4"/>
                <w:w w:val="105"/>
                <w:sz w:val="18"/>
              </w:rPr>
              <w:t>11.1%</w:t>
            </w:r>
          </w:p>
        </w:tc>
      </w:tr>
      <w:tr>
        <w:trPr>
          <w:trHeight w:val="279" w:hRule="atLeast"/>
        </w:trPr>
        <w:tc>
          <w:tcPr>
            <w:tcW w:w="3481" w:type="dxa"/>
          </w:tcPr>
          <w:p>
            <w:pPr>
              <w:pStyle w:val="TableParagraph"/>
              <w:spacing w:before="34"/>
              <w:rPr>
                <w:sz w:val="18"/>
              </w:rPr>
            </w:pPr>
            <w:r>
              <w:rPr>
                <w:w w:val="105"/>
                <w:sz w:val="18"/>
              </w:rPr>
              <w:t>Brian</w:t>
            </w:r>
            <w:r>
              <w:rPr>
                <w:spacing w:val="-5"/>
                <w:w w:val="105"/>
                <w:sz w:val="18"/>
              </w:rPr>
              <w:t> </w:t>
            </w:r>
            <w:r>
              <w:rPr>
                <w:w w:val="105"/>
                <w:sz w:val="18"/>
              </w:rPr>
              <w:t>W. </w:t>
            </w:r>
            <w:r>
              <w:rPr>
                <w:spacing w:val="-2"/>
                <w:w w:val="105"/>
                <w:sz w:val="18"/>
              </w:rPr>
              <w:t>Giambattista</w:t>
            </w:r>
          </w:p>
        </w:tc>
        <w:tc>
          <w:tcPr>
            <w:tcW w:w="224" w:type="dxa"/>
          </w:tcPr>
          <w:p>
            <w:pPr>
              <w:pStyle w:val="TableParagraph"/>
              <w:rPr>
                <w:sz w:val="18"/>
              </w:rPr>
            </w:pPr>
          </w:p>
        </w:tc>
        <w:tc>
          <w:tcPr>
            <w:tcW w:w="755" w:type="dxa"/>
          </w:tcPr>
          <w:p>
            <w:pPr>
              <w:pStyle w:val="TableParagraph"/>
              <w:spacing w:before="34"/>
              <w:ind w:right="2"/>
              <w:jc w:val="center"/>
              <w:rPr>
                <w:sz w:val="18"/>
              </w:rPr>
            </w:pPr>
            <w:r>
              <w:rPr>
                <w:spacing w:val="-2"/>
                <w:w w:val="105"/>
                <w:sz w:val="18"/>
              </w:rPr>
              <w:t>$380,000</w:t>
            </w:r>
          </w:p>
        </w:tc>
        <w:tc>
          <w:tcPr>
            <w:tcW w:w="224" w:type="dxa"/>
          </w:tcPr>
          <w:p>
            <w:pPr>
              <w:pStyle w:val="TableParagraph"/>
              <w:rPr>
                <w:sz w:val="18"/>
              </w:rPr>
            </w:pPr>
          </w:p>
        </w:tc>
        <w:tc>
          <w:tcPr>
            <w:tcW w:w="741" w:type="dxa"/>
          </w:tcPr>
          <w:p>
            <w:pPr>
              <w:pStyle w:val="TableParagraph"/>
              <w:spacing w:before="34"/>
              <w:ind w:right="77"/>
              <w:jc w:val="right"/>
              <w:rPr>
                <w:sz w:val="18"/>
              </w:rPr>
            </w:pPr>
            <w:r>
              <w:rPr>
                <w:spacing w:val="-5"/>
                <w:w w:val="105"/>
                <w:sz w:val="18"/>
              </w:rPr>
              <w:t>55%</w:t>
            </w:r>
          </w:p>
        </w:tc>
        <w:tc>
          <w:tcPr>
            <w:tcW w:w="223" w:type="dxa"/>
          </w:tcPr>
          <w:p>
            <w:pPr>
              <w:pStyle w:val="TableParagraph"/>
              <w:rPr>
                <w:sz w:val="18"/>
              </w:rPr>
            </w:pPr>
          </w:p>
        </w:tc>
        <w:tc>
          <w:tcPr>
            <w:tcW w:w="700" w:type="dxa"/>
          </w:tcPr>
          <w:p>
            <w:pPr>
              <w:pStyle w:val="TableParagraph"/>
              <w:spacing w:before="34"/>
              <w:ind w:left="-1" w:right="-15"/>
              <w:jc w:val="center"/>
              <w:rPr>
                <w:sz w:val="18"/>
              </w:rPr>
            </w:pPr>
            <w:r>
              <w:rPr>
                <w:spacing w:val="-2"/>
                <w:w w:val="105"/>
                <w:sz w:val="18"/>
              </w:rPr>
              <w:t>$209,000</w:t>
            </w:r>
          </w:p>
        </w:tc>
        <w:tc>
          <w:tcPr>
            <w:tcW w:w="224" w:type="dxa"/>
          </w:tcPr>
          <w:p>
            <w:pPr>
              <w:pStyle w:val="TableParagraph"/>
              <w:rPr>
                <w:sz w:val="18"/>
              </w:rPr>
            </w:pPr>
          </w:p>
        </w:tc>
        <w:tc>
          <w:tcPr>
            <w:tcW w:w="755" w:type="dxa"/>
          </w:tcPr>
          <w:p>
            <w:pPr>
              <w:pStyle w:val="TableParagraph"/>
              <w:spacing w:before="34"/>
              <w:ind w:right="82"/>
              <w:jc w:val="right"/>
              <w:rPr>
                <w:sz w:val="18"/>
              </w:rPr>
            </w:pPr>
            <w:r>
              <w:rPr>
                <w:spacing w:val="-4"/>
                <w:w w:val="105"/>
                <w:sz w:val="18"/>
              </w:rPr>
              <w:t>110%</w:t>
            </w:r>
          </w:p>
        </w:tc>
        <w:tc>
          <w:tcPr>
            <w:tcW w:w="224" w:type="dxa"/>
          </w:tcPr>
          <w:p>
            <w:pPr>
              <w:pStyle w:val="TableParagraph"/>
              <w:rPr>
                <w:sz w:val="18"/>
              </w:rPr>
            </w:pPr>
          </w:p>
        </w:tc>
        <w:tc>
          <w:tcPr>
            <w:tcW w:w="951" w:type="dxa"/>
          </w:tcPr>
          <w:p>
            <w:pPr>
              <w:pStyle w:val="TableParagraph"/>
              <w:spacing w:before="34"/>
              <w:ind w:right="158"/>
              <w:jc w:val="right"/>
              <w:rPr>
                <w:sz w:val="18"/>
              </w:rPr>
            </w:pPr>
            <w:r>
              <w:rPr>
                <w:spacing w:val="-4"/>
                <w:w w:val="105"/>
                <w:sz w:val="18"/>
              </w:rPr>
              <w:t>11.1%</w:t>
            </w:r>
          </w:p>
        </w:tc>
      </w:tr>
      <w:tr>
        <w:trPr>
          <w:trHeight w:val="242" w:hRule="atLeast"/>
        </w:trPr>
        <w:tc>
          <w:tcPr>
            <w:tcW w:w="3481" w:type="dxa"/>
          </w:tcPr>
          <w:p>
            <w:pPr>
              <w:pStyle w:val="TableParagraph"/>
              <w:spacing w:line="188" w:lineRule="exact" w:before="3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4" w:type="dxa"/>
          </w:tcPr>
          <w:p>
            <w:pPr>
              <w:pStyle w:val="TableParagraph"/>
              <w:rPr>
                <w:sz w:val="16"/>
              </w:rPr>
            </w:pPr>
          </w:p>
        </w:tc>
        <w:tc>
          <w:tcPr>
            <w:tcW w:w="755" w:type="dxa"/>
          </w:tcPr>
          <w:p>
            <w:pPr>
              <w:pStyle w:val="TableParagraph"/>
              <w:spacing w:line="188" w:lineRule="exact" w:before="34"/>
              <w:ind w:right="2"/>
              <w:jc w:val="center"/>
              <w:rPr>
                <w:sz w:val="18"/>
              </w:rPr>
            </w:pPr>
            <w:r>
              <w:rPr>
                <w:spacing w:val="-2"/>
                <w:w w:val="105"/>
                <w:sz w:val="18"/>
              </w:rPr>
              <w:t>$385,000</w:t>
            </w:r>
          </w:p>
        </w:tc>
        <w:tc>
          <w:tcPr>
            <w:tcW w:w="224" w:type="dxa"/>
          </w:tcPr>
          <w:p>
            <w:pPr>
              <w:pStyle w:val="TableParagraph"/>
              <w:rPr>
                <w:sz w:val="16"/>
              </w:rPr>
            </w:pPr>
          </w:p>
        </w:tc>
        <w:tc>
          <w:tcPr>
            <w:tcW w:w="741" w:type="dxa"/>
          </w:tcPr>
          <w:p>
            <w:pPr>
              <w:pStyle w:val="TableParagraph"/>
              <w:spacing w:line="188" w:lineRule="exact" w:before="34"/>
              <w:ind w:right="77"/>
              <w:jc w:val="right"/>
              <w:rPr>
                <w:sz w:val="18"/>
              </w:rPr>
            </w:pPr>
            <w:r>
              <w:rPr>
                <w:spacing w:val="-5"/>
                <w:w w:val="105"/>
                <w:sz w:val="18"/>
              </w:rPr>
              <w:t>55%</w:t>
            </w:r>
          </w:p>
        </w:tc>
        <w:tc>
          <w:tcPr>
            <w:tcW w:w="223" w:type="dxa"/>
          </w:tcPr>
          <w:p>
            <w:pPr>
              <w:pStyle w:val="TableParagraph"/>
              <w:rPr>
                <w:sz w:val="16"/>
              </w:rPr>
            </w:pPr>
          </w:p>
        </w:tc>
        <w:tc>
          <w:tcPr>
            <w:tcW w:w="700" w:type="dxa"/>
          </w:tcPr>
          <w:p>
            <w:pPr>
              <w:pStyle w:val="TableParagraph"/>
              <w:spacing w:line="188" w:lineRule="exact" w:before="34"/>
              <w:ind w:left="-1" w:right="-15"/>
              <w:jc w:val="center"/>
              <w:rPr>
                <w:sz w:val="18"/>
              </w:rPr>
            </w:pPr>
            <w:r>
              <w:rPr>
                <w:spacing w:val="-2"/>
                <w:w w:val="105"/>
                <w:sz w:val="18"/>
              </w:rPr>
              <w:t>$211,750</w:t>
            </w:r>
          </w:p>
        </w:tc>
        <w:tc>
          <w:tcPr>
            <w:tcW w:w="224" w:type="dxa"/>
          </w:tcPr>
          <w:p>
            <w:pPr>
              <w:pStyle w:val="TableParagraph"/>
              <w:rPr>
                <w:sz w:val="16"/>
              </w:rPr>
            </w:pPr>
          </w:p>
        </w:tc>
        <w:tc>
          <w:tcPr>
            <w:tcW w:w="755" w:type="dxa"/>
          </w:tcPr>
          <w:p>
            <w:pPr>
              <w:pStyle w:val="TableParagraph"/>
              <w:spacing w:line="188" w:lineRule="exact" w:before="34"/>
              <w:ind w:right="82"/>
              <w:jc w:val="right"/>
              <w:rPr>
                <w:sz w:val="18"/>
              </w:rPr>
            </w:pPr>
            <w:r>
              <w:rPr>
                <w:spacing w:val="-4"/>
                <w:w w:val="105"/>
                <w:sz w:val="18"/>
              </w:rPr>
              <w:t>110%</w:t>
            </w:r>
          </w:p>
        </w:tc>
        <w:tc>
          <w:tcPr>
            <w:tcW w:w="224" w:type="dxa"/>
          </w:tcPr>
          <w:p>
            <w:pPr>
              <w:pStyle w:val="TableParagraph"/>
              <w:rPr>
                <w:sz w:val="16"/>
              </w:rPr>
            </w:pPr>
          </w:p>
        </w:tc>
        <w:tc>
          <w:tcPr>
            <w:tcW w:w="951" w:type="dxa"/>
          </w:tcPr>
          <w:p>
            <w:pPr>
              <w:pStyle w:val="TableParagraph"/>
              <w:spacing w:line="188" w:lineRule="exact" w:before="34"/>
              <w:ind w:right="158"/>
              <w:jc w:val="right"/>
              <w:rPr>
                <w:sz w:val="18"/>
              </w:rPr>
            </w:pPr>
            <w:r>
              <w:rPr>
                <w:spacing w:val="-4"/>
                <w:w w:val="105"/>
                <w:sz w:val="18"/>
              </w:rPr>
              <w:t>11.3%</w:t>
            </w:r>
          </w:p>
        </w:tc>
      </w:tr>
    </w:tbl>
    <w:p>
      <w:pPr>
        <w:pStyle w:val="BodyText"/>
        <w:spacing w:before="3"/>
        <w:rPr>
          <w:b/>
          <w:sz w:val="8"/>
        </w:rPr>
      </w:pPr>
    </w:p>
    <w:p>
      <w:pPr>
        <w:pStyle w:val="BodyText"/>
        <w:spacing w:line="266" w:lineRule="auto" w:before="98"/>
        <w:ind w:left="1400" w:right="1551" w:firstLine="372"/>
      </w:pPr>
      <w:r>
        <w:rPr>
          <w:w w:val="105"/>
        </w:rPr>
        <w:t>For fiscal year 2022, we revised our approach to bonus pool funding for all our primary non-sales</w:t>
      </w:r>
      <w:r>
        <w:rPr>
          <w:spacing w:val="40"/>
          <w:w w:val="105"/>
        </w:rPr>
        <w:t> </w:t>
      </w:r>
      <w:r>
        <w:rPr>
          <w:w w:val="105"/>
        </w:rPr>
        <w:t>incentives plans. A pool was to be established based on the financial achievement as measured by adjusted EBIT</w:t>
      </w:r>
      <w:r>
        <w:rPr>
          <w:spacing w:val="19"/>
          <w:w w:val="105"/>
        </w:rPr>
        <w:t> </w:t>
      </w:r>
      <w:r>
        <w:rPr>
          <w:w w:val="105"/>
        </w:rPr>
        <w:t>compared</w:t>
      </w:r>
      <w:r>
        <w:rPr>
          <w:spacing w:val="24"/>
          <w:w w:val="105"/>
        </w:rPr>
        <w:t> </w:t>
      </w:r>
      <w:r>
        <w:rPr>
          <w:w w:val="105"/>
        </w:rPr>
        <w:t>against</w:t>
      </w:r>
      <w:r>
        <w:rPr>
          <w:spacing w:val="24"/>
          <w:w w:val="105"/>
        </w:rPr>
        <w:t> </w:t>
      </w:r>
      <w:r>
        <w:rPr>
          <w:w w:val="105"/>
        </w:rPr>
        <w:t>a</w:t>
      </w:r>
      <w:r>
        <w:rPr>
          <w:spacing w:val="24"/>
          <w:w w:val="105"/>
        </w:rPr>
        <w:t> </w:t>
      </w:r>
      <w:r>
        <w:rPr>
          <w:w w:val="105"/>
        </w:rPr>
        <w:t>pre-established</w:t>
      </w:r>
      <w:r>
        <w:rPr>
          <w:spacing w:val="24"/>
          <w:w w:val="105"/>
        </w:rPr>
        <w:t> </w:t>
      </w:r>
      <w:r>
        <w:rPr>
          <w:w w:val="105"/>
        </w:rPr>
        <w:t>target</w:t>
      </w:r>
      <w:r>
        <w:rPr>
          <w:spacing w:val="24"/>
          <w:w w:val="105"/>
        </w:rPr>
        <w:t> </w:t>
      </w:r>
      <w:r>
        <w:rPr>
          <w:w w:val="105"/>
        </w:rPr>
        <w:t>and</w:t>
      </w:r>
      <w:r>
        <w:rPr>
          <w:spacing w:val="24"/>
          <w:w w:val="105"/>
        </w:rPr>
        <w:t> </w:t>
      </w:r>
      <w:r>
        <w:rPr>
          <w:w w:val="105"/>
        </w:rPr>
        <w:t>100%</w:t>
      </w:r>
      <w:r>
        <w:rPr>
          <w:spacing w:val="24"/>
          <w:w w:val="105"/>
        </w:rPr>
        <w:t> </w:t>
      </w:r>
      <w:r>
        <w:rPr>
          <w:w w:val="105"/>
        </w:rPr>
        <w:t>of</w:t>
      </w:r>
      <w:r>
        <w:rPr>
          <w:spacing w:val="24"/>
          <w:w w:val="105"/>
        </w:rPr>
        <w:t> </w:t>
      </w:r>
      <w:r>
        <w:rPr>
          <w:w w:val="105"/>
        </w:rPr>
        <w:t>the</w:t>
      </w:r>
      <w:r>
        <w:rPr>
          <w:spacing w:val="24"/>
          <w:w w:val="105"/>
        </w:rPr>
        <w:t> </w:t>
      </w:r>
      <w:r>
        <w:rPr>
          <w:w w:val="105"/>
        </w:rPr>
        <w:t>MIP</w:t>
      </w:r>
      <w:r>
        <w:rPr>
          <w:spacing w:val="15"/>
          <w:w w:val="105"/>
        </w:rPr>
        <w:t> </w:t>
      </w:r>
      <w:r>
        <w:rPr>
          <w:w w:val="105"/>
        </w:rPr>
        <w:t>opportunity</w:t>
      </w:r>
      <w:r>
        <w:rPr>
          <w:spacing w:val="24"/>
          <w:w w:val="105"/>
        </w:rPr>
        <w:t> </w:t>
      </w:r>
      <w:r>
        <w:rPr>
          <w:w w:val="105"/>
        </w:rPr>
        <w:t>was</w:t>
      </w:r>
      <w:r>
        <w:rPr>
          <w:spacing w:val="24"/>
          <w:w w:val="105"/>
        </w:rPr>
        <w:t> </w:t>
      </w:r>
      <w:r>
        <w:rPr>
          <w:w w:val="105"/>
        </w:rPr>
        <w:t>based</w:t>
      </w:r>
      <w:r>
        <w:rPr>
          <w:spacing w:val="24"/>
          <w:w w:val="105"/>
        </w:rPr>
        <w:t> </w:t>
      </w:r>
      <w:r>
        <w:rPr>
          <w:w w:val="105"/>
        </w:rPr>
        <w:t>on</w:t>
      </w:r>
      <w:r>
        <w:rPr>
          <w:w w:val="105"/>
        </w:rPr>
        <w:t> achievement of this financial measure with a potential modifier based on pre-established individual strategic</w:t>
      </w:r>
      <w:r>
        <w:rPr>
          <w:spacing w:val="40"/>
          <w:w w:val="105"/>
        </w:rPr>
        <w:t> </w:t>
      </w:r>
      <w:r>
        <w:rPr>
          <w:w w:val="105"/>
        </w:rPr>
        <w:t>goals. The financial portion had potential funding of between 0% and 200% of target and the individual</w:t>
      </w:r>
      <w:r>
        <w:rPr>
          <w:spacing w:val="40"/>
          <w:w w:val="105"/>
        </w:rPr>
        <w:t> </w:t>
      </w:r>
      <w:r>
        <w:rPr>
          <w:w w:val="105"/>
        </w:rPr>
        <w:t>modifier</w:t>
      </w:r>
      <w:r>
        <w:rPr>
          <w:spacing w:val="23"/>
          <w:w w:val="105"/>
        </w:rPr>
        <w:t> </w:t>
      </w:r>
      <w:r>
        <w:rPr>
          <w:w w:val="105"/>
        </w:rPr>
        <w:t>had</w:t>
      </w:r>
      <w:r>
        <w:rPr>
          <w:spacing w:val="23"/>
          <w:w w:val="105"/>
        </w:rPr>
        <w:t> </w:t>
      </w:r>
      <w:r>
        <w:rPr>
          <w:w w:val="105"/>
        </w:rPr>
        <w:t>potential</w:t>
      </w:r>
      <w:r>
        <w:rPr>
          <w:spacing w:val="23"/>
          <w:w w:val="105"/>
        </w:rPr>
        <w:t> </w:t>
      </w:r>
      <w:r>
        <w:rPr>
          <w:w w:val="105"/>
        </w:rPr>
        <w:t>results</w:t>
      </w:r>
      <w:r>
        <w:rPr>
          <w:spacing w:val="23"/>
          <w:w w:val="105"/>
        </w:rPr>
        <w:t> </w:t>
      </w:r>
      <w:r>
        <w:rPr>
          <w:w w:val="105"/>
        </w:rPr>
        <w:t>of</w:t>
      </w:r>
      <w:r>
        <w:rPr>
          <w:spacing w:val="23"/>
          <w:w w:val="105"/>
        </w:rPr>
        <w:t> </w:t>
      </w:r>
      <w:r>
        <w:rPr>
          <w:w w:val="105"/>
        </w:rPr>
        <w:t>80%</w:t>
      </w:r>
      <w:r>
        <w:rPr>
          <w:spacing w:val="23"/>
          <w:w w:val="105"/>
        </w:rPr>
        <w:t> </w:t>
      </w:r>
      <w:r>
        <w:rPr>
          <w:w w:val="105"/>
        </w:rPr>
        <w:t>to</w:t>
      </w:r>
      <w:r>
        <w:rPr>
          <w:spacing w:val="23"/>
          <w:w w:val="105"/>
        </w:rPr>
        <w:t> </w:t>
      </w:r>
      <w:r>
        <w:rPr>
          <w:w w:val="105"/>
        </w:rPr>
        <w:t>120%.</w:t>
      </w:r>
      <w:r>
        <w:rPr>
          <w:spacing w:val="18"/>
          <w:w w:val="105"/>
        </w:rPr>
        <w:t> </w:t>
      </w:r>
      <w:r>
        <w:rPr>
          <w:w w:val="105"/>
        </w:rPr>
        <w:t>The</w:t>
      </w:r>
      <w:r>
        <w:rPr>
          <w:spacing w:val="23"/>
          <w:w w:val="105"/>
        </w:rPr>
        <w:t> </w:t>
      </w:r>
      <w:r>
        <w:rPr>
          <w:w w:val="105"/>
        </w:rPr>
        <w:t>mechanics</w:t>
      </w:r>
      <w:r>
        <w:rPr>
          <w:spacing w:val="23"/>
          <w:w w:val="105"/>
        </w:rPr>
        <w:t> </w:t>
      </w:r>
      <w:r>
        <w:rPr>
          <w:w w:val="105"/>
        </w:rPr>
        <w:t>for</w:t>
      </w:r>
      <w:r>
        <w:rPr>
          <w:spacing w:val="23"/>
          <w:w w:val="105"/>
        </w:rPr>
        <w:t> </w:t>
      </w:r>
      <w:r>
        <w:rPr>
          <w:w w:val="105"/>
        </w:rPr>
        <w:t>calculating</w:t>
      </w:r>
      <w:r>
        <w:rPr>
          <w:spacing w:val="23"/>
          <w:w w:val="105"/>
        </w:rPr>
        <w:t> </w:t>
      </w:r>
      <w:r>
        <w:rPr>
          <w:w w:val="105"/>
        </w:rPr>
        <w:t>the</w:t>
      </w:r>
      <w:r>
        <w:rPr>
          <w:spacing w:val="23"/>
          <w:w w:val="105"/>
        </w:rPr>
        <w:t> </w:t>
      </w:r>
      <w:r>
        <w:rPr>
          <w:w w:val="105"/>
        </w:rPr>
        <w:t>fiscal</w:t>
      </w:r>
      <w:r>
        <w:rPr>
          <w:spacing w:val="23"/>
          <w:w w:val="105"/>
        </w:rPr>
        <w:t> </w:t>
      </w:r>
      <w:r>
        <w:rPr>
          <w:w w:val="105"/>
        </w:rPr>
        <w:t>year</w:t>
      </w:r>
      <w:r>
        <w:rPr>
          <w:spacing w:val="23"/>
          <w:w w:val="105"/>
        </w:rPr>
        <w:t> </w:t>
      </w:r>
      <w:r>
        <w:rPr>
          <w:w w:val="105"/>
        </w:rPr>
        <w:t>2022</w:t>
      </w:r>
      <w:r>
        <w:rPr>
          <w:spacing w:val="23"/>
          <w:w w:val="105"/>
        </w:rPr>
        <w:t> </w:t>
      </w:r>
      <w:r>
        <w:rPr>
          <w:w w:val="105"/>
        </w:rPr>
        <w:t>MIP awards was as follows:</w:t>
      </w: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ind w:left="142" w:right="143"/>
        <w:jc w:val="center"/>
      </w:pPr>
      <w:r>
        <w:rPr>
          <w:spacing w:val="-5"/>
          <w:w w:val="105"/>
        </w:rPr>
        <w:t>42</w:t>
      </w:r>
    </w:p>
    <w:p>
      <w:pPr>
        <w:pStyle w:val="BodyText"/>
        <w:rPr>
          <w:sz w:val="20"/>
        </w:rPr>
      </w:pPr>
    </w:p>
    <w:p>
      <w:pPr>
        <w:pStyle w:val="BodyText"/>
        <w:spacing w:before="7"/>
        <w:rPr>
          <w:sz w:val="14"/>
        </w:rPr>
      </w:pPr>
      <w:r>
        <w:rPr/>
        <w:pict>
          <v:group style="position:absolute;margin-left:28.999998pt;margin-top:9.599317pt;width:555pt;height:1.4pt;mso-position-horizontal-relative:page;mso-position-vertical-relative:paragraph;z-index:-15685632;mso-wrap-distance-left:0;mso-wrap-distance-right:0" id="docshapegroup301" coordorigin="580,192" coordsize="11100,28">
            <v:rect style="position:absolute;left:580;top:191;width:11100;height:14" id="docshape302" filled="true" fillcolor="#999999" stroked="false">
              <v:fill type="solid"/>
            </v:rect>
            <v:shape style="position:absolute;left:579;top:192;width:11100;height:28" id="docshape303" coordorigin="580,192" coordsize="11100,28" path="m11680,192l11666,206,580,206,580,220,11666,220,11680,220,11680,206,11680,192xe" filled="true" fillcolor="#ededed" stroked="false">
              <v:path arrowok="t"/>
              <v:fill type="solid"/>
            </v:shape>
            <v:shape style="position:absolute;left:580;top:191;width:14;height:28" id="docshape304" coordorigin="580,192" coordsize="14,28" path="m580,220l580,192,594,192,594,206,580,220xe" filled="true" fillcolor="#999999" stroked="false">
              <v:path arrowok="t"/>
              <v:fill type="solid"/>
            </v:shape>
            <w10:wrap type="topAndBottom"/>
          </v:group>
        </w:pict>
      </w:r>
    </w:p>
    <w:p>
      <w:pPr>
        <w:spacing w:after="0"/>
        <w:rPr>
          <w:sz w:val="14"/>
        </w:rPr>
        <w:sectPr>
          <w:type w:val="continuous"/>
          <w:pgSz w:w="12240" w:h="15840"/>
          <w:pgMar w:header="529" w:footer="0" w:top="600" w:bottom="960" w:left="480" w:right="460"/>
        </w:sectPr>
      </w:pPr>
    </w:p>
    <w:p>
      <w:pPr>
        <w:pStyle w:val="BodyText"/>
        <w:rPr>
          <w:sz w:val="20"/>
        </w:rPr>
      </w:pPr>
      <w:r>
        <w:rPr/>
        <w:pict>
          <v:group style="position:absolute;margin-left:28.999998pt;margin-top:759.445984pt;width:555pt;height:1.4pt;mso-position-horizontal-relative:page;mso-position-vertical-relative:page;z-index:15774208" id="docshapegroup307" coordorigin="580,15189" coordsize="11100,28">
            <v:rect style="position:absolute;left:580;top:15188;width:11100;height:14" id="docshape308" filled="true" fillcolor="#999999" stroked="false">
              <v:fill type="solid"/>
            </v:rect>
            <v:shape style="position:absolute;left:579;top:15188;width:11100;height:28" id="docshape309" coordorigin="580,15189" coordsize="11100,28" path="m11680,15189l11666,15203,580,15203,580,15217,11666,15217,11680,15217,11680,15203,11680,15189xe" filled="true" fillcolor="#ededed" stroked="false">
              <v:path arrowok="t"/>
              <v:fill type="solid"/>
            </v:shape>
            <v:shape style="position:absolute;left:580;top:15188;width:14;height:28" id="docshape310" coordorigin="580,15189" coordsize="14,28" path="m580,15217l580,15189,594,15189,594,15203,580,15217xe" filled="true" fillcolor="#999999" stroked="false">
              <v:path arrowok="t"/>
              <v:fill type="solid"/>
            </v:shape>
            <w10:wrap type="none"/>
          </v:group>
        </w:pict>
      </w:r>
    </w:p>
    <w:p>
      <w:pPr>
        <w:pStyle w:val="BodyText"/>
        <w:rPr>
          <w:sz w:val="20"/>
        </w:rPr>
      </w:pPr>
    </w:p>
    <w:p>
      <w:pPr>
        <w:pStyle w:val="BodyText"/>
        <w:spacing w:before="2"/>
        <w:rPr>
          <w:sz w:val="27"/>
        </w:rPr>
      </w:pPr>
    </w:p>
    <w:p>
      <w:pPr>
        <w:pStyle w:val="Heading2"/>
        <w:spacing w:before="98"/>
        <w:ind w:left="4" w:right="1"/>
        <w:jc w:val="center"/>
      </w:pPr>
      <w:r>
        <w:rPr>
          <w:spacing w:val="-2"/>
        </w:rPr>
        <w:t>Fiscal</w:t>
      </w:r>
      <w:r>
        <w:rPr>
          <w:spacing w:val="-12"/>
        </w:rPr>
        <w:t> </w:t>
      </w:r>
      <w:r>
        <w:rPr>
          <w:spacing w:val="-2"/>
        </w:rPr>
        <w:t>Year</w:t>
      </w:r>
      <w:r>
        <w:rPr>
          <w:spacing w:val="-8"/>
        </w:rPr>
        <w:t> </w:t>
      </w:r>
      <w:r>
        <w:rPr>
          <w:spacing w:val="-2"/>
        </w:rPr>
        <w:t>2022</w:t>
      </w:r>
      <w:r>
        <w:rPr>
          <w:spacing w:val="-4"/>
        </w:rPr>
        <w:t> </w:t>
      </w:r>
      <w:r>
        <w:rPr>
          <w:spacing w:val="-2"/>
        </w:rPr>
        <w:t>MIP</w:t>
      </w:r>
      <w:r>
        <w:rPr>
          <w:spacing w:val="-15"/>
        </w:rPr>
        <w:t> </w:t>
      </w:r>
      <w:r>
        <w:rPr>
          <w:spacing w:val="-2"/>
        </w:rPr>
        <w:t>Framework</w:t>
      </w:r>
    </w:p>
    <w:p>
      <w:pPr>
        <w:pStyle w:val="BodyText"/>
        <w:rPr>
          <w:b/>
          <w:sz w:val="14"/>
        </w:rPr>
      </w:pPr>
      <w:r>
        <w:rPr/>
        <w:drawing>
          <wp:anchor distT="0" distB="0" distL="0" distR="0" allowOverlap="1" layoutInCell="1" locked="0" behindDoc="0" simplePos="0" relativeHeight="85">
            <wp:simplePos x="0" y="0"/>
            <wp:positionH relativeFrom="page">
              <wp:posOffset>1963219</wp:posOffset>
            </wp:positionH>
            <wp:positionV relativeFrom="paragraph">
              <wp:posOffset>117785</wp:posOffset>
            </wp:positionV>
            <wp:extent cx="3873918" cy="2598420"/>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30" cstate="print"/>
                    <a:stretch>
                      <a:fillRect/>
                    </a:stretch>
                  </pic:blipFill>
                  <pic:spPr>
                    <a:xfrm>
                      <a:off x="0" y="0"/>
                      <a:ext cx="3873918" cy="2598420"/>
                    </a:xfrm>
                    <a:prstGeom prst="rect">
                      <a:avLst/>
                    </a:prstGeom>
                  </pic:spPr>
                </pic:pic>
              </a:graphicData>
            </a:graphic>
          </wp:anchor>
        </w:drawing>
      </w:r>
    </w:p>
    <w:p>
      <w:pPr>
        <w:pStyle w:val="BodyText"/>
        <w:spacing w:before="6"/>
        <w:rPr>
          <w:b/>
        </w:rPr>
      </w:pPr>
    </w:p>
    <w:p>
      <w:pPr>
        <w:pStyle w:val="BodyText"/>
        <w:spacing w:line="247" w:lineRule="auto"/>
        <w:ind w:left="1400" w:right="1411" w:firstLine="372"/>
      </w:pPr>
      <w:r>
        <w:rPr>
          <w:i/>
          <w:w w:val="105"/>
        </w:rPr>
        <w:t>Financial Portion — </w:t>
      </w:r>
      <w:r>
        <w:rPr>
          <w:w w:val="105"/>
        </w:rPr>
        <w:t>On November 18, 2021, the Compensation Committee set the fiscal year 2022 financial performance goals under the MIP for the NEOs and other officers reporting directly to our CEO, as</w:t>
      </w:r>
      <w:r>
        <w:rPr>
          <w:spacing w:val="40"/>
          <w:w w:val="105"/>
        </w:rPr>
        <w:t> </w:t>
      </w:r>
      <w:r>
        <w:rPr>
          <w:w w:val="105"/>
        </w:rPr>
        <w:t>well</w:t>
      </w:r>
      <w:r>
        <w:rPr>
          <w:spacing w:val="19"/>
          <w:w w:val="105"/>
        </w:rPr>
        <w:t> </w:t>
      </w:r>
      <w:r>
        <w:rPr>
          <w:w w:val="105"/>
        </w:rPr>
        <w:t>as</w:t>
      </w:r>
      <w:r>
        <w:rPr>
          <w:spacing w:val="19"/>
          <w:w w:val="105"/>
        </w:rPr>
        <w:t> </w:t>
      </w:r>
      <w:r>
        <w:rPr>
          <w:w w:val="105"/>
        </w:rPr>
        <w:t>for</w:t>
      </w:r>
      <w:r>
        <w:rPr>
          <w:spacing w:val="19"/>
          <w:w w:val="105"/>
        </w:rPr>
        <w:t> </w:t>
      </w:r>
      <w:r>
        <w:rPr>
          <w:w w:val="105"/>
        </w:rPr>
        <w:t>our</w:t>
      </w:r>
      <w:r>
        <w:rPr>
          <w:spacing w:val="19"/>
          <w:w w:val="105"/>
        </w:rPr>
        <w:t> </w:t>
      </w:r>
      <w:r>
        <w:rPr>
          <w:w w:val="105"/>
        </w:rPr>
        <w:t>Chief Accounting</w:t>
      </w:r>
      <w:r>
        <w:rPr>
          <w:spacing w:val="19"/>
          <w:w w:val="105"/>
        </w:rPr>
        <w:t> </w:t>
      </w:r>
      <w:r>
        <w:rPr>
          <w:w w:val="105"/>
        </w:rPr>
        <w:t>Officer.</w:t>
      </w:r>
      <w:r>
        <w:rPr>
          <w:spacing w:val="19"/>
          <w:w w:val="105"/>
        </w:rPr>
        <w:t> </w:t>
      </w:r>
      <w:r>
        <w:rPr>
          <w:w w:val="105"/>
        </w:rPr>
        <w:t>For</w:t>
      </w:r>
      <w:r>
        <w:rPr>
          <w:spacing w:val="19"/>
          <w:w w:val="105"/>
        </w:rPr>
        <w:t> </w:t>
      </w:r>
      <w:r>
        <w:rPr>
          <w:w w:val="105"/>
        </w:rPr>
        <w:t>fiscal</w:t>
      </w:r>
      <w:r>
        <w:rPr>
          <w:spacing w:val="19"/>
          <w:w w:val="105"/>
        </w:rPr>
        <w:t> </w:t>
      </w:r>
      <w:r>
        <w:rPr>
          <w:w w:val="105"/>
        </w:rPr>
        <w:t>year</w:t>
      </w:r>
      <w:r>
        <w:rPr>
          <w:spacing w:val="19"/>
          <w:w w:val="105"/>
        </w:rPr>
        <w:t> </w:t>
      </w:r>
      <w:r>
        <w:rPr>
          <w:w w:val="105"/>
        </w:rPr>
        <w:t>2022,</w:t>
      </w:r>
      <w:r>
        <w:rPr>
          <w:spacing w:val="19"/>
          <w:w w:val="105"/>
        </w:rPr>
        <w:t> </w:t>
      </w:r>
      <w:r>
        <w:rPr>
          <w:w w:val="105"/>
        </w:rPr>
        <w:t>the</w:t>
      </w:r>
      <w:r>
        <w:rPr>
          <w:spacing w:val="19"/>
          <w:w w:val="105"/>
        </w:rPr>
        <w:t> </w:t>
      </w:r>
      <w:r>
        <w:rPr>
          <w:w w:val="105"/>
        </w:rPr>
        <w:t>Compensation</w:t>
      </w:r>
      <w:r>
        <w:rPr>
          <w:spacing w:val="19"/>
          <w:w w:val="105"/>
        </w:rPr>
        <w:t> </w:t>
      </w:r>
      <w:r>
        <w:rPr>
          <w:w w:val="105"/>
        </w:rPr>
        <w:t>Committee</w:t>
      </w:r>
      <w:r>
        <w:rPr>
          <w:spacing w:val="19"/>
          <w:w w:val="105"/>
        </w:rPr>
        <w:t> </w:t>
      </w:r>
      <w:r>
        <w:rPr>
          <w:w w:val="105"/>
        </w:rPr>
        <w:t>selected</w:t>
      </w:r>
      <w:r>
        <w:rPr>
          <w:spacing w:val="19"/>
          <w:w w:val="105"/>
        </w:rPr>
        <w:t> </w:t>
      </w:r>
      <w:r>
        <w:rPr>
          <w:w w:val="105"/>
        </w:rPr>
        <w:t>EBIT as</w:t>
      </w:r>
      <w:r>
        <w:rPr>
          <w:spacing w:val="28"/>
          <w:w w:val="105"/>
        </w:rPr>
        <w:t> </w:t>
      </w:r>
      <w:r>
        <w:rPr>
          <w:w w:val="105"/>
        </w:rPr>
        <w:t>the</w:t>
      </w:r>
      <w:r>
        <w:rPr>
          <w:spacing w:val="28"/>
          <w:w w:val="105"/>
        </w:rPr>
        <w:t> </w:t>
      </w:r>
      <w:r>
        <w:rPr>
          <w:w w:val="105"/>
        </w:rPr>
        <w:t>financial</w:t>
      </w:r>
      <w:r>
        <w:rPr>
          <w:spacing w:val="28"/>
          <w:w w:val="105"/>
        </w:rPr>
        <w:t> </w:t>
      </w:r>
      <w:r>
        <w:rPr>
          <w:w w:val="105"/>
        </w:rPr>
        <w:t>performance</w:t>
      </w:r>
      <w:r>
        <w:rPr>
          <w:spacing w:val="28"/>
          <w:w w:val="105"/>
        </w:rPr>
        <w:t> </w:t>
      </w:r>
      <w:r>
        <w:rPr>
          <w:w w:val="105"/>
        </w:rPr>
        <w:t>measure</w:t>
      </w:r>
      <w:r>
        <w:rPr>
          <w:spacing w:val="28"/>
          <w:w w:val="105"/>
        </w:rPr>
        <w:t> </w:t>
      </w:r>
      <w:r>
        <w:rPr>
          <w:w w:val="105"/>
        </w:rPr>
        <w:t>applicable</w:t>
      </w:r>
      <w:r>
        <w:rPr>
          <w:spacing w:val="28"/>
          <w:w w:val="105"/>
        </w:rPr>
        <w:t> </w:t>
      </w:r>
      <w:r>
        <w:rPr>
          <w:w w:val="105"/>
        </w:rPr>
        <w:t>to</w:t>
      </w:r>
      <w:r>
        <w:rPr>
          <w:spacing w:val="28"/>
          <w:w w:val="105"/>
        </w:rPr>
        <w:t> </w:t>
      </w:r>
      <w:r>
        <w:rPr>
          <w:w w:val="105"/>
        </w:rPr>
        <w:t>overall</w:t>
      </w:r>
      <w:r>
        <w:rPr>
          <w:spacing w:val="28"/>
          <w:w w:val="105"/>
        </w:rPr>
        <w:t> </w:t>
      </w:r>
      <w:r>
        <w:rPr>
          <w:w w:val="105"/>
        </w:rPr>
        <w:t>Company</w:t>
      </w:r>
      <w:r>
        <w:rPr>
          <w:spacing w:val="28"/>
          <w:w w:val="105"/>
        </w:rPr>
        <w:t> </w:t>
      </w:r>
      <w:r>
        <w:rPr>
          <w:w w:val="105"/>
        </w:rPr>
        <w:t>performance</w:t>
      </w:r>
      <w:r>
        <w:rPr>
          <w:spacing w:val="28"/>
          <w:w w:val="105"/>
        </w:rPr>
        <w:t> </w:t>
      </w:r>
      <w:r>
        <w:rPr>
          <w:w w:val="105"/>
        </w:rPr>
        <w:t>because</w:t>
      </w:r>
      <w:r>
        <w:rPr>
          <w:spacing w:val="28"/>
          <w:w w:val="105"/>
        </w:rPr>
        <w:t> </w:t>
      </w:r>
      <w:r>
        <w:rPr>
          <w:w w:val="105"/>
        </w:rPr>
        <w:t>it</w:t>
      </w:r>
      <w:r>
        <w:rPr>
          <w:spacing w:val="28"/>
          <w:w w:val="105"/>
        </w:rPr>
        <w:t> </w:t>
      </w:r>
      <w:r>
        <w:rPr>
          <w:w w:val="105"/>
        </w:rPr>
        <w:t>believed</w:t>
      </w:r>
      <w:r>
        <w:rPr>
          <w:spacing w:val="28"/>
          <w:w w:val="105"/>
        </w:rPr>
        <w:t> </w:t>
      </w:r>
      <w:r>
        <w:rPr>
          <w:w w:val="105"/>
        </w:rPr>
        <w:t>that this measure aligns with stockholder interest and drives our stock market value.</w:t>
      </w:r>
    </w:p>
    <w:p>
      <w:pPr>
        <w:pStyle w:val="BodyText"/>
        <w:spacing w:before="150"/>
        <w:ind w:left="142" w:right="185"/>
        <w:jc w:val="center"/>
      </w:pPr>
      <w:r>
        <w:rPr>
          <w:w w:val="105"/>
        </w:rPr>
        <w:t>The</w:t>
      </w:r>
      <w:r>
        <w:rPr>
          <w:spacing w:val="11"/>
          <w:w w:val="105"/>
        </w:rPr>
        <w:t> </w:t>
      </w:r>
      <w:r>
        <w:rPr>
          <w:w w:val="105"/>
        </w:rPr>
        <w:t>payout</w:t>
      </w:r>
      <w:r>
        <w:rPr>
          <w:spacing w:val="12"/>
          <w:w w:val="105"/>
        </w:rPr>
        <w:t> </w:t>
      </w:r>
      <w:r>
        <w:rPr>
          <w:w w:val="105"/>
        </w:rPr>
        <w:t>percentage</w:t>
      </w:r>
      <w:r>
        <w:rPr>
          <w:spacing w:val="12"/>
          <w:w w:val="105"/>
        </w:rPr>
        <w:t> </w:t>
      </w:r>
      <w:r>
        <w:rPr>
          <w:w w:val="105"/>
        </w:rPr>
        <w:t>for</w:t>
      </w:r>
      <w:r>
        <w:rPr>
          <w:spacing w:val="11"/>
          <w:w w:val="105"/>
        </w:rPr>
        <w:t> </w:t>
      </w:r>
      <w:r>
        <w:rPr>
          <w:w w:val="105"/>
        </w:rPr>
        <w:t>the</w:t>
      </w:r>
      <w:r>
        <w:rPr>
          <w:spacing w:val="12"/>
          <w:w w:val="105"/>
        </w:rPr>
        <w:t> </w:t>
      </w:r>
      <w:r>
        <w:rPr>
          <w:w w:val="105"/>
        </w:rPr>
        <w:t>financial</w:t>
      </w:r>
      <w:r>
        <w:rPr>
          <w:spacing w:val="12"/>
          <w:w w:val="105"/>
        </w:rPr>
        <w:t> </w:t>
      </w:r>
      <w:r>
        <w:rPr>
          <w:w w:val="105"/>
        </w:rPr>
        <w:t>metric</w:t>
      </w:r>
      <w:r>
        <w:rPr>
          <w:spacing w:val="11"/>
          <w:w w:val="105"/>
        </w:rPr>
        <w:t> </w:t>
      </w:r>
      <w:r>
        <w:rPr>
          <w:w w:val="105"/>
        </w:rPr>
        <w:t>was</w:t>
      </w:r>
      <w:r>
        <w:rPr>
          <w:spacing w:val="12"/>
          <w:w w:val="105"/>
        </w:rPr>
        <w:t> </w:t>
      </w:r>
      <w:r>
        <w:rPr>
          <w:w w:val="105"/>
        </w:rPr>
        <w:t>determined</w:t>
      </w:r>
      <w:r>
        <w:rPr>
          <w:spacing w:val="12"/>
          <w:w w:val="105"/>
        </w:rPr>
        <w:t> </w:t>
      </w:r>
      <w:r>
        <w:rPr>
          <w:w w:val="105"/>
        </w:rPr>
        <w:t>in</w:t>
      </w:r>
      <w:r>
        <w:rPr>
          <w:spacing w:val="11"/>
          <w:w w:val="105"/>
        </w:rPr>
        <w:t> </w:t>
      </w:r>
      <w:r>
        <w:rPr>
          <w:w w:val="105"/>
        </w:rPr>
        <w:t>accordance</w:t>
      </w:r>
      <w:r>
        <w:rPr>
          <w:spacing w:val="12"/>
          <w:w w:val="105"/>
        </w:rPr>
        <w:t> </w:t>
      </w:r>
      <w:r>
        <w:rPr>
          <w:w w:val="105"/>
        </w:rPr>
        <w:t>with</w:t>
      </w:r>
      <w:r>
        <w:rPr>
          <w:spacing w:val="12"/>
          <w:w w:val="105"/>
        </w:rPr>
        <w:t> </w:t>
      </w:r>
      <w:r>
        <w:rPr>
          <w:w w:val="105"/>
        </w:rPr>
        <w:t>the</w:t>
      </w:r>
      <w:r>
        <w:rPr>
          <w:spacing w:val="11"/>
          <w:w w:val="105"/>
        </w:rPr>
        <w:t> </w:t>
      </w:r>
      <w:r>
        <w:rPr>
          <w:w w:val="105"/>
        </w:rPr>
        <w:t>table</w:t>
      </w:r>
      <w:r>
        <w:rPr>
          <w:spacing w:val="12"/>
          <w:w w:val="105"/>
        </w:rPr>
        <w:t> </w:t>
      </w:r>
      <w:r>
        <w:rPr>
          <w:spacing w:val="-2"/>
          <w:w w:val="105"/>
        </w:rPr>
        <w:t>below.</w:t>
      </w:r>
    </w:p>
    <w:p>
      <w:pPr>
        <w:pStyle w:val="BodyText"/>
        <w:spacing w:before="17"/>
        <w:ind w:left="142" w:right="2028"/>
        <w:jc w:val="center"/>
      </w:pPr>
      <w:r>
        <w:rPr>
          <w:w w:val="105"/>
        </w:rPr>
        <w:t>Results</w:t>
      </w:r>
      <w:r>
        <w:rPr>
          <w:spacing w:val="12"/>
          <w:w w:val="105"/>
        </w:rPr>
        <w:t> </w:t>
      </w:r>
      <w:r>
        <w:rPr>
          <w:w w:val="105"/>
        </w:rPr>
        <w:t>between</w:t>
      </w:r>
      <w:r>
        <w:rPr>
          <w:spacing w:val="13"/>
          <w:w w:val="105"/>
        </w:rPr>
        <w:t> </w:t>
      </w:r>
      <w:r>
        <w:rPr>
          <w:w w:val="105"/>
        </w:rPr>
        <w:t>indicated</w:t>
      </w:r>
      <w:r>
        <w:rPr>
          <w:spacing w:val="13"/>
          <w:w w:val="105"/>
        </w:rPr>
        <w:t> </w:t>
      </w:r>
      <w:r>
        <w:rPr>
          <w:w w:val="105"/>
        </w:rPr>
        <w:t>levels</w:t>
      </w:r>
      <w:r>
        <w:rPr>
          <w:spacing w:val="12"/>
          <w:w w:val="105"/>
        </w:rPr>
        <w:t> </w:t>
      </w:r>
      <w:r>
        <w:rPr>
          <w:w w:val="105"/>
        </w:rPr>
        <w:t>in</w:t>
      </w:r>
      <w:r>
        <w:rPr>
          <w:spacing w:val="13"/>
          <w:w w:val="105"/>
        </w:rPr>
        <w:t> </w:t>
      </w:r>
      <w:r>
        <w:rPr>
          <w:w w:val="105"/>
        </w:rPr>
        <w:t>the</w:t>
      </w:r>
      <w:r>
        <w:rPr>
          <w:spacing w:val="13"/>
          <w:w w:val="105"/>
        </w:rPr>
        <w:t> </w:t>
      </w:r>
      <w:r>
        <w:rPr>
          <w:w w:val="105"/>
        </w:rPr>
        <w:t>table</w:t>
      </w:r>
      <w:r>
        <w:rPr>
          <w:spacing w:val="12"/>
          <w:w w:val="105"/>
        </w:rPr>
        <w:t> </w:t>
      </w:r>
      <w:r>
        <w:rPr>
          <w:w w:val="105"/>
        </w:rPr>
        <w:t>are</w:t>
      </w:r>
      <w:r>
        <w:rPr>
          <w:spacing w:val="13"/>
          <w:w w:val="105"/>
        </w:rPr>
        <w:t> </w:t>
      </w:r>
      <w:r>
        <w:rPr>
          <w:w w:val="105"/>
        </w:rPr>
        <w:t>interpolated</w:t>
      </w:r>
      <w:r>
        <w:rPr>
          <w:spacing w:val="13"/>
          <w:w w:val="105"/>
        </w:rPr>
        <w:t> </w:t>
      </w:r>
      <w:r>
        <w:rPr>
          <w:w w:val="105"/>
        </w:rPr>
        <w:t>on</w:t>
      </w:r>
      <w:r>
        <w:rPr>
          <w:spacing w:val="13"/>
          <w:w w:val="105"/>
        </w:rPr>
        <w:t> </w:t>
      </w:r>
      <w:r>
        <w:rPr>
          <w:w w:val="105"/>
        </w:rPr>
        <w:t>a</w:t>
      </w:r>
      <w:r>
        <w:rPr>
          <w:spacing w:val="12"/>
          <w:w w:val="105"/>
        </w:rPr>
        <w:t> </w:t>
      </w:r>
      <w:r>
        <w:rPr>
          <w:w w:val="105"/>
        </w:rPr>
        <w:t>straight-line</w:t>
      </w:r>
      <w:r>
        <w:rPr>
          <w:spacing w:val="13"/>
          <w:w w:val="105"/>
        </w:rPr>
        <w:t> </w:t>
      </w:r>
      <w:r>
        <w:rPr>
          <w:spacing w:val="-2"/>
          <w:w w:val="105"/>
        </w:rPr>
        <w:t>basis.</w:t>
      </w:r>
    </w:p>
    <w:p>
      <w:pPr>
        <w:pStyle w:val="BodyText"/>
        <w:spacing w:before="2"/>
        <w:rPr>
          <w:sz w:val="11"/>
        </w:rPr>
      </w:pPr>
    </w:p>
    <w:p>
      <w:pPr>
        <w:spacing w:before="98"/>
        <w:ind w:left="4" w:right="1" w:firstLine="0"/>
        <w:jc w:val="center"/>
        <w:rPr>
          <w:b/>
          <w:sz w:val="18"/>
        </w:rPr>
      </w:pPr>
      <w:r>
        <w:rPr>
          <w:b/>
          <w:spacing w:val="-2"/>
          <w:sz w:val="18"/>
          <w:u w:val="single"/>
        </w:rPr>
        <w:t>Fiscal</w:t>
      </w:r>
      <w:r>
        <w:rPr>
          <w:b/>
          <w:spacing w:val="-11"/>
          <w:sz w:val="18"/>
          <w:u w:val="single"/>
        </w:rPr>
        <w:t> </w:t>
      </w:r>
      <w:r>
        <w:rPr>
          <w:b/>
          <w:spacing w:val="-2"/>
          <w:sz w:val="18"/>
          <w:u w:val="single"/>
        </w:rPr>
        <w:t>Year</w:t>
      </w:r>
      <w:r>
        <w:rPr>
          <w:b/>
          <w:spacing w:val="-7"/>
          <w:sz w:val="18"/>
          <w:u w:val="single"/>
        </w:rPr>
        <w:t> </w:t>
      </w:r>
      <w:r>
        <w:rPr>
          <w:b/>
          <w:spacing w:val="-2"/>
          <w:sz w:val="18"/>
          <w:u w:val="single"/>
        </w:rPr>
        <w:t>2022</w:t>
      </w:r>
      <w:r>
        <w:rPr>
          <w:b/>
          <w:spacing w:val="-3"/>
          <w:sz w:val="18"/>
          <w:u w:val="single"/>
        </w:rPr>
        <w:t> </w:t>
      </w:r>
      <w:r>
        <w:rPr>
          <w:b/>
          <w:spacing w:val="-2"/>
          <w:sz w:val="18"/>
          <w:u w:val="single"/>
        </w:rPr>
        <w:t>Financial</w:t>
      </w:r>
      <w:r>
        <w:rPr>
          <w:b/>
          <w:spacing w:val="-3"/>
          <w:sz w:val="18"/>
          <w:u w:val="single"/>
        </w:rPr>
        <w:t> </w:t>
      </w:r>
      <w:r>
        <w:rPr>
          <w:b/>
          <w:spacing w:val="-2"/>
          <w:sz w:val="18"/>
          <w:u w:val="single"/>
        </w:rPr>
        <w:t>Goal</w:t>
      </w:r>
      <w:r>
        <w:rPr>
          <w:b/>
          <w:spacing w:val="-15"/>
          <w:sz w:val="18"/>
          <w:u w:val="single"/>
        </w:rPr>
        <w:t> </w:t>
      </w:r>
      <w:r>
        <w:rPr>
          <w:b/>
          <w:spacing w:val="-2"/>
          <w:sz w:val="18"/>
          <w:u w:val="single"/>
        </w:rPr>
        <w:t>Attainment</w:t>
      </w:r>
    </w:p>
    <w:p>
      <w:pPr>
        <w:pStyle w:val="BodyText"/>
        <w:spacing w:before="5"/>
        <w:rPr>
          <w:b/>
          <w:sz w:val="15"/>
        </w:rPr>
      </w:pPr>
    </w:p>
    <w:tbl>
      <w:tblPr>
        <w:tblW w:w="0" w:type="auto"/>
        <w:jc w:val="left"/>
        <w:tblInd w:w="1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8"/>
        <w:gridCol w:w="220"/>
        <w:gridCol w:w="729"/>
        <w:gridCol w:w="434"/>
        <w:gridCol w:w="224"/>
        <w:gridCol w:w="643"/>
        <w:gridCol w:w="224"/>
        <w:gridCol w:w="522"/>
        <w:gridCol w:w="237"/>
      </w:tblGrid>
      <w:tr>
        <w:trPr>
          <w:trHeight w:val="216" w:hRule="atLeast"/>
        </w:trPr>
        <w:tc>
          <w:tcPr>
            <w:tcW w:w="4808" w:type="dxa"/>
            <w:tcBorders>
              <w:bottom w:val="single" w:sz="6" w:space="0" w:color="000000"/>
            </w:tcBorders>
          </w:tcPr>
          <w:p>
            <w:pPr>
              <w:pStyle w:val="TableParagraph"/>
              <w:spacing w:line="165" w:lineRule="exact"/>
              <w:ind w:left="50"/>
              <w:rPr>
                <w:b/>
                <w:sz w:val="15"/>
              </w:rPr>
            </w:pPr>
            <w:r>
              <w:rPr>
                <w:b/>
                <w:spacing w:val="-5"/>
                <w:sz w:val="15"/>
              </w:rPr>
              <w:t>Measure</w:t>
            </w:r>
            <w:r>
              <w:rPr>
                <w:b/>
                <w:spacing w:val="1"/>
                <w:sz w:val="15"/>
              </w:rPr>
              <w:t> </w:t>
            </w:r>
            <w:r>
              <w:rPr>
                <w:b/>
                <w:spacing w:val="-4"/>
                <w:sz w:val="15"/>
              </w:rPr>
              <w:t>($M)</w:t>
            </w:r>
          </w:p>
        </w:tc>
        <w:tc>
          <w:tcPr>
            <w:tcW w:w="220" w:type="dxa"/>
          </w:tcPr>
          <w:p>
            <w:pPr>
              <w:pStyle w:val="TableParagraph"/>
              <w:rPr>
                <w:sz w:val="14"/>
              </w:rPr>
            </w:pPr>
          </w:p>
        </w:tc>
        <w:tc>
          <w:tcPr>
            <w:tcW w:w="1163" w:type="dxa"/>
            <w:gridSpan w:val="2"/>
          </w:tcPr>
          <w:p>
            <w:pPr>
              <w:pStyle w:val="TableParagraph"/>
              <w:tabs>
                <w:tab w:pos="704" w:val="left" w:leader="none"/>
              </w:tabs>
              <w:spacing w:line="165" w:lineRule="exact"/>
              <w:ind w:left="82"/>
              <w:rPr>
                <w:b/>
                <w:sz w:val="15"/>
              </w:rPr>
            </w:pPr>
            <w:r>
              <w:rPr>
                <w:b/>
                <w:spacing w:val="-5"/>
                <w:sz w:val="15"/>
              </w:rPr>
              <w:t>Min</w:t>
            </w:r>
            <w:r>
              <w:rPr>
                <w:b/>
                <w:sz w:val="15"/>
              </w:rPr>
              <w:tab/>
            </w:r>
            <w:r>
              <w:rPr>
                <w:b/>
                <w:spacing w:val="-2"/>
                <w:sz w:val="15"/>
              </w:rPr>
              <w:t>Target</w:t>
            </w:r>
          </w:p>
        </w:tc>
        <w:tc>
          <w:tcPr>
            <w:tcW w:w="224" w:type="dxa"/>
          </w:tcPr>
          <w:p>
            <w:pPr>
              <w:pStyle w:val="TableParagraph"/>
              <w:rPr>
                <w:sz w:val="14"/>
              </w:rPr>
            </w:pPr>
          </w:p>
        </w:tc>
        <w:tc>
          <w:tcPr>
            <w:tcW w:w="643" w:type="dxa"/>
            <w:tcBorders>
              <w:bottom w:val="single" w:sz="6" w:space="0" w:color="000000"/>
            </w:tcBorders>
          </w:tcPr>
          <w:p>
            <w:pPr>
              <w:pStyle w:val="TableParagraph"/>
              <w:spacing w:line="165" w:lineRule="exact"/>
              <w:ind w:left="2" w:right="-15"/>
              <w:jc w:val="center"/>
              <w:rPr>
                <w:b/>
                <w:sz w:val="15"/>
              </w:rPr>
            </w:pPr>
            <w:r>
              <w:rPr>
                <w:b/>
                <w:spacing w:val="-4"/>
                <w:sz w:val="15"/>
              </w:rPr>
              <w:t>Maximum</w:t>
            </w:r>
          </w:p>
        </w:tc>
        <w:tc>
          <w:tcPr>
            <w:tcW w:w="224" w:type="dxa"/>
          </w:tcPr>
          <w:p>
            <w:pPr>
              <w:pStyle w:val="TableParagraph"/>
              <w:rPr>
                <w:sz w:val="14"/>
              </w:rPr>
            </w:pPr>
          </w:p>
        </w:tc>
        <w:tc>
          <w:tcPr>
            <w:tcW w:w="522" w:type="dxa"/>
            <w:tcBorders>
              <w:bottom w:val="single" w:sz="6" w:space="0" w:color="000000"/>
            </w:tcBorders>
          </w:tcPr>
          <w:p>
            <w:pPr>
              <w:pStyle w:val="TableParagraph"/>
              <w:spacing w:line="165" w:lineRule="exact"/>
              <w:ind w:left="7"/>
              <w:jc w:val="center"/>
              <w:rPr>
                <w:b/>
                <w:sz w:val="15"/>
              </w:rPr>
            </w:pPr>
            <w:r>
              <w:rPr>
                <w:b/>
                <w:spacing w:val="-2"/>
                <w:sz w:val="15"/>
              </w:rPr>
              <w:t>Result</w:t>
            </w:r>
          </w:p>
        </w:tc>
        <w:tc>
          <w:tcPr>
            <w:tcW w:w="237" w:type="dxa"/>
            <w:vMerge w:val="restart"/>
          </w:tcPr>
          <w:p>
            <w:pPr>
              <w:pStyle w:val="TableParagraph"/>
              <w:rPr>
                <w:sz w:val="18"/>
              </w:rPr>
            </w:pPr>
          </w:p>
        </w:tc>
      </w:tr>
      <w:tr>
        <w:trPr>
          <w:trHeight w:val="263" w:hRule="atLeast"/>
        </w:trPr>
        <w:tc>
          <w:tcPr>
            <w:tcW w:w="4808" w:type="dxa"/>
            <w:tcBorders>
              <w:top w:val="single" w:sz="6" w:space="0" w:color="000000"/>
            </w:tcBorders>
          </w:tcPr>
          <w:p>
            <w:pPr>
              <w:pStyle w:val="TableParagraph"/>
              <w:spacing w:line="188" w:lineRule="exact" w:before="55"/>
              <w:ind w:left="50"/>
              <w:rPr>
                <w:b/>
                <w:sz w:val="18"/>
              </w:rPr>
            </w:pPr>
            <w:r>
              <w:rPr>
                <w:b/>
                <w:spacing w:val="-2"/>
                <w:sz w:val="18"/>
              </w:rPr>
              <w:t>Full</w:t>
            </w:r>
            <w:r>
              <w:rPr>
                <w:b/>
                <w:spacing w:val="-13"/>
                <w:sz w:val="18"/>
              </w:rPr>
              <w:t> </w:t>
            </w:r>
            <w:r>
              <w:rPr>
                <w:b/>
                <w:spacing w:val="-2"/>
                <w:sz w:val="18"/>
              </w:rPr>
              <w:t>Year</w:t>
            </w:r>
            <w:r>
              <w:rPr>
                <w:b/>
                <w:spacing w:val="-10"/>
                <w:sz w:val="18"/>
              </w:rPr>
              <w:t> </w:t>
            </w:r>
            <w:r>
              <w:rPr>
                <w:b/>
                <w:spacing w:val="-2"/>
                <w:sz w:val="18"/>
              </w:rPr>
              <w:t>EBIT</w:t>
            </w:r>
            <w:r>
              <w:rPr>
                <w:b/>
                <w:spacing w:val="-10"/>
                <w:sz w:val="18"/>
              </w:rPr>
              <w:t> $</w:t>
            </w:r>
          </w:p>
        </w:tc>
        <w:tc>
          <w:tcPr>
            <w:tcW w:w="220" w:type="dxa"/>
          </w:tcPr>
          <w:p>
            <w:pPr>
              <w:pStyle w:val="TableParagraph"/>
              <w:rPr>
                <w:sz w:val="18"/>
              </w:rPr>
            </w:pPr>
          </w:p>
        </w:tc>
        <w:tc>
          <w:tcPr>
            <w:tcW w:w="1163" w:type="dxa"/>
            <w:gridSpan w:val="2"/>
          </w:tcPr>
          <w:p>
            <w:pPr>
              <w:pStyle w:val="TableParagraph"/>
              <w:tabs>
                <w:tab w:pos="646" w:val="left" w:leader="none"/>
              </w:tabs>
              <w:spacing w:line="20" w:lineRule="exact"/>
              <w:ind w:left="3" w:right="-72"/>
              <w:rPr>
                <w:sz w:val="2"/>
              </w:rPr>
            </w:pPr>
            <w:r>
              <w:rPr>
                <w:sz w:val="2"/>
              </w:rPr>
              <w:pict>
                <v:group style="width:21pt;height:.7pt;mso-position-horizontal-relative:char;mso-position-vertical-relative:line" id="docshapegroup311" coordorigin="0,0" coordsize="420,14">
                  <v:shape style="position:absolute;left:0;top:0;width:420;height:14" id="docshape312" coordorigin="0,0" coordsize="420,14" path="m419,0l84,0,0,0,0,14,84,14,419,14,419,0xe" filled="true" fillcolor="#000000" stroked="false">
                    <v:path arrowok="t"/>
                    <v:fill type="solid"/>
                  </v:shape>
                </v:group>
              </w:pict>
            </w:r>
            <w:r>
              <w:rPr>
                <w:sz w:val="2"/>
              </w:rPr>
            </w:r>
            <w:r>
              <w:rPr>
                <w:sz w:val="2"/>
              </w:rPr>
              <w:tab/>
            </w:r>
            <w:r>
              <w:rPr>
                <w:sz w:val="2"/>
              </w:rPr>
              <w:pict>
                <v:group style="width:25.9pt;height:.7pt;mso-position-horizontal-relative:char;mso-position-vertical-relative:line" id="docshapegroup313" coordorigin="0,0" coordsize="518,14">
                  <v:shape style="position:absolute;left:0;top:0;width:518;height:14" id="docshape314" coordorigin="0,0" coordsize="518,14" path="m517,0l98,0,0,0,0,14,98,14,517,14,517,0xe" filled="true" fillcolor="#000000" stroked="false">
                    <v:path arrowok="t"/>
                    <v:fill type="solid"/>
                  </v:shape>
                </v:group>
              </w:pict>
            </w:r>
            <w:r>
              <w:rPr>
                <w:sz w:val="2"/>
              </w:rPr>
            </w:r>
          </w:p>
          <w:p>
            <w:pPr>
              <w:pStyle w:val="TableParagraph"/>
              <w:tabs>
                <w:tab w:pos="646" w:val="left" w:leader="none"/>
              </w:tabs>
              <w:spacing w:line="188" w:lineRule="exact" w:before="35"/>
              <w:rPr>
                <w:sz w:val="18"/>
              </w:rPr>
            </w:pPr>
            <w:r>
              <w:rPr>
                <w:spacing w:val="-2"/>
                <w:w w:val="105"/>
                <w:sz w:val="18"/>
              </w:rPr>
              <w:t>$31.9</w:t>
            </w:r>
            <w:r>
              <w:rPr>
                <w:sz w:val="18"/>
              </w:rPr>
              <w:tab/>
            </w:r>
            <w:r>
              <w:rPr>
                <w:spacing w:val="-4"/>
                <w:w w:val="105"/>
                <w:sz w:val="18"/>
              </w:rPr>
              <w:t>$106.2</w:t>
            </w:r>
          </w:p>
        </w:tc>
        <w:tc>
          <w:tcPr>
            <w:tcW w:w="224" w:type="dxa"/>
          </w:tcPr>
          <w:p>
            <w:pPr>
              <w:pStyle w:val="TableParagraph"/>
              <w:rPr>
                <w:sz w:val="18"/>
              </w:rPr>
            </w:pPr>
          </w:p>
        </w:tc>
        <w:tc>
          <w:tcPr>
            <w:tcW w:w="643" w:type="dxa"/>
            <w:tcBorders>
              <w:top w:val="single" w:sz="6" w:space="0" w:color="000000"/>
            </w:tcBorders>
          </w:tcPr>
          <w:p>
            <w:pPr>
              <w:pStyle w:val="TableParagraph"/>
              <w:spacing w:line="188" w:lineRule="exact" w:before="55"/>
              <w:ind w:left="49" w:right="45"/>
              <w:jc w:val="center"/>
              <w:rPr>
                <w:sz w:val="18"/>
              </w:rPr>
            </w:pPr>
            <w:r>
              <w:rPr>
                <w:spacing w:val="-2"/>
                <w:w w:val="105"/>
                <w:sz w:val="18"/>
              </w:rPr>
              <w:t>$144.6</w:t>
            </w:r>
          </w:p>
        </w:tc>
        <w:tc>
          <w:tcPr>
            <w:tcW w:w="224" w:type="dxa"/>
          </w:tcPr>
          <w:p>
            <w:pPr>
              <w:pStyle w:val="TableParagraph"/>
              <w:rPr>
                <w:sz w:val="18"/>
              </w:rPr>
            </w:pPr>
          </w:p>
        </w:tc>
        <w:tc>
          <w:tcPr>
            <w:tcW w:w="522" w:type="dxa"/>
            <w:tcBorders>
              <w:top w:val="single" w:sz="6" w:space="0" w:color="000000"/>
            </w:tcBorders>
          </w:tcPr>
          <w:p>
            <w:pPr>
              <w:pStyle w:val="TableParagraph"/>
              <w:spacing w:line="188" w:lineRule="exact" w:before="55"/>
              <w:ind w:left="5"/>
              <w:jc w:val="center"/>
              <w:rPr>
                <w:sz w:val="18"/>
              </w:rPr>
            </w:pPr>
            <w:r>
              <w:rPr>
                <w:spacing w:val="-2"/>
                <w:sz w:val="18"/>
              </w:rPr>
              <w:t>$108.1</w:t>
            </w:r>
          </w:p>
        </w:tc>
        <w:tc>
          <w:tcPr>
            <w:tcW w:w="237" w:type="dxa"/>
            <w:vMerge/>
            <w:tcBorders>
              <w:top w:val="nil"/>
            </w:tcBorders>
          </w:tcPr>
          <w:p>
            <w:pPr>
              <w:rPr>
                <w:sz w:val="2"/>
                <w:szCs w:val="2"/>
              </w:rPr>
            </w:pPr>
          </w:p>
        </w:tc>
      </w:tr>
      <w:tr>
        <w:trPr>
          <w:trHeight w:val="316" w:hRule="atLeast"/>
        </w:trPr>
        <w:tc>
          <w:tcPr>
            <w:tcW w:w="4808" w:type="dxa"/>
          </w:tcPr>
          <w:p>
            <w:pPr>
              <w:pStyle w:val="TableParagraph"/>
              <w:spacing w:before="71"/>
              <w:ind w:left="50"/>
              <w:rPr>
                <w:sz w:val="18"/>
              </w:rPr>
            </w:pPr>
            <w:r>
              <w:rPr>
                <w:w w:val="105"/>
                <w:sz w:val="18"/>
              </w:rPr>
              <w:t>%</w:t>
            </w:r>
            <w:r>
              <w:rPr>
                <w:spacing w:val="9"/>
                <w:w w:val="105"/>
                <w:sz w:val="18"/>
              </w:rPr>
              <w:t> </w:t>
            </w:r>
            <w:r>
              <w:rPr>
                <w:w w:val="105"/>
                <w:sz w:val="18"/>
              </w:rPr>
              <w:t>of</w:t>
            </w:r>
            <w:r>
              <w:rPr>
                <w:spacing w:val="9"/>
                <w:w w:val="105"/>
                <w:sz w:val="18"/>
              </w:rPr>
              <w:t> </w:t>
            </w:r>
            <w:r>
              <w:rPr>
                <w:w w:val="105"/>
                <w:sz w:val="18"/>
              </w:rPr>
              <w:t>Financial</w:t>
            </w:r>
            <w:r>
              <w:rPr>
                <w:spacing w:val="5"/>
                <w:w w:val="105"/>
                <w:sz w:val="18"/>
              </w:rPr>
              <w:t> </w:t>
            </w:r>
            <w:r>
              <w:rPr>
                <w:spacing w:val="-2"/>
                <w:w w:val="105"/>
                <w:sz w:val="18"/>
              </w:rPr>
              <w:t>Target</w:t>
            </w:r>
          </w:p>
        </w:tc>
        <w:tc>
          <w:tcPr>
            <w:tcW w:w="949" w:type="dxa"/>
            <w:gridSpan w:val="2"/>
          </w:tcPr>
          <w:p>
            <w:pPr>
              <w:pStyle w:val="TableParagraph"/>
              <w:spacing w:before="71"/>
              <w:ind w:left="455"/>
              <w:rPr>
                <w:sz w:val="18"/>
              </w:rPr>
            </w:pPr>
            <w:r>
              <w:rPr>
                <w:spacing w:val="-5"/>
                <w:w w:val="105"/>
                <w:sz w:val="18"/>
              </w:rPr>
              <w:t>30%</w:t>
            </w:r>
          </w:p>
        </w:tc>
        <w:tc>
          <w:tcPr>
            <w:tcW w:w="658" w:type="dxa"/>
            <w:gridSpan w:val="2"/>
          </w:tcPr>
          <w:p>
            <w:pPr>
              <w:pStyle w:val="TableParagraph"/>
              <w:spacing w:before="71"/>
              <w:ind w:left="153"/>
              <w:rPr>
                <w:sz w:val="18"/>
              </w:rPr>
            </w:pPr>
            <w:r>
              <w:rPr>
                <w:spacing w:val="-4"/>
                <w:w w:val="105"/>
                <w:sz w:val="18"/>
              </w:rPr>
              <w:t>100%</w:t>
            </w:r>
          </w:p>
        </w:tc>
        <w:tc>
          <w:tcPr>
            <w:tcW w:w="867" w:type="dxa"/>
            <w:gridSpan w:val="2"/>
          </w:tcPr>
          <w:p>
            <w:pPr>
              <w:pStyle w:val="TableParagraph"/>
              <w:spacing w:before="71"/>
              <w:ind w:left="301"/>
              <w:rPr>
                <w:sz w:val="18"/>
              </w:rPr>
            </w:pPr>
            <w:r>
              <w:rPr>
                <w:spacing w:val="-4"/>
                <w:w w:val="105"/>
                <w:sz w:val="18"/>
              </w:rPr>
              <w:t>130%</w:t>
            </w:r>
          </w:p>
        </w:tc>
        <w:tc>
          <w:tcPr>
            <w:tcW w:w="759" w:type="dxa"/>
            <w:gridSpan w:val="2"/>
          </w:tcPr>
          <w:p>
            <w:pPr>
              <w:pStyle w:val="TableParagraph"/>
              <w:spacing w:before="71"/>
              <w:ind w:left="242"/>
              <w:rPr>
                <w:sz w:val="18"/>
              </w:rPr>
            </w:pPr>
            <w:r>
              <w:rPr>
                <w:spacing w:val="-4"/>
                <w:w w:val="105"/>
                <w:sz w:val="18"/>
              </w:rPr>
              <w:t>102%</w:t>
            </w:r>
          </w:p>
        </w:tc>
      </w:tr>
      <w:tr>
        <w:trPr>
          <w:trHeight w:val="279" w:hRule="atLeast"/>
        </w:trPr>
        <w:tc>
          <w:tcPr>
            <w:tcW w:w="4808" w:type="dxa"/>
          </w:tcPr>
          <w:p>
            <w:pPr>
              <w:pStyle w:val="TableParagraph"/>
              <w:spacing w:before="34"/>
              <w:ind w:left="50"/>
              <w:rPr>
                <w:sz w:val="18"/>
              </w:rPr>
            </w:pPr>
            <w:r>
              <w:rPr>
                <w:w w:val="105"/>
                <w:sz w:val="18"/>
              </w:rPr>
              <w:t>%</w:t>
            </w:r>
            <w:r>
              <w:rPr>
                <w:spacing w:val="6"/>
                <w:w w:val="105"/>
                <w:sz w:val="18"/>
              </w:rPr>
              <w:t> </w:t>
            </w:r>
            <w:r>
              <w:rPr>
                <w:w w:val="105"/>
                <w:sz w:val="18"/>
              </w:rPr>
              <w:t>of</w:t>
            </w:r>
            <w:r>
              <w:rPr>
                <w:spacing w:val="7"/>
                <w:w w:val="105"/>
                <w:sz w:val="18"/>
              </w:rPr>
              <w:t> </w:t>
            </w:r>
            <w:r>
              <w:rPr>
                <w:w w:val="105"/>
                <w:sz w:val="18"/>
              </w:rPr>
              <w:t>Bonus</w:t>
            </w:r>
            <w:r>
              <w:rPr>
                <w:spacing w:val="3"/>
                <w:w w:val="105"/>
                <w:sz w:val="18"/>
              </w:rPr>
              <w:t> </w:t>
            </w:r>
            <w:r>
              <w:rPr>
                <w:spacing w:val="-2"/>
                <w:w w:val="105"/>
                <w:sz w:val="18"/>
              </w:rPr>
              <w:t>Target</w:t>
            </w:r>
          </w:p>
        </w:tc>
        <w:tc>
          <w:tcPr>
            <w:tcW w:w="949" w:type="dxa"/>
            <w:gridSpan w:val="2"/>
          </w:tcPr>
          <w:p>
            <w:pPr>
              <w:pStyle w:val="TableParagraph"/>
              <w:spacing w:before="34"/>
              <w:ind w:left="455"/>
              <w:rPr>
                <w:sz w:val="18"/>
              </w:rPr>
            </w:pPr>
            <w:r>
              <w:rPr>
                <w:spacing w:val="-5"/>
                <w:w w:val="105"/>
                <w:sz w:val="18"/>
              </w:rPr>
              <w:t>30%</w:t>
            </w:r>
          </w:p>
        </w:tc>
        <w:tc>
          <w:tcPr>
            <w:tcW w:w="658" w:type="dxa"/>
            <w:gridSpan w:val="2"/>
          </w:tcPr>
          <w:p>
            <w:pPr>
              <w:pStyle w:val="TableParagraph"/>
              <w:spacing w:before="34"/>
              <w:ind w:left="153"/>
              <w:rPr>
                <w:sz w:val="18"/>
              </w:rPr>
            </w:pPr>
            <w:r>
              <w:rPr>
                <w:spacing w:val="-4"/>
                <w:w w:val="105"/>
                <w:sz w:val="18"/>
              </w:rPr>
              <w:t>100%</w:t>
            </w:r>
          </w:p>
        </w:tc>
        <w:tc>
          <w:tcPr>
            <w:tcW w:w="867" w:type="dxa"/>
            <w:gridSpan w:val="2"/>
          </w:tcPr>
          <w:p>
            <w:pPr>
              <w:pStyle w:val="TableParagraph"/>
              <w:spacing w:before="34"/>
              <w:ind w:left="301"/>
              <w:rPr>
                <w:sz w:val="18"/>
              </w:rPr>
            </w:pPr>
            <w:r>
              <w:rPr>
                <w:spacing w:val="-4"/>
                <w:w w:val="105"/>
                <w:sz w:val="18"/>
              </w:rPr>
              <w:t>200%</w:t>
            </w:r>
          </w:p>
        </w:tc>
        <w:tc>
          <w:tcPr>
            <w:tcW w:w="759" w:type="dxa"/>
            <w:gridSpan w:val="2"/>
          </w:tcPr>
          <w:p>
            <w:pPr>
              <w:pStyle w:val="TableParagraph"/>
              <w:spacing w:before="34"/>
              <w:ind w:left="242"/>
              <w:rPr>
                <w:sz w:val="18"/>
              </w:rPr>
            </w:pPr>
            <w:r>
              <w:rPr>
                <w:spacing w:val="-4"/>
                <w:w w:val="105"/>
                <w:sz w:val="18"/>
              </w:rPr>
              <w:t>105%</w:t>
            </w:r>
          </w:p>
        </w:tc>
      </w:tr>
      <w:tr>
        <w:trPr>
          <w:trHeight w:val="242" w:hRule="atLeast"/>
        </w:trPr>
        <w:tc>
          <w:tcPr>
            <w:tcW w:w="4808" w:type="dxa"/>
          </w:tcPr>
          <w:p>
            <w:pPr>
              <w:pStyle w:val="TableParagraph"/>
              <w:spacing w:line="188" w:lineRule="exact" w:before="34"/>
              <w:ind w:left="50"/>
              <w:rPr>
                <w:b/>
                <w:sz w:val="18"/>
              </w:rPr>
            </w:pPr>
            <w:r>
              <w:rPr>
                <w:b/>
                <w:sz w:val="18"/>
              </w:rPr>
              <w:t>Full</w:t>
            </w:r>
            <w:r>
              <w:rPr>
                <w:b/>
                <w:spacing w:val="-11"/>
                <w:sz w:val="18"/>
              </w:rPr>
              <w:t> </w:t>
            </w:r>
            <w:r>
              <w:rPr>
                <w:b/>
                <w:sz w:val="18"/>
              </w:rPr>
              <w:t>year</w:t>
            </w:r>
            <w:r>
              <w:rPr>
                <w:b/>
                <w:spacing w:val="-11"/>
                <w:sz w:val="18"/>
              </w:rPr>
              <w:t> </w:t>
            </w:r>
            <w:r>
              <w:rPr>
                <w:b/>
                <w:sz w:val="18"/>
              </w:rPr>
              <w:t>Payout</w:t>
            </w:r>
            <w:r>
              <w:rPr>
                <w:b/>
                <w:spacing w:val="-9"/>
                <w:sz w:val="18"/>
              </w:rPr>
              <w:t> </w:t>
            </w:r>
            <w:r>
              <w:rPr>
                <w:b/>
                <w:spacing w:val="-2"/>
                <w:sz w:val="18"/>
              </w:rPr>
              <w:t>Percentage:</w:t>
            </w:r>
          </w:p>
        </w:tc>
        <w:tc>
          <w:tcPr>
            <w:tcW w:w="949" w:type="dxa"/>
            <w:gridSpan w:val="2"/>
          </w:tcPr>
          <w:p>
            <w:pPr>
              <w:pStyle w:val="TableParagraph"/>
              <w:rPr>
                <w:sz w:val="16"/>
              </w:rPr>
            </w:pPr>
          </w:p>
        </w:tc>
        <w:tc>
          <w:tcPr>
            <w:tcW w:w="658" w:type="dxa"/>
            <w:gridSpan w:val="2"/>
          </w:tcPr>
          <w:p>
            <w:pPr>
              <w:pStyle w:val="TableParagraph"/>
              <w:rPr>
                <w:sz w:val="16"/>
              </w:rPr>
            </w:pPr>
          </w:p>
        </w:tc>
        <w:tc>
          <w:tcPr>
            <w:tcW w:w="867" w:type="dxa"/>
            <w:gridSpan w:val="2"/>
          </w:tcPr>
          <w:p>
            <w:pPr>
              <w:pStyle w:val="TableParagraph"/>
              <w:rPr>
                <w:sz w:val="16"/>
              </w:rPr>
            </w:pPr>
          </w:p>
        </w:tc>
        <w:tc>
          <w:tcPr>
            <w:tcW w:w="759" w:type="dxa"/>
            <w:gridSpan w:val="2"/>
          </w:tcPr>
          <w:p>
            <w:pPr>
              <w:pStyle w:val="TableParagraph"/>
              <w:spacing w:line="188" w:lineRule="exact" w:before="34"/>
              <w:ind w:left="242"/>
              <w:rPr>
                <w:b/>
                <w:sz w:val="18"/>
              </w:rPr>
            </w:pPr>
            <w:r>
              <w:rPr>
                <w:b/>
                <w:spacing w:val="-4"/>
                <w:w w:val="105"/>
                <w:sz w:val="18"/>
              </w:rPr>
              <w:t>105%</w:t>
            </w:r>
          </w:p>
        </w:tc>
      </w:tr>
    </w:tbl>
    <w:p>
      <w:pPr>
        <w:pStyle w:val="BodyText"/>
        <w:spacing w:before="10"/>
        <w:rPr>
          <w:b/>
        </w:rPr>
      </w:pPr>
      <w:r>
        <w:rPr/>
        <w:pict>
          <v:rect style="position:absolute;margin-left:94.006287pt;margin-top:12.085171pt;width:100.654902pt;height:.698992pt;mso-position-horizontal-relative:page;mso-position-vertical-relative:paragraph;z-index:-15683584;mso-wrap-distance-left:0;mso-wrap-distance-right:0" id="docshape315" filled="true" fillcolor="#000000" stroked="false">
            <v:fill type="solid"/>
            <w10:wrap type="topAndBottom"/>
          </v:rect>
        </w:pict>
      </w:r>
    </w:p>
    <w:p>
      <w:pPr>
        <w:pStyle w:val="BodyText"/>
        <w:tabs>
          <w:tab w:pos="1772" w:val="left" w:leader="none"/>
        </w:tabs>
        <w:spacing w:line="259" w:lineRule="auto" w:before="139"/>
        <w:ind w:left="1772" w:right="1733" w:hanging="373"/>
      </w:pPr>
      <w:r>
        <w:rPr>
          <w:spacing w:val="-10"/>
          <w:w w:val="105"/>
        </w:rPr>
        <w:t>*</w:t>
      </w:r>
      <w:r>
        <w:rPr/>
        <w:tab/>
      </w:r>
      <w:r>
        <w:rPr>
          <w:w w:val="105"/>
        </w:rPr>
        <w:t>As noted above, calculation of actual performance was subject to certain pre-approved adjustments, including the impact of implementing new or changed accounting rules, restructuring charges, acquisition related expenses, and unbudgeted impacts from tariffs.</w:t>
      </w:r>
    </w:p>
    <w:p>
      <w:pPr>
        <w:pStyle w:val="BodyText"/>
        <w:rPr>
          <w:sz w:val="11"/>
        </w:rPr>
      </w:pPr>
    </w:p>
    <w:p>
      <w:pPr>
        <w:pStyle w:val="Heading2"/>
        <w:spacing w:before="98"/>
      </w:pPr>
      <w:bookmarkStart w:name="_TOC_250011" w:id="32"/>
      <w:r>
        <w:rPr>
          <w:spacing w:val="-2"/>
        </w:rPr>
        <w:t>Fiscal</w:t>
      </w:r>
      <w:r>
        <w:rPr>
          <w:spacing w:val="-13"/>
        </w:rPr>
        <w:t> </w:t>
      </w:r>
      <w:r>
        <w:rPr>
          <w:spacing w:val="-2"/>
        </w:rPr>
        <w:t>Year</w:t>
      </w:r>
      <w:r>
        <w:rPr>
          <w:spacing w:val="-10"/>
        </w:rPr>
        <w:t> </w:t>
      </w:r>
      <w:r>
        <w:rPr>
          <w:spacing w:val="-2"/>
        </w:rPr>
        <w:t>2022</w:t>
      </w:r>
      <w:r>
        <w:rPr>
          <w:spacing w:val="-8"/>
        </w:rPr>
        <w:t> </w:t>
      </w:r>
      <w:bookmarkEnd w:id="32"/>
      <w:r>
        <w:rPr>
          <w:spacing w:val="-2"/>
        </w:rPr>
        <w:t>Payouts</w:t>
      </w:r>
    </w:p>
    <w:p>
      <w:pPr>
        <w:pStyle w:val="BodyText"/>
        <w:spacing w:line="249" w:lineRule="auto" w:before="170"/>
        <w:ind w:left="1400" w:right="1431" w:firstLine="372"/>
      </w:pPr>
      <w:r>
        <w:rPr>
          <w:w w:val="105"/>
        </w:rPr>
        <w:t>The Compensation Committee evaluated the performance of Mr. Sanyal, considering the applicable financial</w:t>
      </w:r>
      <w:r>
        <w:rPr>
          <w:spacing w:val="25"/>
          <w:w w:val="105"/>
        </w:rPr>
        <w:t> </w:t>
      </w:r>
      <w:r>
        <w:rPr>
          <w:w w:val="105"/>
        </w:rPr>
        <w:t>and</w:t>
      </w:r>
      <w:r>
        <w:rPr>
          <w:spacing w:val="25"/>
          <w:w w:val="105"/>
        </w:rPr>
        <w:t> </w:t>
      </w:r>
      <w:r>
        <w:rPr>
          <w:w w:val="105"/>
        </w:rPr>
        <w:t>individual</w:t>
      </w:r>
      <w:r>
        <w:rPr>
          <w:spacing w:val="25"/>
          <w:w w:val="105"/>
        </w:rPr>
        <w:t> </w:t>
      </w:r>
      <w:r>
        <w:rPr>
          <w:w w:val="105"/>
        </w:rPr>
        <w:t>achievements,</w:t>
      </w:r>
      <w:r>
        <w:rPr>
          <w:spacing w:val="25"/>
          <w:w w:val="105"/>
        </w:rPr>
        <w:t> </w:t>
      </w:r>
      <w:r>
        <w:rPr>
          <w:w w:val="105"/>
        </w:rPr>
        <w:t>and</w:t>
      </w:r>
      <w:r>
        <w:rPr>
          <w:spacing w:val="25"/>
          <w:w w:val="105"/>
        </w:rPr>
        <w:t> </w:t>
      </w:r>
      <w:r>
        <w:rPr>
          <w:w w:val="105"/>
        </w:rPr>
        <w:t>determined</w:t>
      </w:r>
      <w:r>
        <w:rPr>
          <w:spacing w:val="25"/>
          <w:w w:val="105"/>
        </w:rPr>
        <w:t> </w:t>
      </w:r>
      <w:r>
        <w:rPr>
          <w:w w:val="105"/>
        </w:rPr>
        <w:t>his</w:t>
      </w:r>
      <w:r>
        <w:rPr>
          <w:spacing w:val="25"/>
          <w:w w:val="105"/>
        </w:rPr>
        <w:t> </w:t>
      </w:r>
      <w:r>
        <w:rPr>
          <w:w w:val="105"/>
        </w:rPr>
        <w:t>award</w:t>
      </w:r>
      <w:r>
        <w:rPr>
          <w:spacing w:val="25"/>
          <w:w w:val="105"/>
        </w:rPr>
        <w:t> </w:t>
      </w:r>
      <w:r>
        <w:rPr>
          <w:w w:val="105"/>
        </w:rPr>
        <w:t>in</w:t>
      </w:r>
      <w:r>
        <w:rPr>
          <w:spacing w:val="25"/>
          <w:w w:val="105"/>
        </w:rPr>
        <w:t> </w:t>
      </w:r>
      <w:r>
        <w:rPr>
          <w:w w:val="105"/>
        </w:rPr>
        <w:t>its</w:t>
      </w:r>
      <w:r>
        <w:rPr>
          <w:spacing w:val="25"/>
          <w:w w:val="105"/>
        </w:rPr>
        <w:t> </w:t>
      </w:r>
      <w:r>
        <w:rPr>
          <w:w w:val="105"/>
        </w:rPr>
        <w:t>sole</w:t>
      </w:r>
      <w:r>
        <w:rPr>
          <w:spacing w:val="25"/>
          <w:w w:val="105"/>
        </w:rPr>
        <w:t> </w:t>
      </w:r>
      <w:r>
        <w:rPr>
          <w:w w:val="105"/>
        </w:rPr>
        <w:t>discretion.</w:t>
      </w:r>
      <w:r>
        <w:rPr>
          <w:spacing w:val="20"/>
          <w:w w:val="105"/>
        </w:rPr>
        <w:t> </w:t>
      </w:r>
      <w:r>
        <w:rPr>
          <w:w w:val="105"/>
        </w:rPr>
        <w:t>The</w:t>
      </w:r>
      <w:r>
        <w:rPr>
          <w:spacing w:val="25"/>
          <w:w w:val="105"/>
        </w:rPr>
        <w:t> </w:t>
      </w:r>
      <w:r>
        <w:rPr>
          <w:w w:val="105"/>
        </w:rPr>
        <w:t>Committee</w:t>
      </w:r>
      <w:r>
        <w:rPr>
          <w:spacing w:val="25"/>
          <w:w w:val="105"/>
        </w:rPr>
        <w:t> </w:t>
      </w:r>
      <w:r>
        <w:rPr>
          <w:w w:val="105"/>
        </w:rPr>
        <w:t>met in executive session for this evaluation and then reviewed their recommendation for Mr. Sanyal with the full</w:t>
      </w:r>
      <w:r>
        <w:rPr>
          <w:spacing w:val="40"/>
          <w:w w:val="105"/>
        </w:rPr>
        <w:t> </w:t>
      </w:r>
      <w:r>
        <w:rPr>
          <w:w w:val="105"/>
        </w:rPr>
        <w:t>Board. Mr. Sanyal submitted recommendations for each of the other NEOs based on the achievement of the respective</w:t>
      </w:r>
      <w:r>
        <w:rPr>
          <w:spacing w:val="21"/>
          <w:w w:val="105"/>
        </w:rPr>
        <w:t> </w:t>
      </w:r>
      <w:r>
        <w:rPr>
          <w:w w:val="105"/>
        </w:rPr>
        <w:t>corporate</w:t>
      </w:r>
      <w:r>
        <w:rPr>
          <w:spacing w:val="21"/>
          <w:w w:val="105"/>
        </w:rPr>
        <w:t> </w:t>
      </w:r>
      <w:r>
        <w:rPr>
          <w:w w:val="105"/>
        </w:rPr>
        <w:t>and</w:t>
      </w:r>
      <w:r>
        <w:rPr>
          <w:spacing w:val="21"/>
          <w:w w:val="105"/>
        </w:rPr>
        <w:t> </w:t>
      </w:r>
      <w:r>
        <w:rPr>
          <w:w w:val="105"/>
        </w:rPr>
        <w:t>solution</w:t>
      </w:r>
      <w:r>
        <w:rPr>
          <w:spacing w:val="21"/>
          <w:w w:val="105"/>
        </w:rPr>
        <w:t> </w:t>
      </w:r>
      <w:r>
        <w:rPr>
          <w:w w:val="105"/>
        </w:rPr>
        <w:t>line</w:t>
      </w:r>
      <w:r>
        <w:rPr>
          <w:spacing w:val="21"/>
          <w:w w:val="105"/>
        </w:rPr>
        <w:t> </w:t>
      </w:r>
      <w:r>
        <w:rPr>
          <w:w w:val="105"/>
        </w:rPr>
        <w:t>financial</w:t>
      </w:r>
      <w:r>
        <w:rPr>
          <w:spacing w:val="21"/>
          <w:w w:val="105"/>
        </w:rPr>
        <w:t> </w:t>
      </w:r>
      <w:r>
        <w:rPr>
          <w:w w:val="105"/>
        </w:rPr>
        <w:t>goals</w:t>
      </w:r>
      <w:r>
        <w:rPr>
          <w:spacing w:val="21"/>
          <w:w w:val="105"/>
        </w:rPr>
        <w:t> </w:t>
      </w:r>
      <w:r>
        <w:rPr>
          <w:w w:val="105"/>
        </w:rPr>
        <w:t>for</w:t>
      </w:r>
      <w:r>
        <w:rPr>
          <w:spacing w:val="21"/>
          <w:w w:val="105"/>
        </w:rPr>
        <w:t> </w:t>
      </w:r>
      <w:r>
        <w:rPr>
          <w:w w:val="105"/>
        </w:rPr>
        <w:t>fiscal</w:t>
      </w:r>
      <w:r>
        <w:rPr>
          <w:spacing w:val="21"/>
          <w:w w:val="105"/>
        </w:rPr>
        <w:t> </w:t>
      </w:r>
      <w:r>
        <w:rPr>
          <w:w w:val="105"/>
        </w:rPr>
        <w:t>year</w:t>
      </w:r>
      <w:r>
        <w:rPr>
          <w:spacing w:val="21"/>
          <w:w w:val="105"/>
        </w:rPr>
        <w:t> </w:t>
      </w:r>
      <w:r>
        <w:rPr>
          <w:w w:val="105"/>
        </w:rPr>
        <w:t>2022</w:t>
      </w:r>
      <w:r>
        <w:rPr>
          <w:spacing w:val="21"/>
          <w:w w:val="105"/>
        </w:rPr>
        <w:t> </w:t>
      </w:r>
      <w:r>
        <w:rPr>
          <w:w w:val="105"/>
        </w:rPr>
        <w:t>compared</w:t>
      </w:r>
      <w:r>
        <w:rPr>
          <w:spacing w:val="21"/>
          <w:w w:val="105"/>
        </w:rPr>
        <w:t> </w:t>
      </w:r>
      <w:r>
        <w:rPr>
          <w:w w:val="105"/>
        </w:rPr>
        <w:t>to</w:t>
      </w:r>
      <w:r>
        <w:rPr>
          <w:spacing w:val="21"/>
          <w:w w:val="105"/>
        </w:rPr>
        <w:t> </w:t>
      </w:r>
      <w:r>
        <w:rPr>
          <w:w w:val="105"/>
        </w:rPr>
        <w:t>the</w:t>
      </w:r>
      <w:r>
        <w:rPr>
          <w:spacing w:val="21"/>
          <w:w w:val="105"/>
        </w:rPr>
        <w:t> </w:t>
      </w:r>
      <w:r>
        <w:rPr>
          <w:w w:val="105"/>
        </w:rPr>
        <w:t>thresholds</w:t>
      </w:r>
      <w:r>
        <w:rPr>
          <w:spacing w:val="21"/>
          <w:w w:val="105"/>
        </w:rPr>
        <w:t> </w:t>
      </w:r>
      <w:r>
        <w:rPr>
          <w:w w:val="105"/>
        </w:rPr>
        <w:t>set</w:t>
      </w:r>
      <w:r>
        <w:rPr>
          <w:spacing w:val="21"/>
          <w:w w:val="105"/>
        </w:rPr>
        <w:t> </w:t>
      </w:r>
      <w:r>
        <w:rPr>
          <w:w w:val="105"/>
        </w:rPr>
        <w:t>by the Compensation Committee and based on the scoring of the individual goals of the MIP. Individual goals</w:t>
      </w:r>
      <w:r>
        <w:rPr>
          <w:spacing w:val="40"/>
          <w:w w:val="105"/>
        </w:rPr>
        <w:t> </w:t>
      </w:r>
      <w:r>
        <w:rPr>
          <w:w w:val="105"/>
        </w:rPr>
        <w:t>were related to:</w:t>
      </w:r>
    </w:p>
    <w:p>
      <w:pPr>
        <w:pStyle w:val="ListParagraph"/>
        <w:numPr>
          <w:ilvl w:val="0"/>
          <w:numId w:val="27"/>
        </w:numPr>
        <w:tabs>
          <w:tab w:pos="1960" w:val="left" w:leader="none"/>
        </w:tabs>
        <w:spacing w:line="259" w:lineRule="auto" w:before="87" w:after="0"/>
        <w:ind w:left="1959" w:right="1959" w:hanging="187"/>
        <w:jc w:val="left"/>
        <w:rPr>
          <w:sz w:val="18"/>
        </w:rPr>
      </w:pPr>
      <w:r>
        <w:rPr>
          <w:w w:val="105"/>
          <w:sz w:val="18"/>
        </w:rPr>
        <w:t>For Mr. Sanyal, sales growth, cash generation, customer success, productivity, and key growth </w:t>
      </w:r>
      <w:r>
        <w:rPr>
          <w:spacing w:val="-2"/>
          <w:w w:val="105"/>
          <w:sz w:val="18"/>
        </w:rPr>
        <w:t>initiatives.</w:t>
      </w:r>
    </w:p>
    <w:p>
      <w:pPr>
        <w:pStyle w:val="ListParagraph"/>
        <w:numPr>
          <w:ilvl w:val="0"/>
          <w:numId w:val="27"/>
        </w:numPr>
        <w:tabs>
          <w:tab w:pos="1960" w:val="left" w:leader="none"/>
        </w:tabs>
        <w:spacing w:line="259" w:lineRule="auto" w:before="98" w:after="0"/>
        <w:ind w:left="1959" w:right="1717" w:hanging="187"/>
        <w:jc w:val="left"/>
        <w:rPr>
          <w:sz w:val="18"/>
        </w:rPr>
      </w:pPr>
      <w:r>
        <w:rPr>
          <w:w w:val="105"/>
          <w:sz w:val="18"/>
        </w:rPr>
        <w:t>For Mr. Maheshwari, process improvements, cash generation, reducing enterprise risk, increasing operational efficiency, and revenue growth.</w:t>
      </w:r>
    </w:p>
    <w:p>
      <w:pPr>
        <w:spacing w:after="0" w:line="259" w:lineRule="auto"/>
        <w:jc w:val="left"/>
        <w:rPr>
          <w:sz w:val="18"/>
        </w:rPr>
        <w:sectPr>
          <w:headerReference w:type="default" r:id="rId128"/>
          <w:footerReference w:type="default" r:id="rId129"/>
          <w:pgSz w:w="12240" w:h="15840"/>
          <w:pgMar w:header="529" w:footer="1078" w:top="720" w:bottom="1260" w:left="480" w:right="460"/>
        </w:sectPr>
      </w:pPr>
    </w:p>
    <w:p>
      <w:pPr>
        <w:pStyle w:val="BodyText"/>
        <w:rPr>
          <w:sz w:val="20"/>
        </w:rPr>
      </w:pPr>
    </w:p>
    <w:p>
      <w:pPr>
        <w:pStyle w:val="BodyText"/>
        <w:rPr>
          <w:sz w:val="20"/>
        </w:rPr>
      </w:pPr>
    </w:p>
    <w:p>
      <w:pPr>
        <w:pStyle w:val="BodyText"/>
        <w:spacing w:before="2"/>
        <w:rPr>
          <w:sz w:val="27"/>
        </w:rPr>
      </w:pPr>
    </w:p>
    <w:p>
      <w:pPr>
        <w:pStyle w:val="ListParagraph"/>
        <w:numPr>
          <w:ilvl w:val="0"/>
          <w:numId w:val="27"/>
        </w:numPr>
        <w:tabs>
          <w:tab w:pos="1960" w:val="left" w:leader="none"/>
        </w:tabs>
        <w:spacing w:line="259" w:lineRule="auto" w:before="98" w:after="0"/>
        <w:ind w:left="1959" w:right="1422" w:hanging="187"/>
        <w:jc w:val="left"/>
        <w:rPr>
          <w:sz w:val="18"/>
        </w:rPr>
      </w:pPr>
      <w:r>
        <w:rPr>
          <w:w w:val="105"/>
          <w:sz w:val="18"/>
        </w:rPr>
        <w:t>For Ms. Honeysett, developing a governance framework for our ESG program, further improving our ethical</w:t>
      </w:r>
      <w:r>
        <w:rPr>
          <w:spacing w:val="32"/>
          <w:w w:val="105"/>
          <w:sz w:val="18"/>
        </w:rPr>
        <w:t> </w:t>
      </w:r>
      <w:r>
        <w:rPr>
          <w:w w:val="105"/>
          <w:sz w:val="18"/>
        </w:rPr>
        <w:t>compliance</w:t>
      </w:r>
      <w:r>
        <w:rPr>
          <w:spacing w:val="32"/>
          <w:w w:val="105"/>
          <w:sz w:val="18"/>
        </w:rPr>
        <w:t> </w:t>
      </w:r>
      <w:r>
        <w:rPr>
          <w:w w:val="105"/>
          <w:sz w:val="18"/>
        </w:rPr>
        <w:t>program,</w:t>
      </w:r>
      <w:r>
        <w:rPr>
          <w:spacing w:val="32"/>
          <w:w w:val="105"/>
          <w:sz w:val="18"/>
        </w:rPr>
        <w:t> </w:t>
      </w:r>
      <w:r>
        <w:rPr>
          <w:w w:val="105"/>
          <w:sz w:val="18"/>
        </w:rPr>
        <w:t>expanding</w:t>
      </w:r>
      <w:r>
        <w:rPr>
          <w:spacing w:val="32"/>
          <w:w w:val="105"/>
          <w:sz w:val="18"/>
        </w:rPr>
        <w:t> </w:t>
      </w:r>
      <w:r>
        <w:rPr>
          <w:w w:val="105"/>
          <w:sz w:val="18"/>
        </w:rPr>
        <w:t>duty</w:t>
      </w:r>
      <w:r>
        <w:rPr>
          <w:spacing w:val="32"/>
          <w:w w:val="105"/>
          <w:sz w:val="18"/>
        </w:rPr>
        <w:t> </w:t>
      </w:r>
      <w:r>
        <w:rPr>
          <w:w w:val="105"/>
          <w:sz w:val="18"/>
        </w:rPr>
        <w:t>mitigation</w:t>
      </w:r>
      <w:r>
        <w:rPr>
          <w:spacing w:val="32"/>
          <w:w w:val="105"/>
          <w:sz w:val="18"/>
        </w:rPr>
        <w:t> </w:t>
      </w:r>
      <w:r>
        <w:rPr>
          <w:w w:val="105"/>
          <w:sz w:val="18"/>
        </w:rPr>
        <w:t>activities,</w:t>
      </w:r>
      <w:r>
        <w:rPr>
          <w:spacing w:val="32"/>
          <w:w w:val="105"/>
          <w:sz w:val="18"/>
        </w:rPr>
        <w:t> </w:t>
      </w:r>
      <w:r>
        <w:rPr>
          <w:w w:val="105"/>
          <w:sz w:val="18"/>
        </w:rPr>
        <w:t>and</w:t>
      </w:r>
      <w:r>
        <w:rPr>
          <w:spacing w:val="32"/>
          <w:w w:val="105"/>
          <w:sz w:val="18"/>
        </w:rPr>
        <w:t> </w:t>
      </w:r>
      <w:r>
        <w:rPr>
          <w:w w:val="105"/>
          <w:sz w:val="18"/>
        </w:rPr>
        <w:t>improving</w:t>
      </w:r>
      <w:r>
        <w:rPr>
          <w:spacing w:val="32"/>
          <w:w w:val="105"/>
          <w:sz w:val="18"/>
        </w:rPr>
        <w:t> </w:t>
      </w:r>
      <w:r>
        <w:rPr>
          <w:w w:val="105"/>
          <w:sz w:val="18"/>
        </w:rPr>
        <w:t>the</w:t>
      </w:r>
      <w:r>
        <w:rPr>
          <w:spacing w:val="32"/>
          <w:w w:val="105"/>
          <w:sz w:val="18"/>
        </w:rPr>
        <w:t> </w:t>
      </w:r>
      <w:r>
        <w:rPr>
          <w:w w:val="105"/>
          <w:sz w:val="18"/>
        </w:rPr>
        <w:t>efficiency</w:t>
      </w:r>
      <w:r>
        <w:rPr>
          <w:spacing w:val="32"/>
          <w:w w:val="105"/>
          <w:sz w:val="18"/>
        </w:rPr>
        <w:t> </w:t>
      </w:r>
      <w:r>
        <w:rPr>
          <w:w w:val="105"/>
          <w:sz w:val="18"/>
        </w:rPr>
        <w:t>of legal operations.</w:t>
      </w:r>
    </w:p>
    <w:p>
      <w:pPr>
        <w:pStyle w:val="ListParagraph"/>
        <w:numPr>
          <w:ilvl w:val="0"/>
          <w:numId w:val="27"/>
        </w:numPr>
        <w:tabs>
          <w:tab w:pos="1960" w:val="left" w:leader="none"/>
        </w:tabs>
        <w:spacing w:line="259" w:lineRule="auto" w:before="127" w:after="0"/>
        <w:ind w:left="1959" w:right="1668" w:hanging="187"/>
        <w:jc w:val="left"/>
        <w:rPr>
          <w:sz w:val="18"/>
        </w:rPr>
      </w:pPr>
      <w:r>
        <w:rPr>
          <w:w w:val="105"/>
          <w:sz w:val="18"/>
        </w:rPr>
        <w:t>For Mr. Giambattista, achieving business unit EBIT, new product introductions, advancing photon counting commercialization, and driving cost leadership for detectors.</w:t>
      </w:r>
    </w:p>
    <w:p>
      <w:pPr>
        <w:pStyle w:val="ListParagraph"/>
        <w:numPr>
          <w:ilvl w:val="0"/>
          <w:numId w:val="27"/>
        </w:numPr>
        <w:tabs>
          <w:tab w:pos="1960" w:val="left" w:leader="none"/>
        </w:tabs>
        <w:spacing w:line="259" w:lineRule="auto" w:before="112" w:after="0"/>
        <w:ind w:left="1959" w:right="1764" w:hanging="187"/>
        <w:jc w:val="left"/>
        <w:rPr>
          <w:sz w:val="18"/>
        </w:rPr>
      </w:pPr>
      <w:r>
        <w:rPr>
          <w:w w:val="105"/>
          <w:sz w:val="18"/>
        </w:rPr>
        <w:t>For Mr. Hartmann, achieving revenue growth for our Medical segment, generating new business, improving gross margins, inventory management, and reducing sales and marketing expenses.</w:t>
      </w:r>
    </w:p>
    <w:p>
      <w:pPr>
        <w:pStyle w:val="BodyText"/>
        <w:spacing w:line="259" w:lineRule="auto" w:before="140"/>
        <w:ind w:left="1400" w:right="1551" w:firstLine="372"/>
      </w:pPr>
      <w:r>
        <w:rPr>
          <w:w w:val="105"/>
        </w:rPr>
        <w:t>Final</w:t>
      </w:r>
      <w:r>
        <w:rPr>
          <w:spacing w:val="16"/>
          <w:w w:val="105"/>
        </w:rPr>
        <w:t> </w:t>
      </w:r>
      <w:r>
        <w:rPr>
          <w:w w:val="105"/>
        </w:rPr>
        <w:t>determination</w:t>
      </w:r>
      <w:r>
        <w:rPr>
          <w:spacing w:val="16"/>
          <w:w w:val="105"/>
        </w:rPr>
        <w:t> </w:t>
      </w:r>
      <w:r>
        <w:rPr>
          <w:w w:val="105"/>
        </w:rPr>
        <w:t>of</w:t>
      </w:r>
      <w:r>
        <w:rPr>
          <w:spacing w:val="16"/>
          <w:w w:val="105"/>
        </w:rPr>
        <w:t> </w:t>
      </w:r>
      <w:r>
        <w:rPr>
          <w:w w:val="105"/>
        </w:rPr>
        <w:t>awards</w:t>
      </w:r>
      <w:r>
        <w:rPr>
          <w:spacing w:val="16"/>
          <w:w w:val="105"/>
        </w:rPr>
        <w:t> </w:t>
      </w:r>
      <w:r>
        <w:rPr>
          <w:w w:val="105"/>
        </w:rPr>
        <w:t>was</w:t>
      </w:r>
      <w:r>
        <w:rPr>
          <w:spacing w:val="16"/>
          <w:w w:val="105"/>
        </w:rPr>
        <w:t> </w:t>
      </w:r>
      <w:r>
        <w:rPr>
          <w:w w:val="105"/>
        </w:rPr>
        <w:t>made</w:t>
      </w:r>
      <w:r>
        <w:rPr>
          <w:spacing w:val="16"/>
          <w:w w:val="105"/>
        </w:rPr>
        <w:t> </w:t>
      </w:r>
      <w:r>
        <w:rPr>
          <w:w w:val="105"/>
        </w:rPr>
        <w:t>by</w:t>
      </w:r>
      <w:r>
        <w:rPr>
          <w:spacing w:val="16"/>
          <w:w w:val="105"/>
        </w:rPr>
        <w:t> </w:t>
      </w:r>
      <w:r>
        <w:rPr>
          <w:w w:val="105"/>
        </w:rPr>
        <w:t>the</w:t>
      </w:r>
      <w:r>
        <w:rPr>
          <w:spacing w:val="16"/>
          <w:w w:val="105"/>
        </w:rPr>
        <w:t> </w:t>
      </w:r>
      <w:r>
        <w:rPr>
          <w:w w:val="105"/>
        </w:rPr>
        <w:t>Compensation</w:t>
      </w:r>
      <w:r>
        <w:rPr>
          <w:spacing w:val="16"/>
          <w:w w:val="105"/>
        </w:rPr>
        <w:t> </w:t>
      </w:r>
      <w:r>
        <w:rPr>
          <w:w w:val="105"/>
        </w:rPr>
        <w:t>Committee,</w:t>
      </w:r>
      <w:r>
        <w:rPr>
          <w:spacing w:val="16"/>
          <w:w w:val="105"/>
        </w:rPr>
        <w:t> </w:t>
      </w:r>
      <w:r>
        <w:rPr>
          <w:w w:val="105"/>
        </w:rPr>
        <w:t>with</w:t>
      </w:r>
      <w:r>
        <w:rPr>
          <w:spacing w:val="16"/>
          <w:w w:val="105"/>
        </w:rPr>
        <w:t> </w:t>
      </w:r>
      <w:r>
        <w:rPr>
          <w:w w:val="105"/>
        </w:rPr>
        <w:t>payouts</w:t>
      </w:r>
      <w:r>
        <w:rPr>
          <w:spacing w:val="16"/>
          <w:w w:val="105"/>
        </w:rPr>
        <w:t> </w:t>
      </w:r>
      <w:r>
        <w:rPr>
          <w:w w:val="105"/>
        </w:rPr>
        <w:t>as</w:t>
      </w:r>
      <w:r>
        <w:rPr>
          <w:spacing w:val="16"/>
          <w:w w:val="105"/>
        </w:rPr>
        <w:t> </w:t>
      </w:r>
      <w:r>
        <w:rPr>
          <w:w w:val="105"/>
        </w:rPr>
        <w:t>calculated in the following table:</w:t>
      </w:r>
    </w:p>
    <w:p>
      <w:pPr>
        <w:pStyle w:val="BodyText"/>
        <w:spacing w:before="5"/>
        <w:rPr>
          <w:sz w:val="16"/>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2"/>
        <w:gridCol w:w="223"/>
        <w:gridCol w:w="704"/>
        <w:gridCol w:w="218"/>
        <w:gridCol w:w="720"/>
        <w:gridCol w:w="202"/>
        <w:gridCol w:w="643"/>
        <w:gridCol w:w="210"/>
        <w:gridCol w:w="706"/>
        <w:gridCol w:w="218"/>
        <w:gridCol w:w="784"/>
      </w:tblGrid>
      <w:tr>
        <w:trPr>
          <w:trHeight w:val="334" w:hRule="atLeast"/>
        </w:trPr>
        <w:tc>
          <w:tcPr>
            <w:tcW w:w="4095" w:type="dxa"/>
            <w:gridSpan w:val="2"/>
          </w:tcPr>
          <w:p>
            <w:pPr>
              <w:pStyle w:val="TableParagraph"/>
              <w:rPr>
                <w:sz w:val="18"/>
              </w:rPr>
            </w:pPr>
          </w:p>
        </w:tc>
        <w:tc>
          <w:tcPr>
            <w:tcW w:w="704" w:type="dxa"/>
          </w:tcPr>
          <w:p>
            <w:pPr>
              <w:pStyle w:val="TableParagraph"/>
              <w:spacing w:before="11"/>
              <w:rPr>
                <w:sz w:val="13"/>
              </w:rPr>
            </w:pPr>
          </w:p>
          <w:p>
            <w:pPr>
              <w:pStyle w:val="TableParagraph"/>
              <w:spacing w:line="154" w:lineRule="exact"/>
              <w:ind w:left="42" w:right="32"/>
              <w:jc w:val="center"/>
              <w:rPr>
                <w:b/>
                <w:sz w:val="15"/>
              </w:rPr>
            </w:pPr>
            <w:r>
              <w:rPr>
                <w:b/>
                <w:spacing w:val="-5"/>
                <w:sz w:val="15"/>
              </w:rPr>
              <w:t>MIP</w:t>
            </w:r>
          </w:p>
        </w:tc>
        <w:tc>
          <w:tcPr>
            <w:tcW w:w="218" w:type="dxa"/>
          </w:tcPr>
          <w:p>
            <w:pPr>
              <w:pStyle w:val="TableParagraph"/>
              <w:rPr>
                <w:sz w:val="18"/>
              </w:rPr>
            </w:pPr>
          </w:p>
        </w:tc>
        <w:tc>
          <w:tcPr>
            <w:tcW w:w="720" w:type="dxa"/>
          </w:tcPr>
          <w:p>
            <w:pPr>
              <w:pStyle w:val="TableParagraph"/>
              <w:spacing w:line="163" w:lineRule="exact"/>
              <w:ind w:right="3"/>
              <w:jc w:val="center"/>
              <w:rPr>
                <w:b/>
                <w:sz w:val="15"/>
              </w:rPr>
            </w:pPr>
            <w:r>
              <w:rPr>
                <w:b/>
                <w:spacing w:val="-4"/>
                <w:sz w:val="15"/>
              </w:rPr>
              <w:t>EBIT</w:t>
            </w:r>
          </w:p>
          <w:p>
            <w:pPr>
              <w:pStyle w:val="TableParagraph"/>
              <w:spacing w:line="151" w:lineRule="exact"/>
              <w:ind w:right="3"/>
              <w:jc w:val="center"/>
              <w:rPr>
                <w:b/>
                <w:sz w:val="15"/>
              </w:rPr>
            </w:pPr>
            <w:r>
              <w:rPr>
                <w:b/>
                <w:spacing w:val="-4"/>
                <w:sz w:val="15"/>
              </w:rPr>
              <w:t>Attainment</w:t>
            </w:r>
          </w:p>
        </w:tc>
        <w:tc>
          <w:tcPr>
            <w:tcW w:w="202" w:type="dxa"/>
          </w:tcPr>
          <w:p>
            <w:pPr>
              <w:pStyle w:val="TableParagraph"/>
              <w:rPr>
                <w:sz w:val="18"/>
              </w:rPr>
            </w:pPr>
          </w:p>
        </w:tc>
        <w:tc>
          <w:tcPr>
            <w:tcW w:w="643" w:type="dxa"/>
          </w:tcPr>
          <w:p>
            <w:pPr>
              <w:pStyle w:val="TableParagraph"/>
              <w:spacing w:line="163" w:lineRule="exact"/>
              <w:ind w:left="5"/>
              <w:rPr>
                <w:b/>
                <w:sz w:val="15"/>
              </w:rPr>
            </w:pPr>
            <w:r>
              <w:rPr>
                <w:b/>
                <w:spacing w:val="-5"/>
                <w:sz w:val="15"/>
              </w:rPr>
              <w:t>Individual</w:t>
            </w:r>
          </w:p>
          <w:p>
            <w:pPr>
              <w:pStyle w:val="TableParagraph"/>
              <w:spacing w:line="151" w:lineRule="exact"/>
              <w:ind w:left="52"/>
              <w:rPr>
                <w:b/>
                <w:sz w:val="15"/>
              </w:rPr>
            </w:pPr>
            <w:r>
              <w:rPr>
                <w:b/>
                <w:spacing w:val="-2"/>
                <w:sz w:val="15"/>
              </w:rPr>
              <w:t>Modifier</w:t>
            </w:r>
          </w:p>
        </w:tc>
        <w:tc>
          <w:tcPr>
            <w:tcW w:w="210" w:type="dxa"/>
          </w:tcPr>
          <w:p>
            <w:pPr>
              <w:pStyle w:val="TableParagraph"/>
              <w:rPr>
                <w:sz w:val="18"/>
              </w:rPr>
            </w:pPr>
          </w:p>
        </w:tc>
        <w:tc>
          <w:tcPr>
            <w:tcW w:w="706" w:type="dxa"/>
          </w:tcPr>
          <w:p>
            <w:pPr>
              <w:pStyle w:val="TableParagraph"/>
              <w:spacing w:before="11"/>
              <w:rPr>
                <w:sz w:val="13"/>
              </w:rPr>
            </w:pPr>
          </w:p>
          <w:p>
            <w:pPr>
              <w:pStyle w:val="TableParagraph"/>
              <w:spacing w:line="154" w:lineRule="exact"/>
              <w:ind w:left="29" w:right="16"/>
              <w:jc w:val="center"/>
              <w:rPr>
                <w:b/>
                <w:sz w:val="15"/>
              </w:rPr>
            </w:pPr>
            <w:r>
              <w:rPr>
                <w:b/>
                <w:spacing w:val="-5"/>
                <w:sz w:val="15"/>
              </w:rPr>
              <w:t>MIP</w:t>
            </w:r>
          </w:p>
        </w:tc>
        <w:tc>
          <w:tcPr>
            <w:tcW w:w="218" w:type="dxa"/>
          </w:tcPr>
          <w:p>
            <w:pPr>
              <w:pStyle w:val="TableParagraph"/>
              <w:rPr>
                <w:sz w:val="18"/>
              </w:rPr>
            </w:pPr>
          </w:p>
        </w:tc>
        <w:tc>
          <w:tcPr>
            <w:tcW w:w="784" w:type="dxa"/>
          </w:tcPr>
          <w:p>
            <w:pPr>
              <w:pStyle w:val="TableParagraph"/>
              <w:spacing w:line="163" w:lineRule="exact"/>
              <w:ind w:left="7"/>
              <w:jc w:val="center"/>
              <w:rPr>
                <w:b/>
                <w:sz w:val="15"/>
              </w:rPr>
            </w:pPr>
            <w:r>
              <w:rPr>
                <w:b/>
                <w:spacing w:val="-4"/>
                <w:sz w:val="15"/>
              </w:rPr>
              <w:t>MIP</w:t>
            </w:r>
            <w:r>
              <w:rPr>
                <w:b/>
                <w:spacing w:val="-12"/>
                <w:sz w:val="15"/>
              </w:rPr>
              <w:t> </w:t>
            </w:r>
            <w:r>
              <w:rPr>
                <w:b/>
                <w:spacing w:val="-2"/>
                <w:sz w:val="15"/>
              </w:rPr>
              <w:t>Payout</w:t>
            </w:r>
          </w:p>
          <w:p>
            <w:pPr>
              <w:pStyle w:val="TableParagraph"/>
              <w:spacing w:line="151" w:lineRule="exact"/>
              <w:ind w:left="7"/>
              <w:jc w:val="center"/>
              <w:rPr>
                <w:b/>
                <w:sz w:val="15"/>
              </w:rPr>
            </w:pPr>
            <w:r>
              <w:rPr>
                <w:b/>
                <w:spacing w:val="-4"/>
                <w:sz w:val="15"/>
              </w:rPr>
              <w:t>(% </w:t>
            </w:r>
            <w:r>
              <w:rPr>
                <w:b/>
                <w:spacing w:val="-5"/>
                <w:sz w:val="15"/>
              </w:rPr>
              <w:t>of</w:t>
            </w:r>
          </w:p>
        </w:tc>
      </w:tr>
      <w:tr>
        <w:trPr>
          <w:trHeight w:val="217" w:hRule="atLeast"/>
        </w:trPr>
        <w:tc>
          <w:tcPr>
            <w:tcW w:w="3872" w:type="dxa"/>
            <w:tcBorders>
              <w:bottom w:val="single" w:sz="6" w:space="0" w:color="000000"/>
            </w:tcBorders>
          </w:tcPr>
          <w:p>
            <w:pPr>
              <w:pStyle w:val="TableParagraph"/>
              <w:spacing w:line="167" w:lineRule="exact"/>
              <w:rPr>
                <w:b/>
                <w:sz w:val="15"/>
              </w:rPr>
            </w:pPr>
            <w:r>
              <w:rPr>
                <w:b/>
                <w:spacing w:val="-4"/>
                <w:sz w:val="15"/>
              </w:rPr>
              <w:t>Name</w:t>
            </w:r>
          </w:p>
        </w:tc>
        <w:tc>
          <w:tcPr>
            <w:tcW w:w="223" w:type="dxa"/>
          </w:tcPr>
          <w:p>
            <w:pPr>
              <w:pStyle w:val="TableParagraph"/>
              <w:rPr>
                <w:sz w:val="14"/>
              </w:rPr>
            </w:pPr>
          </w:p>
        </w:tc>
        <w:tc>
          <w:tcPr>
            <w:tcW w:w="704" w:type="dxa"/>
            <w:tcBorders>
              <w:bottom w:val="single" w:sz="6" w:space="0" w:color="000000"/>
            </w:tcBorders>
          </w:tcPr>
          <w:p>
            <w:pPr>
              <w:pStyle w:val="TableParagraph"/>
              <w:spacing w:line="167" w:lineRule="exact"/>
              <w:ind w:left="42" w:right="32"/>
              <w:jc w:val="center"/>
              <w:rPr>
                <w:b/>
                <w:sz w:val="15"/>
              </w:rPr>
            </w:pPr>
            <w:r>
              <w:rPr>
                <w:b/>
                <w:spacing w:val="-7"/>
                <w:sz w:val="15"/>
              </w:rPr>
              <w:t>Target</w:t>
            </w:r>
            <w:r>
              <w:rPr>
                <w:b/>
                <w:spacing w:val="1"/>
                <w:sz w:val="15"/>
              </w:rPr>
              <w:t> </w:t>
            </w:r>
            <w:r>
              <w:rPr>
                <w:b/>
                <w:spacing w:val="-5"/>
                <w:sz w:val="15"/>
              </w:rPr>
              <w:t>($)</w:t>
            </w:r>
          </w:p>
        </w:tc>
        <w:tc>
          <w:tcPr>
            <w:tcW w:w="218" w:type="dxa"/>
          </w:tcPr>
          <w:p>
            <w:pPr>
              <w:pStyle w:val="TableParagraph"/>
              <w:rPr>
                <w:sz w:val="14"/>
              </w:rPr>
            </w:pPr>
          </w:p>
        </w:tc>
        <w:tc>
          <w:tcPr>
            <w:tcW w:w="720" w:type="dxa"/>
            <w:tcBorders>
              <w:bottom w:val="single" w:sz="6" w:space="0" w:color="000000"/>
            </w:tcBorders>
          </w:tcPr>
          <w:p>
            <w:pPr>
              <w:pStyle w:val="TableParagraph"/>
              <w:spacing w:line="167" w:lineRule="exact"/>
              <w:ind w:left="235"/>
              <w:rPr>
                <w:b/>
                <w:sz w:val="15"/>
              </w:rPr>
            </w:pPr>
            <w:r>
              <w:rPr>
                <w:b/>
                <w:spacing w:val="-5"/>
                <w:sz w:val="15"/>
              </w:rPr>
              <w:t>(%)</w:t>
            </w:r>
          </w:p>
        </w:tc>
        <w:tc>
          <w:tcPr>
            <w:tcW w:w="202" w:type="dxa"/>
          </w:tcPr>
          <w:p>
            <w:pPr>
              <w:pStyle w:val="TableParagraph"/>
              <w:rPr>
                <w:sz w:val="14"/>
              </w:rPr>
            </w:pPr>
          </w:p>
        </w:tc>
        <w:tc>
          <w:tcPr>
            <w:tcW w:w="643" w:type="dxa"/>
            <w:tcBorders>
              <w:bottom w:val="single" w:sz="6" w:space="0" w:color="000000"/>
            </w:tcBorders>
          </w:tcPr>
          <w:p>
            <w:pPr>
              <w:pStyle w:val="TableParagraph"/>
              <w:spacing w:line="167" w:lineRule="exact"/>
              <w:ind w:left="202"/>
              <w:rPr>
                <w:b/>
                <w:sz w:val="15"/>
              </w:rPr>
            </w:pPr>
            <w:r>
              <w:rPr>
                <w:b/>
                <w:spacing w:val="-5"/>
                <w:sz w:val="15"/>
              </w:rPr>
              <w:t>(%)</w:t>
            </w:r>
          </w:p>
        </w:tc>
        <w:tc>
          <w:tcPr>
            <w:tcW w:w="210" w:type="dxa"/>
          </w:tcPr>
          <w:p>
            <w:pPr>
              <w:pStyle w:val="TableParagraph"/>
              <w:rPr>
                <w:sz w:val="14"/>
              </w:rPr>
            </w:pPr>
          </w:p>
        </w:tc>
        <w:tc>
          <w:tcPr>
            <w:tcW w:w="706" w:type="dxa"/>
            <w:tcBorders>
              <w:bottom w:val="single" w:sz="6" w:space="0" w:color="000000"/>
            </w:tcBorders>
          </w:tcPr>
          <w:p>
            <w:pPr>
              <w:pStyle w:val="TableParagraph"/>
              <w:spacing w:line="167" w:lineRule="exact"/>
              <w:ind w:left="29" w:right="16"/>
              <w:jc w:val="center"/>
              <w:rPr>
                <w:b/>
                <w:sz w:val="15"/>
              </w:rPr>
            </w:pPr>
            <w:r>
              <w:rPr>
                <w:b/>
                <w:spacing w:val="-4"/>
                <w:sz w:val="15"/>
              </w:rPr>
              <w:t>Payout</w:t>
            </w:r>
            <w:r>
              <w:rPr>
                <w:b/>
                <w:spacing w:val="-3"/>
                <w:sz w:val="15"/>
              </w:rPr>
              <w:t> </w:t>
            </w:r>
            <w:r>
              <w:rPr>
                <w:b/>
                <w:spacing w:val="-5"/>
                <w:sz w:val="15"/>
              </w:rPr>
              <w:t>($)</w:t>
            </w:r>
          </w:p>
        </w:tc>
        <w:tc>
          <w:tcPr>
            <w:tcW w:w="218" w:type="dxa"/>
          </w:tcPr>
          <w:p>
            <w:pPr>
              <w:pStyle w:val="TableParagraph"/>
              <w:rPr>
                <w:sz w:val="14"/>
              </w:rPr>
            </w:pPr>
          </w:p>
        </w:tc>
        <w:tc>
          <w:tcPr>
            <w:tcW w:w="784" w:type="dxa"/>
            <w:tcBorders>
              <w:bottom w:val="single" w:sz="6" w:space="0" w:color="000000"/>
            </w:tcBorders>
          </w:tcPr>
          <w:p>
            <w:pPr>
              <w:pStyle w:val="TableParagraph"/>
              <w:spacing w:line="167" w:lineRule="exact"/>
              <w:ind w:left="171"/>
              <w:rPr>
                <w:b/>
                <w:sz w:val="15"/>
              </w:rPr>
            </w:pPr>
            <w:r>
              <w:rPr>
                <w:b/>
                <w:spacing w:val="-2"/>
                <w:sz w:val="15"/>
              </w:rPr>
              <w:t>Target)</w:t>
            </w:r>
          </w:p>
        </w:tc>
      </w:tr>
      <w:tr>
        <w:trPr>
          <w:trHeight w:val="286" w:hRule="atLeast"/>
        </w:trPr>
        <w:tc>
          <w:tcPr>
            <w:tcW w:w="3872" w:type="dxa"/>
            <w:tcBorders>
              <w:top w:val="single" w:sz="6" w:space="0" w:color="000000"/>
            </w:tcBorders>
          </w:tcPr>
          <w:p>
            <w:pPr>
              <w:pStyle w:val="TableParagraph"/>
              <w:spacing w:before="41"/>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704" w:type="dxa"/>
            <w:tcBorders>
              <w:top w:val="single" w:sz="6" w:space="0" w:color="000000"/>
            </w:tcBorders>
          </w:tcPr>
          <w:p>
            <w:pPr>
              <w:pStyle w:val="TableParagraph"/>
              <w:spacing w:before="41"/>
              <w:ind w:left="6" w:right="-15"/>
              <w:jc w:val="center"/>
              <w:rPr>
                <w:sz w:val="18"/>
              </w:rPr>
            </w:pPr>
            <w:r>
              <w:rPr>
                <w:spacing w:val="-2"/>
                <w:w w:val="105"/>
                <w:sz w:val="18"/>
              </w:rPr>
              <w:t>$738,000</w:t>
            </w:r>
          </w:p>
        </w:tc>
        <w:tc>
          <w:tcPr>
            <w:tcW w:w="218" w:type="dxa"/>
          </w:tcPr>
          <w:p>
            <w:pPr>
              <w:pStyle w:val="TableParagraph"/>
              <w:rPr>
                <w:sz w:val="18"/>
              </w:rPr>
            </w:pPr>
          </w:p>
        </w:tc>
        <w:tc>
          <w:tcPr>
            <w:tcW w:w="720" w:type="dxa"/>
            <w:tcBorders>
              <w:top w:val="single" w:sz="6" w:space="0" w:color="000000"/>
            </w:tcBorders>
          </w:tcPr>
          <w:p>
            <w:pPr>
              <w:pStyle w:val="TableParagraph"/>
              <w:spacing w:before="41"/>
              <w:ind w:right="-15"/>
              <w:jc w:val="right"/>
              <w:rPr>
                <w:sz w:val="18"/>
              </w:rPr>
            </w:pPr>
            <w:r>
              <w:rPr>
                <w:spacing w:val="-2"/>
                <w:w w:val="105"/>
                <w:sz w:val="18"/>
              </w:rPr>
              <w:t>104.8%</w:t>
            </w:r>
          </w:p>
        </w:tc>
        <w:tc>
          <w:tcPr>
            <w:tcW w:w="202" w:type="dxa"/>
          </w:tcPr>
          <w:p>
            <w:pPr>
              <w:pStyle w:val="TableParagraph"/>
              <w:rPr>
                <w:sz w:val="18"/>
              </w:rPr>
            </w:pPr>
          </w:p>
        </w:tc>
        <w:tc>
          <w:tcPr>
            <w:tcW w:w="643" w:type="dxa"/>
            <w:tcBorders>
              <w:top w:val="single" w:sz="6" w:space="0" w:color="000000"/>
            </w:tcBorders>
          </w:tcPr>
          <w:p>
            <w:pPr>
              <w:pStyle w:val="TableParagraph"/>
              <w:spacing w:before="41"/>
              <w:ind w:right="14"/>
              <w:jc w:val="right"/>
              <w:rPr>
                <w:sz w:val="18"/>
              </w:rPr>
            </w:pPr>
            <w:r>
              <w:rPr>
                <w:spacing w:val="-5"/>
                <w:w w:val="105"/>
                <w:sz w:val="18"/>
              </w:rPr>
              <w:t>95%</w:t>
            </w:r>
          </w:p>
        </w:tc>
        <w:tc>
          <w:tcPr>
            <w:tcW w:w="210" w:type="dxa"/>
          </w:tcPr>
          <w:p>
            <w:pPr>
              <w:pStyle w:val="TableParagraph"/>
              <w:rPr>
                <w:sz w:val="18"/>
              </w:rPr>
            </w:pPr>
          </w:p>
        </w:tc>
        <w:tc>
          <w:tcPr>
            <w:tcW w:w="706" w:type="dxa"/>
            <w:tcBorders>
              <w:top w:val="single" w:sz="6" w:space="0" w:color="000000"/>
            </w:tcBorders>
          </w:tcPr>
          <w:p>
            <w:pPr>
              <w:pStyle w:val="TableParagraph"/>
              <w:spacing w:before="41"/>
              <w:ind w:left="8" w:right="-15"/>
              <w:jc w:val="center"/>
              <w:rPr>
                <w:sz w:val="18"/>
              </w:rPr>
            </w:pPr>
            <w:r>
              <w:rPr>
                <w:spacing w:val="-2"/>
                <w:w w:val="105"/>
                <w:sz w:val="18"/>
              </w:rPr>
              <w:t>$734,753</w:t>
            </w:r>
          </w:p>
        </w:tc>
        <w:tc>
          <w:tcPr>
            <w:tcW w:w="218" w:type="dxa"/>
          </w:tcPr>
          <w:p>
            <w:pPr>
              <w:pStyle w:val="TableParagraph"/>
              <w:rPr>
                <w:sz w:val="18"/>
              </w:rPr>
            </w:pPr>
          </w:p>
        </w:tc>
        <w:tc>
          <w:tcPr>
            <w:tcW w:w="784" w:type="dxa"/>
            <w:tcBorders>
              <w:top w:val="single" w:sz="6" w:space="0" w:color="000000"/>
            </w:tcBorders>
          </w:tcPr>
          <w:p>
            <w:pPr>
              <w:pStyle w:val="TableParagraph"/>
              <w:spacing w:before="41"/>
              <w:ind w:right="92"/>
              <w:jc w:val="right"/>
              <w:rPr>
                <w:sz w:val="18"/>
              </w:rPr>
            </w:pPr>
            <w:r>
              <w:rPr>
                <w:spacing w:val="-4"/>
                <w:w w:val="105"/>
                <w:sz w:val="18"/>
              </w:rPr>
              <w:t>100%</w:t>
            </w:r>
          </w:p>
        </w:tc>
      </w:tr>
      <w:tr>
        <w:trPr>
          <w:trHeight w:val="279" w:hRule="atLeast"/>
        </w:trPr>
        <w:tc>
          <w:tcPr>
            <w:tcW w:w="3872" w:type="dxa"/>
          </w:tcPr>
          <w:p>
            <w:pPr>
              <w:pStyle w:val="TableParagraph"/>
              <w:spacing w:before="34"/>
              <w:rPr>
                <w:sz w:val="18"/>
              </w:rPr>
            </w:pPr>
            <w:r>
              <w:rPr>
                <w:w w:val="105"/>
                <w:sz w:val="18"/>
              </w:rPr>
              <w:t>Shubham</w:t>
            </w:r>
            <w:r>
              <w:rPr>
                <w:spacing w:val="11"/>
                <w:w w:val="105"/>
                <w:sz w:val="18"/>
              </w:rPr>
              <w:t> </w:t>
            </w:r>
            <w:r>
              <w:rPr>
                <w:spacing w:val="-2"/>
                <w:w w:val="105"/>
                <w:sz w:val="18"/>
              </w:rPr>
              <w:t>Maheshwari</w:t>
            </w:r>
          </w:p>
        </w:tc>
        <w:tc>
          <w:tcPr>
            <w:tcW w:w="223" w:type="dxa"/>
          </w:tcPr>
          <w:p>
            <w:pPr>
              <w:pStyle w:val="TableParagraph"/>
              <w:rPr>
                <w:sz w:val="18"/>
              </w:rPr>
            </w:pPr>
          </w:p>
        </w:tc>
        <w:tc>
          <w:tcPr>
            <w:tcW w:w="704" w:type="dxa"/>
          </w:tcPr>
          <w:p>
            <w:pPr>
              <w:pStyle w:val="TableParagraph"/>
              <w:spacing w:before="34"/>
              <w:ind w:left="6" w:right="-15"/>
              <w:jc w:val="center"/>
              <w:rPr>
                <w:sz w:val="18"/>
              </w:rPr>
            </w:pPr>
            <w:r>
              <w:rPr>
                <w:spacing w:val="-2"/>
                <w:w w:val="105"/>
                <w:sz w:val="18"/>
              </w:rPr>
              <w:t>$308,100</w:t>
            </w:r>
          </w:p>
        </w:tc>
        <w:tc>
          <w:tcPr>
            <w:tcW w:w="218" w:type="dxa"/>
          </w:tcPr>
          <w:p>
            <w:pPr>
              <w:pStyle w:val="TableParagraph"/>
              <w:rPr>
                <w:sz w:val="18"/>
              </w:rPr>
            </w:pPr>
          </w:p>
        </w:tc>
        <w:tc>
          <w:tcPr>
            <w:tcW w:w="720" w:type="dxa"/>
          </w:tcPr>
          <w:p>
            <w:pPr>
              <w:pStyle w:val="TableParagraph"/>
              <w:spacing w:before="34"/>
              <w:ind w:right="-15"/>
              <w:jc w:val="right"/>
              <w:rPr>
                <w:sz w:val="18"/>
              </w:rPr>
            </w:pPr>
            <w:r>
              <w:rPr>
                <w:spacing w:val="-2"/>
                <w:w w:val="105"/>
                <w:sz w:val="18"/>
              </w:rPr>
              <w:t>104.8%</w:t>
            </w:r>
          </w:p>
        </w:tc>
        <w:tc>
          <w:tcPr>
            <w:tcW w:w="202" w:type="dxa"/>
          </w:tcPr>
          <w:p>
            <w:pPr>
              <w:pStyle w:val="TableParagraph"/>
              <w:rPr>
                <w:sz w:val="18"/>
              </w:rPr>
            </w:pPr>
          </w:p>
        </w:tc>
        <w:tc>
          <w:tcPr>
            <w:tcW w:w="643" w:type="dxa"/>
          </w:tcPr>
          <w:p>
            <w:pPr>
              <w:pStyle w:val="TableParagraph"/>
              <w:spacing w:before="34"/>
              <w:ind w:right="14"/>
              <w:jc w:val="right"/>
              <w:rPr>
                <w:sz w:val="18"/>
              </w:rPr>
            </w:pPr>
            <w:r>
              <w:rPr>
                <w:spacing w:val="-4"/>
                <w:w w:val="105"/>
                <w:sz w:val="18"/>
              </w:rPr>
              <w:t>105%</w:t>
            </w:r>
          </w:p>
        </w:tc>
        <w:tc>
          <w:tcPr>
            <w:tcW w:w="210" w:type="dxa"/>
          </w:tcPr>
          <w:p>
            <w:pPr>
              <w:pStyle w:val="TableParagraph"/>
              <w:rPr>
                <w:sz w:val="18"/>
              </w:rPr>
            </w:pPr>
          </w:p>
        </w:tc>
        <w:tc>
          <w:tcPr>
            <w:tcW w:w="706" w:type="dxa"/>
          </w:tcPr>
          <w:p>
            <w:pPr>
              <w:pStyle w:val="TableParagraph"/>
              <w:spacing w:before="34"/>
              <w:ind w:left="8" w:right="-15"/>
              <w:jc w:val="center"/>
              <w:rPr>
                <w:sz w:val="18"/>
              </w:rPr>
            </w:pPr>
            <w:r>
              <w:rPr>
                <w:spacing w:val="-2"/>
                <w:w w:val="105"/>
                <w:sz w:val="18"/>
              </w:rPr>
              <w:t>$339,000</w:t>
            </w:r>
          </w:p>
        </w:tc>
        <w:tc>
          <w:tcPr>
            <w:tcW w:w="218" w:type="dxa"/>
          </w:tcPr>
          <w:p>
            <w:pPr>
              <w:pStyle w:val="TableParagraph"/>
              <w:rPr>
                <w:sz w:val="18"/>
              </w:rPr>
            </w:pPr>
          </w:p>
        </w:tc>
        <w:tc>
          <w:tcPr>
            <w:tcW w:w="784" w:type="dxa"/>
          </w:tcPr>
          <w:p>
            <w:pPr>
              <w:pStyle w:val="TableParagraph"/>
              <w:spacing w:before="34"/>
              <w:ind w:right="92"/>
              <w:jc w:val="right"/>
              <w:rPr>
                <w:sz w:val="18"/>
              </w:rPr>
            </w:pPr>
            <w:r>
              <w:rPr>
                <w:spacing w:val="-4"/>
                <w:w w:val="105"/>
                <w:sz w:val="18"/>
              </w:rPr>
              <w:t>110%</w:t>
            </w:r>
          </w:p>
        </w:tc>
      </w:tr>
      <w:tr>
        <w:trPr>
          <w:trHeight w:val="279" w:hRule="atLeast"/>
        </w:trPr>
        <w:tc>
          <w:tcPr>
            <w:tcW w:w="3872" w:type="dxa"/>
          </w:tcPr>
          <w:p>
            <w:pPr>
              <w:pStyle w:val="TableParagraph"/>
              <w:spacing w:before="3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3" w:type="dxa"/>
          </w:tcPr>
          <w:p>
            <w:pPr>
              <w:pStyle w:val="TableParagraph"/>
              <w:rPr>
                <w:sz w:val="18"/>
              </w:rPr>
            </w:pPr>
          </w:p>
        </w:tc>
        <w:tc>
          <w:tcPr>
            <w:tcW w:w="704" w:type="dxa"/>
          </w:tcPr>
          <w:p>
            <w:pPr>
              <w:pStyle w:val="TableParagraph"/>
              <w:spacing w:before="34"/>
              <w:ind w:left="6" w:right="-15"/>
              <w:jc w:val="center"/>
              <w:rPr>
                <w:sz w:val="18"/>
              </w:rPr>
            </w:pPr>
            <w:r>
              <w:rPr>
                <w:spacing w:val="-2"/>
                <w:w w:val="105"/>
                <w:sz w:val="18"/>
              </w:rPr>
              <w:t>$209,000</w:t>
            </w:r>
          </w:p>
        </w:tc>
        <w:tc>
          <w:tcPr>
            <w:tcW w:w="218" w:type="dxa"/>
          </w:tcPr>
          <w:p>
            <w:pPr>
              <w:pStyle w:val="TableParagraph"/>
              <w:rPr>
                <w:sz w:val="18"/>
              </w:rPr>
            </w:pPr>
          </w:p>
        </w:tc>
        <w:tc>
          <w:tcPr>
            <w:tcW w:w="720" w:type="dxa"/>
          </w:tcPr>
          <w:p>
            <w:pPr>
              <w:pStyle w:val="TableParagraph"/>
              <w:spacing w:before="34"/>
              <w:ind w:right="-15"/>
              <w:jc w:val="right"/>
              <w:rPr>
                <w:sz w:val="18"/>
              </w:rPr>
            </w:pPr>
            <w:r>
              <w:rPr>
                <w:spacing w:val="-2"/>
                <w:w w:val="105"/>
                <w:sz w:val="18"/>
              </w:rPr>
              <w:t>104.8%</w:t>
            </w:r>
          </w:p>
        </w:tc>
        <w:tc>
          <w:tcPr>
            <w:tcW w:w="202" w:type="dxa"/>
          </w:tcPr>
          <w:p>
            <w:pPr>
              <w:pStyle w:val="TableParagraph"/>
              <w:rPr>
                <w:sz w:val="18"/>
              </w:rPr>
            </w:pPr>
          </w:p>
        </w:tc>
        <w:tc>
          <w:tcPr>
            <w:tcW w:w="643" w:type="dxa"/>
          </w:tcPr>
          <w:p>
            <w:pPr>
              <w:pStyle w:val="TableParagraph"/>
              <w:spacing w:before="34"/>
              <w:ind w:right="14"/>
              <w:jc w:val="right"/>
              <w:rPr>
                <w:sz w:val="18"/>
              </w:rPr>
            </w:pPr>
            <w:r>
              <w:rPr>
                <w:spacing w:val="-4"/>
                <w:w w:val="105"/>
                <w:sz w:val="18"/>
              </w:rPr>
              <w:t>120%</w:t>
            </w:r>
          </w:p>
        </w:tc>
        <w:tc>
          <w:tcPr>
            <w:tcW w:w="210" w:type="dxa"/>
          </w:tcPr>
          <w:p>
            <w:pPr>
              <w:pStyle w:val="TableParagraph"/>
              <w:rPr>
                <w:sz w:val="18"/>
              </w:rPr>
            </w:pPr>
          </w:p>
        </w:tc>
        <w:tc>
          <w:tcPr>
            <w:tcW w:w="706" w:type="dxa"/>
          </w:tcPr>
          <w:p>
            <w:pPr>
              <w:pStyle w:val="TableParagraph"/>
              <w:spacing w:before="34"/>
              <w:ind w:left="8" w:right="-15"/>
              <w:jc w:val="center"/>
              <w:rPr>
                <w:sz w:val="18"/>
              </w:rPr>
            </w:pPr>
            <w:r>
              <w:rPr>
                <w:spacing w:val="-2"/>
                <w:w w:val="105"/>
                <w:sz w:val="18"/>
              </w:rPr>
              <w:t>$263,000</w:t>
            </w:r>
          </w:p>
        </w:tc>
        <w:tc>
          <w:tcPr>
            <w:tcW w:w="218" w:type="dxa"/>
          </w:tcPr>
          <w:p>
            <w:pPr>
              <w:pStyle w:val="TableParagraph"/>
              <w:rPr>
                <w:sz w:val="18"/>
              </w:rPr>
            </w:pPr>
          </w:p>
        </w:tc>
        <w:tc>
          <w:tcPr>
            <w:tcW w:w="784" w:type="dxa"/>
          </w:tcPr>
          <w:p>
            <w:pPr>
              <w:pStyle w:val="TableParagraph"/>
              <w:spacing w:before="34"/>
              <w:ind w:right="92"/>
              <w:jc w:val="right"/>
              <w:rPr>
                <w:sz w:val="18"/>
              </w:rPr>
            </w:pPr>
            <w:r>
              <w:rPr>
                <w:spacing w:val="-4"/>
                <w:w w:val="105"/>
                <w:sz w:val="18"/>
              </w:rPr>
              <w:t>126%</w:t>
            </w:r>
          </w:p>
        </w:tc>
      </w:tr>
      <w:tr>
        <w:trPr>
          <w:trHeight w:val="279" w:hRule="atLeast"/>
        </w:trPr>
        <w:tc>
          <w:tcPr>
            <w:tcW w:w="3872" w:type="dxa"/>
          </w:tcPr>
          <w:p>
            <w:pPr>
              <w:pStyle w:val="TableParagraph"/>
              <w:spacing w:before="34"/>
              <w:rPr>
                <w:sz w:val="18"/>
              </w:rPr>
            </w:pPr>
            <w:r>
              <w:rPr>
                <w:w w:val="105"/>
                <w:sz w:val="18"/>
              </w:rPr>
              <w:t>Brian</w:t>
            </w:r>
            <w:r>
              <w:rPr>
                <w:spacing w:val="-5"/>
                <w:w w:val="105"/>
                <w:sz w:val="18"/>
              </w:rPr>
              <w:t> </w:t>
            </w:r>
            <w:r>
              <w:rPr>
                <w:w w:val="105"/>
                <w:sz w:val="18"/>
              </w:rPr>
              <w:t>W. </w:t>
            </w:r>
            <w:r>
              <w:rPr>
                <w:spacing w:val="-2"/>
                <w:w w:val="105"/>
                <w:sz w:val="18"/>
              </w:rPr>
              <w:t>Giambattista</w:t>
            </w:r>
          </w:p>
        </w:tc>
        <w:tc>
          <w:tcPr>
            <w:tcW w:w="223" w:type="dxa"/>
          </w:tcPr>
          <w:p>
            <w:pPr>
              <w:pStyle w:val="TableParagraph"/>
              <w:rPr>
                <w:sz w:val="18"/>
              </w:rPr>
            </w:pPr>
          </w:p>
        </w:tc>
        <w:tc>
          <w:tcPr>
            <w:tcW w:w="704" w:type="dxa"/>
          </w:tcPr>
          <w:p>
            <w:pPr>
              <w:pStyle w:val="TableParagraph"/>
              <w:spacing w:before="34"/>
              <w:ind w:left="6" w:right="-15"/>
              <w:jc w:val="center"/>
              <w:rPr>
                <w:sz w:val="18"/>
              </w:rPr>
            </w:pPr>
            <w:r>
              <w:rPr>
                <w:spacing w:val="-2"/>
                <w:w w:val="105"/>
                <w:sz w:val="18"/>
              </w:rPr>
              <w:t>$209,000</w:t>
            </w:r>
          </w:p>
        </w:tc>
        <w:tc>
          <w:tcPr>
            <w:tcW w:w="218" w:type="dxa"/>
          </w:tcPr>
          <w:p>
            <w:pPr>
              <w:pStyle w:val="TableParagraph"/>
              <w:rPr>
                <w:sz w:val="18"/>
              </w:rPr>
            </w:pPr>
          </w:p>
        </w:tc>
        <w:tc>
          <w:tcPr>
            <w:tcW w:w="720" w:type="dxa"/>
          </w:tcPr>
          <w:p>
            <w:pPr>
              <w:pStyle w:val="TableParagraph"/>
              <w:spacing w:before="34"/>
              <w:ind w:right="-15"/>
              <w:jc w:val="right"/>
              <w:rPr>
                <w:sz w:val="18"/>
              </w:rPr>
            </w:pPr>
            <w:r>
              <w:rPr>
                <w:spacing w:val="-2"/>
                <w:w w:val="105"/>
                <w:sz w:val="18"/>
              </w:rPr>
              <w:t>104.8%</w:t>
            </w:r>
          </w:p>
        </w:tc>
        <w:tc>
          <w:tcPr>
            <w:tcW w:w="202" w:type="dxa"/>
          </w:tcPr>
          <w:p>
            <w:pPr>
              <w:pStyle w:val="TableParagraph"/>
              <w:rPr>
                <w:sz w:val="18"/>
              </w:rPr>
            </w:pPr>
          </w:p>
        </w:tc>
        <w:tc>
          <w:tcPr>
            <w:tcW w:w="643" w:type="dxa"/>
          </w:tcPr>
          <w:p>
            <w:pPr>
              <w:pStyle w:val="TableParagraph"/>
              <w:spacing w:before="34"/>
              <w:ind w:right="14"/>
              <w:jc w:val="right"/>
              <w:rPr>
                <w:sz w:val="18"/>
              </w:rPr>
            </w:pPr>
            <w:r>
              <w:rPr>
                <w:spacing w:val="-4"/>
                <w:w w:val="105"/>
                <w:sz w:val="18"/>
              </w:rPr>
              <w:t>100%</w:t>
            </w:r>
          </w:p>
        </w:tc>
        <w:tc>
          <w:tcPr>
            <w:tcW w:w="210" w:type="dxa"/>
          </w:tcPr>
          <w:p>
            <w:pPr>
              <w:pStyle w:val="TableParagraph"/>
              <w:rPr>
                <w:sz w:val="18"/>
              </w:rPr>
            </w:pPr>
          </w:p>
        </w:tc>
        <w:tc>
          <w:tcPr>
            <w:tcW w:w="706" w:type="dxa"/>
          </w:tcPr>
          <w:p>
            <w:pPr>
              <w:pStyle w:val="TableParagraph"/>
              <w:spacing w:before="34"/>
              <w:ind w:left="8" w:right="-15"/>
              <w:jc w:val="center"/>
              <w:rPr>
                <w:sz w:val="18"/>
              </w:rPr>
            </w:pPr>
            <w:r>
              <w:rPr>
                <w:spacing w:val="-2"/>
                <w:w w:val="105"/>
                <w:sz w:val="18"/>
              </w:rPr>
              <w:t>$219,000</w:t>
            </w:r>
          </w:p>
        </w:tc>
        <w:tc>
          <w:tcPr>
            <w:tcW w:w="218" w:type="dxa"/>
          </w:tcPr>
          <w:p>
            <w:pPr>
              <w:pStyle w:val="TableParagraph"/>
              <w:rPr>
                <w:sz w:val="18"/>
              </w:rPr>
            </w:pPr>
          </w:p>
        </w:tc>
        <w:tc>
          <w:tcPr>
            <w:tcW w:w="784" w:type="dxa"/>
          </w:tcPr>
          <w:p>
            <w:pPr>
              <w:pStyle w:val="TableParagraph"/>
              <w:spacing w:before="34"/>
              <w:ind w:right="92"/>
              <w:jc w:val="right"/>
              <w:rPr>
                <w:sz w:val="18"/>
              </w:rPr>
            </w:pPr>
            <w:r>
              <w:rPr>
                <w:spacing w:val="-4"/>
                <w:w w:val="105"/>
                <w:sz w:val="18"/>
              </w:rPr>
              <w:t>105%</w:t>
            </w:r>
          </w:p>
        </w:tc>
      </w:tr>
      <w:tr>
        <w:trPr>
          <w:trHeight w:val="242" w:hRule="atLeast"/>
        </w:trPr>
        <w:tc>
          <w:tcPr>
            <w:tcW w:w="3872" w:type="dxa"/>
          </w:tcPr>
          <w:p>
            <w:pPr>
              <w:pStyle w:val="TableParagraph"/>
              <w:spacing w:line="188" w:lineRule="exact" w:before="3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3" w:type="dxa"/>
          </w:tcPr>
          <w:p>
            <w:pPr>
              <w:pStyle w:val="TableParagraph"/>
              <w:rPr>
                <w:sz w:val="16"/>
              </w:rPr>
            </w:pPr>
          </w:p>
        </w:tc>
        <w:tc>
          <w:tcPr>
            <w:tcW w:w="704" w:type="dxa"/>
          </w:tcPr>
          <w:p>
            <w:pPr>
              <w:pStyle w:val="TableParagraph"/>
              <w:spacing w:line="188" w:lineRule="exact" w:before="34"/>
              <w:ind w:left="6" w:right="-15"/>
              <w:jc w:val="center"/>
              <w:rPr>
                <w:sz w:val="18"/>
              </w:rPr>
            </w:pPr>
            <w:r>
              <w:rPr>
                <w:spacing w:val="-2"/>
                <w:w w:val="105"/>
                <w:sz w:val="18"/>
              </w:rPr>
              <w:t>$211,750</w:t>
            </w:r>
          </w:p>
        </w:tc>
        <w:tc>
          <w:tcPr>
            <w:tcW w:w="218" w:type="dxa"/>
          </w:tcPr>
          <w:p>
            <w:pPr>
              <w:pStyle w:val="TableParagraph"/>
              <w:rPr>
                <w:sz w:val="16"/>
              </w:rPr>
            </w:pPr>
          </w:p>
        </w:tc>
        <w:tc>
          <w:tcPr>
            <w:tcW w:w="720" w:type="dxa"/>
          </w:tcPr>
          <w:p>
            <w:pPr>
              <w:pStyle w:val="TableParagraph"/>
              <w:spacing w:line="188" w:lineRule="exact" w:before="34"/>
              <w:ind w:right="-15"/>
              <w:jc w:val="right"/>
              <w:rPr>
                <w:sz w:val="18"/>
              </w:rPr>
            </w:pPr>
            <w:r>
              <w:rPr>
                <w:spacing w:val="-2"/>
                <w:w w:val="105"/>
                <w:sz w:val="18"/>
              </w:rPr>
              <w:t>104.8%</w:t>
            </w:r>
          </w:p>
        </w:tc>
        <w:tc>
          <w:tcPr>
            <w:tcW w:w="202" w:type="dxa"/>
          </w:tcPr>
          <w:p>
            <w:pPr>
              <w:pStyle w:val="TableParagraph"/>
              <w:rPr>
                <w:sz w:val="16"/>
              </w:rPr>
            </w:pPr>
          </w:p>
        </w:tc>
        <w:tc>
          <w:tcPr>
            <w:tcW w:w="643" w:type="dxa"/>
          </w:tcPr>
          <w:p>
            <w:pPr>
              <w:pStyle w:val="TableParagraph"/>
              <w:spacing w:line="188" w:lineRule="exact" w:before="34"/>
              <w:ind w:right="14"/>
              <w:jc w:val="right"/>
              <w:rPr>
                <w:sz w:val="18"/>
              </w:rPr>
            </w:pPr>
            <w:r>
              <w:rPr>
                <w:spacing w:val="-5"/>
                <w:w w:val="105"/>
                <w:sz w:val="18"/>
              </w:rPr>
              <w:t>95%</w:t>
            </w:r>
          </w:p>
        </w:tc>
        <w:tc>
          <w:tcPr>
            <w:tcW w:w="210" w:type="dxa"/>
          </w:tcPr>
          <w:p>
            <w:pPr>
              <w:pStyle w:val="TableParagraph"/>
              <w:rPr>
                <w:sz w:val="16"/>
              </w:rPr>
            </w:pPr>
          </w:p>
        </w:tc>
        <w:tc>
          <w:tcPr>
            <w:tcW w:w="706" w:type="dxa"/>
          </w:tcPr>
          <w:p>
            <w:pPr>
              <w:pStyle w:val="TableParagraph"/>
              <w:spacing w:line="188" w:lineRule="exact" w:before="34"/>
              <w:ind w:left="8" w:right="-15"/>
              <w:jc w:val="center"/>
              <w:rPr>
                <w:sz w:val="18"/>
              </w:rPr>
            </w:pPr>
            <w:r>
              <w:rPr>
                <w:spacing w:val="-2"/>
                <w:w w:val="105"/>
                <w:sz w:val="18"/>
              </w:rPr>
              <w:t>$211,000</w:t>
            </w:r>
          </w:p>
        </w:tc>
        <w:tc>
          <w:tcPr>
            <w:tcW w:w="218" w:type="dxa"/>
          </w:tcPr>
          <w:p>
            <w:pPr>
              <w:pStyle w:val="TableParagraph"/>
              <w:rPr>
                <w:sz w:val="16"/>
              </w:rPr>
            </w:pPr>
          </w:p>
        </w:tc>
        <w:tc>
          <w:tcPr>
            <w:tcW w:w="784" w:type="dxa"/>
          </w:tcPr>
          <w:p>
            <w:pPr>
              <w:pStyle w:val="TableParagraph"/>
              <w:spacing w:line="188" w:lineRule="exact" w:before="34"/>
              <w:ind w:right="92"/>
              <w:jc w:val="right"/>
              <w:rPr>
                <w:sz w:val="18"/>
              </w:rPr>
            </w:pPr>
            <w:r>
              <w:rPr>
                <w:spacing w:val="-4"/>
                <w:w w:val="105"/>
                <w:sz w:val="18"/>
              </w:rPr>
              <w:t>100%</w:t>
            </w:r>
          </w:p>
        </w:tc>
      </w:tr>
    </w:tbl>
    <w:p>
      <w:pPr>
        <w:pStyle w:val="BodyText"/>
        <w:spacing w:line="259" w:lineRule="auto" w:before="172"/>
        <w:ind w:left="1400" w:right="1529" w:firstLine="372"/>
      </w:pPr>
      <w:r>
        <w:rPr>
          <w:b/>
          <w:w w:val="105"/>
        </w:rPr>
        <w:t>Long-Term</w:t>
      </w:r>
      <w:r>
        <w:rPr>
          <w:b/>
          <w:spacing w:val="-12"/>
          <w:w w:val="105"/>
        </w:rPr>
        <w:t> </w:t>
      </w:r>
      <w:r>
        <w:rPr>
          <w:b/>
          <w:w w:val="105"/>
        </w:rPr>
        <w:t>Incentive</w:t>
      </w:r>
      <w:r>
        <w:rPr>
          <w:b/>
          <w:spacing w:val="-12"/>
          <w:w w:val="105"/>
        </w:rPr>
        <w:t> </w:t>
      </w:r>
      <w:r>
        <w:rPr>
          <w:b/>
          <w:w w:val="105"/>
        </w:rPr>
        <w:t>Compensation.</w:t>
      </w:r>
      <w:r>
        <w:rPr>
          <w:b/>
          <w:spacing w:val="70"/>
          <w:w w:val="105"/>
        </w:rPr>
        <w:t> </w:t>
      </w:r>
      <w:r>
        <w:rPr>
          <w:w w:val="105"/>
        </w:rPr>
        <w:t>An</w:t>
      </w:r>
      <w:r>
        <w:rPr>
          <w:spacing w:val="-1"/>
          <w:w w:val="105"/>
        </w:rPr>
        <w:t> </w:t>
      </w:r>
      <w:r>
        <w:rPr>
          <w:w w:val="105"/>
        </w:rPr>
        <w:t>important</w:t>
      </w:r>
      <w:r>
        <w:rPr>
          <w:spacing w:val="-1"/>
          <w:w w:val="105"/>
        </w:rPr>
        <w:t> </w:t>
      </w:r>
      <w:r>
        <w:rPr>
          <w:w w:val="105"/>
        </w:rPr>
        <w:t>objective</w:t>
      </w:r>
      <w:r>
        <w:rPr>
          <w:spacing w:val="-1"/>
          <w:w w:val="105"/>
        </w:rPr>
        <w:t> </w:t>
      </w:r>
      <w:r>
        <w:rPr>
          <w:w w:val="105"/>
        </w:rPr>
        <w:t>of</w:t>
      </w:r>
      <w:r>
        <w:rPr>
          <w:spacing w:val="-1"/>
          <w:w w:val="105"/>
        </w:rPr>
        <w:t> </w:t>
      </w:r>
      <w:r>
        <w:rPr>
          <w:w w:val="105"/>
        </w:rPr>
        <w:t>our</w:t>
      </w:r>
      <w:r>
        <w:rPr>
          <w:spacing w:val="-1"/>
          <w:w w:val="105"/>
        </w:rPr>
        <w:t> </w:t>
      </w:r>
      <w:r>
        <w:rPr>
          <w:w w:val="105"/>
        </w:rPr>
        <w:t>compensation</w:t>
      </w:r>
      <w:r>
        <w:rPr>
          <w:spacing w:val="-1"/>
          <w:w w:val="105"/>
        </w:rPr>
        <w:t> </w:t>
      </w:r>
      <w:r>
        <w:rPr>
          <w:w w:val="105"/>
        </w:rPr>
        <w:t>program</w:t>
      </w:r>
      <w:r>
        <w:rPr>
          <w:spacing w:val="-1"/>
          <w:w w:val="105"/>
        </w:rPr>
        <w:t> </w:t>
      </w:r>
      <w:r>
        <w:rPr>
          <w:w w:val="105"/>
        </w:rPr>
        <w:t>is</w:t>
      </w:r>
      <w:r>
        <w:rPr>
          <w:spacing w:val="-1"/>
          <w:w w:val="105"/>
        </w:rPr>
        <w:t> </w:t>
      </w:r>
      <w:r>
        <w:rPr>
          <w:w w:val="105"/>
        </w:rPr>
        <w:t>aligning the interests of our executive officers with those of our stockholders. To accomplish this objective, we tie a</w:t>
      </w:r>
      <w:r>
        <w:rPr>
          <w:spacing w:val="40"/>
          <w:w w:val="105"/>
        </w:rPr>
        <w:t> </w:t>
      </w:r>
      <w:r>
        <w:rPr>
          <w:w w:val="105"/>
        </w:rPr>
        <w:t>significant</w:t>
      </w:r>
      <w:r>
        <w:rPr>
          <w:spacing w:val="28"/>
          <w:w w:val="105"/>
        </w:rPr>
        <w:t> </w:t>
      </w:r>
      <w:r>
        <w:rPr>
          <w:w w:val="105"/>
        </w:rPr>
        <w:t>portion</w:t>
      </w:r>
      <w:r>
        <w:rPr>
          <w:spacing w:val="28"/>
          <w:w w:val="105"/>
        </w:rPr>
        <w:t> </w:t>
      </w:r>
      <w:r>
        <w:rPr>
          <w:w w:val="105"/>
        </w:rPr>
        <w:t>of</w:t>
      </w:r>
      <w:r>
        <w:rPr>
          <w:spacing w:val="28"/>
          <w:w w:val="105"/>
        </w:rPr>
        <w:t> </w:t>
      </w:r>
      <w:r>
        <w:rPr>
          <w:w w:val="105"/>
        </w:rPr>
        <w:t>the</w:t>
      </w:r>
      <w:r>
        <w:rPr>
          <w:spacing w:val="28"/>
          <w:w w:val="105"/>
        </w:rPr>
        <w:t> </w:t>
      </w:r>
      <w:r>
        <w:rPr>
          <w:w w:val="105"/>
        </w:rPr>
        <w:t>total</w:t>
      </w:r>
      <w:r>
        <w:rPr>
          <w:spacing w:val="28"/>
          <w:w w:val="105"/>
        </w:rPr>
        <w:t> </w:t>
      </w:r>
      <w:r>
        <w:rPr>
          <w:w w:val="105"/>
        </w:rPr>
        <w:t>compensation</w:t>
      </w:r>
      <w:r>
        <w:rPr>
          <w:spacing w:val="28"/>
          <w:w w:val="105"/>
        </w:rPr>
        <w:t> </w:t>
      </w:r>
      <w:r>
        <w:rPr>
          <w:w w:val="105"/>
        </w:rPr>
        <w:t>of</w:t>
      </w:r>
      <w:r>
        <w:rPr>
          <w:spacing w:val="28"/>
          <w:w w:val="105"/>
        </w:rPr>
        <w:t> </w:t>
      </w:r>
      <w:r>
        <w:rPr>
          <w:w w:val="105"/>
        </w:rPr>
        <w:t>executive</w:t>
      </w:r>
      <w:r>
        <w:rPr>
          <w:spacing w:val="28"/>
          <w:w w:val="105"/>
        </w:rPr>
        <w:t> </w:t>
      </w:r>
      <w:r>
        <w:rPr>
          <w:w w:val="105"/>
        </w:rPr>
        <w:t>officers</w:t>
      </w:r>
      <w:r>
        <w:rPr>
          <w:spacing w:val="28"/>
          <w:w w:val="105"/>
        </w:rPr>
        <w:t> </w:t>
      </w:r>
      <w:r>
        <w:rPr>
          <w:w w:val="105"/>
        </w:rPr>
        <w:t>to</w:t>
      </w:r>
      <w:r>
        <w:rPr>
          <w:spacing w:val="28"/>
          <w:w w:val="105"/>
        </w:rPr>
        <w:t> </w:t>
      </w:r>
      <w:r>
        <w:rPr>
          <w:w w:val="105"/>
        </w:rPr>
        <w:t>our</w:t>
      </w:r>
      <w:r>
        <w:rPr>
          <w:spacing w:val="28"/>
          <w:w w:val="105"/>
        </w:rPr>
        <w:t> </w:t>
      </w:r>
      <w:r>
        <w:rPr>
          <w:w w:val="105"/>
        </w:rPr>
        <w:t>long-term</w:t>
      </w:r>
      <w:r>
        <w:rPr>
          <w:spacing w:val="28"/>
          <w:w w:val="105"/>
        </w:rPr>
        <w:t> </w:t>
      </w:r>
      <w:r>
        <w:rPr>
          <w:w w:val="105"/>
        </w:rPr>
        <w:t>stock</w:t>
      </w:r>
      <w:r>
        <w:rPr>
          <w:spacing w:val="28"/>
          <w:w w:val="105"/>
        </w:rPr>
        <w:t> </w:t>
      </w:r>
      <w:r>
        <w:rPr>
          <w:w w:val="105"/>
        </w:rPr>
        <w:t>performance through</w:t>
      </w:r>
      <w:r>
        <w:rPr>
          <w:spacing w:val="20"/>
          <w:w w:val="105"/>
        </w:rPr>
        <w:t> </w:t>
      </w:r>
      <w:r>
        <w:rPr>
          <w:w w:val="105"/>
        </w:rPr>
        <w:t>the</w:t>
      </w:r>
      <w:r>
        <w:rPr>
          <w:spacing w:val="20"/>
          <w:w w:val="105"/>
        </w:rPr>
        <w:t> </w:t>
      </w:r>
      <w:r>
        <w:rPr>
          <w:w w:val="105"/>
        </w:rPr>
        <w:t>grant</w:t>
      </w:r>
      <w:r>
        <w:rPr>
          <w:spacing w:val="20"/>
          <w:w w:val="105"/>
        </w:rPr>
        <w:t> </w:t>
      </w:r>
      <w:r>
        <w:rPr>
          <w:w w:val="105"/>
        </w:rPr>
        <w:t>of</w:t>
      </w:r>
      <w:r>
        <w:rPr>
          <w:spacing w:val="20"/>
          <w:w w:val="105"/>
        </w:rPr>
        <w:t> </w:t>
      </w:r>
      <w:r>
        <w:rPr>
          <w:w w:val="105"/>
        </w:rPr>
        <w:t>equity</w:t>
      </w:r>
      <w:r>
        <w:rPr>
          <w:spacing w:val="20"/>
          <w:w w:val="105"/>
        </w:rPr>
        <w:t> </w:t>
      </w:r>
      <w:r>
        <w:rPr>
          <w:w w:val="105"/>
        </w:rPr>
        <w:t>awards.</w:t>
      </w:r>
      <w:r>
        <w:rPr>
          <w:spacing w:val="15"/>
          <w:w w:val="105"/>
        </w:rPr>
        <w:t> </w:t>
      </w:r>
      <w:r>
        <w:rPr>
          <w:w w:val="105"/>
        </w:rPr>
        <w:t>We</w:t>
      </w:r>
      <w:r>
        <w:rPr>
          <w:spacing w:val="20"/>
          <w:w w:val="105"/>
        </w:rPr>
        <w:t> </w:t>
      </w:r>
      <w:r>
        <w:rPr>
          <w:w w:val="105"/>
        </w:rPr>
        <w:t>believe</w:t>
      </w:r>
      <w:r>
        <w:rPr>
          <w:spacing w:val="20"/>
          <w:w w:val="105"/>
        </w:rPr>
        <w:t> </w:t>
      </w:r>
      <w:r>
        <w:rPr>
          <w:w w:val="105"/>
        </w:rPr>
        <w:t>that</w:t>
      </w:r>
      <w:r>
        <w:rPr>
          <w:spacing w:val="20"/>
          <w:w w:val="105"/>
        </w:rPr>
        <w:t> </w:t>
      </w:r>
      <w:r>
        <w:rPr>
          <w:w w:val="105"/>
        </w:rPr>
        <w:t>equity</w:t>
      </w:r>
      <w:r>
        <w:rPr>
          <w:spacing w:val="20"/>
          <w:w w:val="105"/>
        </w:rPr>
        <w:t> </w:t>
      </w:r>
      <w:r>
        <w:rPr>
          <w:w w:val="105"/>
        </w:rPr>
        <w:t>compensation</w:t>
      </w:r>
      <w:r>
        <w:rPr>
          <w:spacing w:val="20"/>
          <w:w w:val="105"/>
        </w:rPr>
        <w:t> </w:t>
      </w:r>
      <w:r>
        <w:rPr>
          <w:w w:val="105"/>
        </w:rPr>
        <w:t>helps</w:t>
      </w:r>
      <w:r>
        <w:rPr>
          <w:spacing w:val="20"/>
          <w:w w:val="105"/>
        </w:rPr>
        <w:t> </w:t>
      </w:r>
      <w:r>
        <w:rPr>
          <w:w w:val="105"/>
        </w:rPr>
        <w:t>motivate</w:t>
      </w:r>
      <w:r>
        <w:rPr>
          <w:spacing w:val="20"/>
          <w:w w:val="105"/>
        </w:rPr>
        <w:t> </w:t>
      </w:r>
      <w:r>
        <w:rPr>
          <w:w w:val="105"/>
        </w:rPr>
        <w:t>executive</w:t>
      </w:r>
      <w:r>
        <w:rPr>
          <w:spacing w:val="20"/>
          <w:w w:val="105"/>
        </w:rPr>
        <w:t> </w:t>
      </w:r>
      <w:r>
        <w:rPr>
          <w:w w:val="105"/>
        </w:rPr>
        <w:t>officers to drive long-term profitable growth because they will be rewarded with increased equity value and also</w:t>
      </w:r>
      <w:r>
        <w:rPr>
          <w:spacing w:val="40"/>
          <w:w w:val="105"/>
        </w:rPr>
        <w:t> </w:t>
      </w:r>
      <w:r>
        <w:rPr>
          <w:w w:val="105"/>
        </w:rPr>
        <w:t>assists</w:t>
      </w:r>
      <w:r>
        <w:rPr>
          <w:spacing w:val="25"/>
          <w:w w:val="105"/>
        </w:rPr>
        <w:t> </w:t>
      </w:r>
      <w:r>
        <w:rPr>
          <w:w w:val="105"/>
        </w:rPr>
        <w:t>in</w:t>
      </w:r>
      <w:r>
        <w:rPr>
          <w:spacing w:val="25"/>
          <w:w w:val="105"/>
        </w:rPr>
        <w:t> </w:t>
      </w:r>
      <w:r>
        <w:rPr>
          <w:w w:val="105"/>
        </w:rPr>
        <w:t>the</w:t>
      </w:r>
      <w:r>
        <w:rPr>
          <w:spacing w:val="25"/>
          <w:w w:val="105"/>
        </w:rPr>
        <w:t> </w:t>
      </w:r>
      <w:r>
        <w:rPr>
          <w:w w:val="105"/>
        </w:rPr>
        <w:t>retention</w:t>
      </w:r>
      <w:r>
        <w:rPr>
          <w:spacing w:val="25"/>
          <w:w w:val="105"/>
        </w:rPr>
        <w:t> </w:t>
      </w:r>
      <w:r>
        <w:rPr>
          <w:w w:val="105"/>
        </w:rPr>
        <w:t>of</w:t>
      </w:r>
      <w:r>
        <w:rPr>
          <w:spacing w:val="25"/>
          <w:w w:val="105"/>
        </w:rPr>
        <w:t> </w:t>
      </w:r>
      <w:r>
        <w:rPr>
          <w:w w:val="105"/>
        </w:rPr>
        <w:t>executive</w:t>
      </w:r>
      <w:r>
        <w:rPr>
          <w:spacing w:val="25"/>
          <w:w w:val="105"/>
        </w:rPr>
        <w:t> </w:t>
      </w:r>
      <w:r>
        <w:rPr>
          <w:w w:val="105"/>
        </w:rPr>
        <w:t>officers</w:t>
      </w:r>
      <w:r>
        <w:rPr>
          <w:spacing w:val="25"/>
          <w:w w:val="105"/>
        </w:rPr>
        <w:t> </w:t>
      </w:r>
      <w:r>
        <w:rPr>
          <w:w w:val="105"/>
        </w:rPr>
        <w:t>who</w:t>
      </w:r>
      <w:r>
        <w:rPr>
          <w:spacing w:val="25"/>
          <w:w w:val="105"/>
        </w:rPr>
        <w:t> </w:t>
      </w:r>
      <w:r>
        <w:rPr>
          <w:w w:val="105"/>
        </w:rPr>
        <w:t>may</w:t>
      </w:r>
      <w:r>
        <w:rPr>
          <w:spacing w:val="25"/>
          <w:w w:val="105"/>
        </w:rPr>
        <w:t> </w:t>
      </w:r>
      <w:r>
        <w:rPr>
          <w:w w:val="105"/>
        </w:rPr>
        <w:t>have</w:t>
      </w:r>
      <w:r>
        <w:rPr>
          <w:spacing w:val="25"/>
          <w:w w:val="105"/>
        </w:rPr>
        <w:t> </w:t>
      </w:r>
      <w:r>
        <w:rPr>
          <w:w w:val="105"/>
        </w:rPr>
        <w:t>significant</w:t>
      </w:r>
      <w:r>
        <w:rPr>
          <w:spacing w:val="25"/>
          <w:w w:val="105"/>
        </w:rPr>
        <w:t> </w:t>
      </w:r>
      <w:r>
        <w:rPr>
          <w:w w:val="105"/>
        </w:rPr>
        <w:t>value</w:t>
      </w:r>
      <w:r>
        <w:rPr>
          <w:spacing w:val="25"/>
          <w:w w:val="105"/>
        </w:rPr>
        <w:t> </w:t>
      </w:r>
      <w:r>
        <w:rPr>
          <w:w w:val="105"/>
        </w:rPr>
        <w:t>in</w:t>
      </w:r>
      <w:r>
        <w:rPr>
          <w:spacing w:val="25"/>
          <w:w w:val="105"/>
        </w:rPr>
        <w:t> </w:t>
      </w:r>
      <w:r>
        <w:rPr>
          <w:w w:val="105"/>
        </w:rPr>
        <w:t>unvested</w:t>
      </w:r>
      <w:r>
        <w:rPr>
          <w:spacing w:val="25"/>
          <w:w w:val="105"/>
        </w:rPr>
        <w:t> </w:t>
      </w:r>
      <w:r>
        <w:rPr>
          <w:w w:val="105"/>
        </w:rPr>
        <w:t>equity</w:t>
      </w:r>
      <w:r>
        <w:rPr>
          <w:spacing w:val="25"/>
          <w:w w:val="105"/>
        </w:rPr>
        <w:t> </w:t>
      </w:r>
      <w:r>
        <w:rPr>
          <w:w w:val="105"/>
        </w:rPr>
        <w:t>awards.</w:t>
      </w:r>
    </w:p>
    <w:p>
      <w:pPr>
        <w:pStyle w:val="BodyText"/>
        <w:spacing w:line="259" w:lineRule="auto" w:before="155"/>
        <w:ind w:left="1400" w:right="1417" w:firstLine="372"/>
      </w:pPr>
      <w:r>
        <w:rPr>
          <w:w w:val="105"/>
        </w:rPr>
        <w:t>In fiscal year 2022, annual equity grant values were near median market levels and were generally consistent with the fiscal year 2021 grants. The fiscal year 2022 LTI was composed of 50% RSUs and 50% performance-based</w:t>
      </w:r>
      <w:r>
        <w:rPr>
          <w:spacing w:val="32"/>
          <w:w w:val="105"/>
        </w:rPr>
        <w:t> </w:t>
      </w:r>
      <w:r>
        <w:rPr>
          <w:w w:val="105"/>
        </w:rPr>
        <w:t>stock</w:t>
      </w:r>
      <w:r>
        <w:rPr>
          <w:spacing w:val="32"/>
          <w:w w:val="105"/>
        </w:rPr>
        <w:t> </w:t>
      </w:r>
      <w:r>
        <w:rPr>
          <w:w w:val="105"/>
        </w:rPr>
        <w:t>options.</w:t>
      </w:r>
      <w:r>
        <w:rPr>
          <w:spacing w:val="26"/>
          <w:w w:val="105"/>
        </w:rPr>
        <w:t> </w:t>
      </w:r>
      <w:r>
        <w:rPr>
          <w:w w:val="105"/>
        </w:rPr>
        <w:t>The</w:t>
      </w:r>
      <w:r>
        <w:rPr>
          <w:spacing w:val="32"/>
          <w:w w:val="105"/>
        </w:rPr>
        <w:t> </w:t>
      </w:r>
      <w:r>
        <w:rPr>
          <w:w w:val="105"/>
        </w:rPr>
        <w:t>performance-based</w:t>
      </w:r>
      <w:r>
        <w:rPr>
          <w:spacing w:val="32"/>
          <w:w w:val="105"/>
        </w:rPr>
        <w:t> </w:t>
      </w:r>
      <w:r>
        <w:rPr>
          <w:w w:val="105"/>
        </w:rPr>
        <w:t>(premium</w:t>
      </w:r>
      <w:r>
        <w:rPr>
          <w:spacing w:val="32"/>
          <w:w w:val="105"/>
        </w:rPr>
        <w:t> </w:t>
      </w:r>
      <w:r>
        <w:rPr>
          <w:w w:val="105"/>
        </w:rPr>
        <w:t>priced)</w:t>
      </w:r>
      <w:r>
        <w:rPr>
          <w:spacing w:val="32"/>
          <w:w w:val="105"/>
        </w:rPr>
        <w:t> </w:t>
      </w:r>
      <w:r>
        <w:rPr>
          <w:w w:val="105"/>
        </w:rPr>
        <w:t>stock</w:t>
      </w:r>
      <w:r>
        <w:rPr>
          <w:spacing w:val="32"/>
          <w:w w:val="105"/>
        </w:rPr>
        <w:t> </w:t>
      </w:r>
      <w:r>
        <w:rPr>
          <w:w w:val="105"/>
        </w:rPr>
        <w:t>options</w:t>
      </w:r>
      <w:r>
        <w:rPr>
          <w:spacing w:val="32"/>
          <w:w w:val="105"/>
        </w:rPr>
        <w:t> </w:t>
      </w:r>
      <w:r>
        <w:rPr>
          <w:w w:val="105"/>
        </w:rPr>
        <w:t>have</w:t>
      </w:r>
      <w:r>
        <w:rPr>
          <w:spacing w:val="32"/>
          <w:w w:val="105"/>
        </w:rPr>
        <w:t> </w:t>
      </w:r>
      <w:r>
        <w:rPr>
          <w:w w:val="105"/>
        </w:rPr>
        <w:t>a</w:t>
      </w:r>
      <w:r>
        <w:rPr>
          <w:spacing w:val="32"/>
          <w:w w:val="105"/>
        </w:rPr>
        <w:t> </w:t>
      </w:r>
      <w:r>
        <w:rPr>
          <w:w w:val="105"/>
        </w:rPr>
        <w:t>strike</w:t>
      </w:r>
      <w:r>
        <w:rPr>
          <w:w w:val="105"/>
        </w:rPr>
        <w:t> price set 10% above our stock price on the applicable grant date. We believe the performance-based stock options, together with RSUs provide a strong balance incentivizing financial performance and growth, while</w:t>
      </w:r>
      <w:r>
        <w:rPr>
          <w:spacing w:val="40"/>
          <w:w w:val="105"/>
        </w:rPr>
        <w:t> </w:t>
      </w:r>
      <w:r>
        <w:rPr>
          <w:w w:val="105"/>
        </w:rPr>
        <w:t>also supporting executive retention.</w:t>
      </w:r>
    </w:p>
    <w:p>
      <w:pPr>
        <w:pStyle w:val="BodyText"/>
        <w:spacing w:line="259" w:lineRule="auto" w:before="155"/>
        <w:ind w:left="1400" w:right="1551" w:firstLine="372"/>
      </w:pPr>
      <w:r>
        <w:rPr>
          <w:w w:val="105"/>
        </w:rPr>
        <w:t>Annual</w:t>
      </w:r>
      <w:r>
        <w:rPr>
          <w:spacing w:val="20"/>
          <w:w w:val="105"/>
        </w:rPr>
        <w:t> </w:t>
      </w:r>
      <w:r>
        <w:rPr>
          <w:w w:val="105"/>
        </w:rPr>
        <w:t>LTI</w:t>
      </w:r>
      <w:r>
        <w:rPr>
          <w:spacing w:val="20"/>
          <w:w w:val="105"/>
        </w:rPr>
        <w:t> </w:t>
      </w:r>
      <w:r>
        <w:rPr>
          <w:w w:val="105"/>
        </w:rPr>
        <w:t>grant</w:t>
      </w:r>
      <w:r>
        <w:rPr>
          <w:spacing w:val="20"/>
          <w:w w:val="105"/>
        </w:rPr>
        <w:t> </w:t>
      </w:r>
      <w:r>
        <w:rPr>
          <w:w w:val="105"/>
        </w:rPr>
        <w:t>values</w:t>
      </w:r>
      <w:r>
        <w:rPr>
          <w:spacing w:val="20"/>
          <w:w w:val="105"/>
        </w:rPr>
        <w:t> </w:t>
      </w:r>
      <w:r>
        <w:rPr>
          <w:w w:val="105"/>
        </w:rPr>
        <w:t>utilize</w:t>
      </w:r>
      <w:r>
        <w:rPr>
          <w:spacing w:val="20"/>
          <w:w w:val="105"/>
        </w:rPr>
        <w:t> </w:t>
      </w:r>
      <w:r>
        <w:rPr>
          <w:w w:val="105"/>
        </w:rPr>
        <w:t>a</w:t>
      </w:r>
      <w:r>
        <w:rPr>
          <w:spacing w:val="20"/>
          <w:w w:val="105"/>
        </w:rPr>
        <w:t> </w:t>
      </w:r>
      <w:r>
        <w:rPr>
          <w:w w:val="105"/>
        </w:rPr>
        <w:t>dollar</w:t>
      </w:r>
      <w:r>
        <w:rPr>
          <w:spacing w:val="20"/>
          <w:w w:val="105"/>
        </w:rPr>
        <w:t> </w:t>
      </w:r>
      <w:r>
        <w:rPr>
          <w:w w:val="105"/>
        </w:rPr>
        <w:t>grant</w:t>
      </w:r>
      <w:r>
        <w:rPr>
          <w:spacing w:val="20"/>
          <w:w w:val="105"/>
        </w:rPr>
        <w:t> </w:t>
      </w:r>
      <w:r>
        <w:rPr>
          <w:w w:val="105"/>
        </w:rPr>
        <w:t>value,</w:t>
      </w:r>
      <w:r>
        <w:rPr>
          <w:spacing w:val="20"/>
          <w:w w:val="105"/>
        </w:rPr>
        <w:t> </w:t>
      </w:r>
      <w:r>
        <w:rPr>
          <w:w w:val="105"/>
        </w:rPr>
        <w:t>as</w:t>
      </w:r>
      <w:r>
        <w:rPr>
          <w:spacing w:val="20"/>
          <w:w w:val="105"/>
        </w:rPr>
        <w:t> </w:t>
      </w:r>
      <w:r>
        <w:rPr>
          <w:w w:val="105"/>
        </w:rPr>
        <w:t>opposed</w:t>
      </w:r>
      <w:r>
        <w:rPr>
          <w:spacing w:val="20"/>
          <w:w w:val="105"/>
        </w:rPr>
        <w:t> </w:t>
      </w:r>
      <w:r>
        <w:rPr>
          <w:w w:val="105"/>
        </w:rPr>
        <w:t>to</w:t>
      </w:r>
      <w:r>
        <w:rPr>
          <w:spacing w:val="20"/>
          <w:w w:val="105"/>
        </w:rPr>
        <w:t> </w:t>
      </w:r>
      <w:r>
        <w:rPr>
          <w:w w:val="105"/>
        </w:rPr>
        <w:t>a</w:t>
      </w:r>
      <w:r>
        <w:rPr>
          <w:spacing w:val="20"/>
          <w:w w:val="105"/>
        </w:rPr>
        <w:t> </w:t>
      </w:r>
      <w:r>
        <w:rPr>
          <w:w w:val="105"/>
        </w:rPr>
        <w:t>percent</w:t>
      </w:r>
      <w:r>
        <w:rPr>
          <w:spacing w:val="20"/>
          <w:w w:val="105"/>
        </w:rPr>
        <w:t> </w:t>
      </w:r>
      <w:r>
        <w:rPr>
          <w:w w:val="105"/>
        </w:rPr>
        <w:t>of</w:t>
      </w:r>
      <w:r>
        <w:rPr>
          <w:spacing w:val="20"/>
          <w:w w:val="105"/>
        </w:rPr>
        <w:t> </w:t>
      </w:r>
      <w:r>
        <w:rPr>
          <w:w w:val="105"/>
        </w:rPr>
        <w:t>salary,</w:t>
      </w:r>
      <w:r>
        <w:rPr>
          <w:spacing w:val="20"/>
          <w:w w:val="105"/>
        </w:rPr>
        <w:t> </w:t>
      </w:r>
      <w:r>
        <w:rPr>
          <w:w w:val="105"/>
        </w:rPr>
        <w:t>and</w:t>
      </w:r>
      <w:r>
        <w:rPr>
          <w:spacing w:val="20"/>
          <w:w w:val="105"/>
        </w:rPr>
        <w:t> </w:t>
      </w:r>
      <w:r>
        <w:rPr>
          <w:w w:val="105"/>
        </w:rPr>
        <w:t>are determined together with total direct compensation, considering competitive market positioning and internal</w:t>
      </w:r>
      <w:r>
        <w:rPr>
          <w:spacing w:val="40"/>
          <w:w w:val="105"/>
        </w:rPr>
        <w:t> </w:t>
      </w:r>
      <w:r>
        <w:rPr>
          <w:spacing w:val="-2"/>
          <w:w w:val="105"/>
        </w:rPr>
        <w:t>equity.</w:t>
      </w:r>
    </w:p>
    <w:p>
      <w:pPr>
        <w:pStyle w:val="BodyText"/>
        <w:spacing w:line="259" w:lineRule="auto" w:before="140"/>
        <w:ind w:left="1400" w:right="1551" w:firstLine="372"/>
      </w:pPr>
      <w:r>
        <w:rPr>
          <w:w w:val="105"/>
        </w:rPr>
        <w:t>The performance-based stock options granted to the NEOs in fiscal year 2022 have up to ten-year terms</w:t>
      </w:r>
      <w:r>
        <w:rPr>
          <w:spacing w:val="40"/>
          <w:w w:val="105"/>
        </w:rPr>
        <w:t> </w:t>
      </w:r>
      <w:r>
        <w:rPr>
          <w:w w:val="105"/>
        </w:rPr>
        <w:t>and</w:t>
      </w:r>
      <w:r>
        <w:rPr>
          <w:spacing w:val="21"/>
          <w:w w:val="105"/>
        </w:rPr>
        <w:t> </w:t>
      </w:r>
      <w:r>
        <w:rPr>
          <w:w w:val="105"/>
        </w:rPr>
        <w:t>vest</w:t>
      </w:r>
      <w:r>
        <w:rPr>
          <w:spacing w:val="21"/>
          <w:w w:val="105"/>
        </w:rPr>
        <w:t> </w:t>
      </w:r>
      <w:r>
        <w:rPr>
          <w:w w:val="105"/>
        </w:rPr>
        <w:t>over</w:t>
      </w:r>
      <w:r>
        <w:rPr>
          <w:spacing w:val="21"/>
          <w:w w:val="105"/>
        </w:rPr>
        <w:t> </w:t>
      </w:r>
      <w:r>
        <w:rPr>
          <w:w w:val="105"/>
        </w:rPr>
        <w:t>four</w:t>
      </w:r>
      <w:r>
        <w:rPr>
          <w:spacing w:val="21"/>
          <w:w w:val="105"/>
        </w:rPr>
        <w:t> </w:t>
      </w:r>
      <w:r>
        <w:rPr>
          <w:w w:val="105"/>
        </w:rPr>
        <w:t>years,</w:t>
      </w:r>
      <w:r>
        <w:rPr>
          <w:spacing w:val="21"/>
          <w:w w:val="105"/>
        </w:rPr>
        <w:t> </w:t>
      </w:r>
      <w:r>
        <w:rPr>
          <w:w w:val="105"/>
        </w:rPr>
        <w:t>with</w:t>
      </w:r>
      <w:r>
        <w:rPr>
          <w:spacing w:val="21"/>
          <w:w w:val="105"/>
        </w:rPr>
        <w:t> </w:t>
      </w:r>
      <w:r>
        <w:rPr>
          <w:w w:val="105"/>
        </w:rPr>
        <w:t>25%</w:t>
      </w:r>
      <w:r>
        <w:rPr>
          <w:spacing w:val="21"/>
          <w:w w:val="105"/>
        </w:rPr>
        <w:t> </w:t>
      </w:r>
      <w:r>
        <w:rPr>
          <w:w w:val="105"/>
        </w:rPr>
        <w:t>of</w:t>
      </w:r>
      <w:r>
        <w:rPr>
          <w:spacing w:val="21"/>
          <w:w w:val="105"/>
        </w:rPr>
        <w:t> </w:t>
      </w:r>
      <w:r>
        <w:rPr>
          <w:w w:val="105"/>
        </w:rPr>
        <w:t>the</w:t>
      </w:r>
      <w:r>
        <w:rPr>
          <w:spacing w:val="21"/>
          <w:w w:val="105"/>
        </w:rPr>
        <w:t> </w:t>
      </w:r>
      <w:r>
        <w:rPr>
          <w:w w:val="105"/>
        </w:rPr>
        <w:t>stock</w:t>
      </w:r>
      <w:r>
        <w:rPr>
          <w:spacing w:val="21"/>
          <w:w w:val="105"/>
        </w:rPr>
        <w:t> </w:t>
      </w:r>
      <w:r>
        <w:rPr>
          <w:w w:val="105"/>
        </w:rPr>
        <w:t>options</w:t>
      </w:r>
      <w:r>
        <w:rPr>
          <w:spacing w:val="21"/>
          <w:w w:val="105"/>
        </w:rPr>
        <w:t> </w:t>
      </w:r>
      <w:r>
        <w:rPr>
          <w:w w:val="105"/>
        </w:rPr>
        <w:t>vesting</w:t>
      </w:r>
      <w:r>
        <w:rPr>
          <w:spacing w:val="21"/>
          <w:w w:val="105"/>
        </w:rPr>
        <w:t> </w:t>
      </w:r>
      <w:r>
        <w:rPr>
          <w:w w:val="105"/>
        </w:rPr>
        <w:t>one</w:t>
      </w:r>
      <w:r>
        <w:rPr>
          <w:spacing w:val="21"/>
          <w:w w:val="105"/>
        </w:rPr>
        <w:t> </w:t>
      </w:r>
      <w:r>
        <w:rPr>
          <w:w w:val="105"/>
        </w:rPr>
        <w:t>year</w:t>
      </w:r>
      <w:r>
        <w:rPr>
          <w:spacing w:val="21"/>
          <w:w w:val="105"/>
        </w:rPr>
        <w:t> </w:t>
      </w:r>
      <w:r>
        <w:rPr>
          <w:w w:val="105"/>
        </w:rPr>
        <w:t>after</w:t>
      </w:r>
      <w:r>
        <w:rPr>
          <w:spacing w:val="21"/>
          <w:w w:val="105"/>
        </w:rPr>
        <w:t> </w:t>
      </w:r>
      <w:r>
        <w:rPr>
          <w:w w:val="105"/>
        </w:rPr>
        <w:t>grant</w:t>
      </w:r>
      <w:r>
        <w:rPr>
          <w:spacing w:val="21"/>
          <w:w w:val="105"/>
        </w:rPr>
        <w:t> </w:t>
      </w:r>
      <w:r>
        <w:rPr>
          <w:w w:val="105"/>
        </w:rPr>
        <w:t>and</w:t>
      </w:r>
      <w:r>
        <w:rPr>
          <w:spacing w:val="21"/>
          <w:w w:val="105"/>
        </w:rPr>
        <w:t> </w:t>
      </w:r>
      <w:r>
        <w:rPr>
          <w:w w:val="105"/>
        </w:rPr>
        <w:t>the</w:t>
      </w:r>
      <w:r>
        <w:rPr>
          <w:spacing w:val="21"/>
          <w:w w:val="105"/>
        </w:rPr>
        <w:t> </w:t>
      </w:r>
      <w:r>
        <w:rPr>
          <w:w w:val="105"/>
        </w:rPr>
        <w:t>remainder vesting in equal monthly increments over the following 36-month period.</w:t>
      </w:r>
    </w:p>
    <w:p>
      <w:pPr>
        <w:pStyle w:val="BodyText"/>
        <w:spacing w:line="259" w:lineRule="auto" w:before="154"/>
        <w:ind w:left="1400" w:right="1733" w:firstLine="372"/>
      </w:pPr>
      <w:r>
        <w:rPr>
          <w:w w:val="105"/>
        </w:rPr>
        <w:t>The RSUs granted to the NEOs in fiscal year 2022 vest over four years, with 50% vesting on the second anniversary and the remaining 50% vesting on the fourth anniversary of the grant date to further</w:t>
      </w:r>
      <w:r>
        <w:rPr>
          <w:spacing w:val="40"/>
          <w:w w:val="105"/>
        </w:rPr>
        <w:t> </w:t>
      </w:r>
      <w:r>
        <w:rPr>
          <w:w w:val="105"/>
        </w:rPr>
        <w:t>encourage retention.</w:t>
      </w:r>
    </w:p>
    <w:p>
      <w:pPr>
        <w:pStyle w:val="BodyText"/>
        <w:spacing w:line="259" w:lineRule="auto" w:before="140"/>
        <w:ind w:left="1400" w:right="1528" w:firstLine="372"/>
      </w:pPr>
      <w:r>
        <w:rPr>
          <w:w w:val="105"/>
        </w:rPr>
        <w:t>Vesting of the stock options and RSU awards will occur only if the NEO is employed by the Company</w:t>
      </w:r>
      <w:r>
        <w:rPr>
          <w:spacing w:val="80"/>
          <w:w w:val="105"/>
        </w:rPr>
        <w:t> </w:t>
      </w:r>
      <w:r>
        <w:rPr>
          <w:w w:val="105"/>
        </w:rPr>
        <w:t>or an affiliate through each vesting date, except in cases involving death, disability, or termination without</w:t>
      </w:r>
      <w:r>
        <w:rPr>
          <w:spacing w:val="40"/>
          <w:w w:val="105"/>
        </w:rPr>
        <w:t> </w:t>
      </w:r>
      <w:r>
        <w:rPr>
          <w:w w:val="105"/>
        </w:rPr>
        <w:t>cause</w:t>
      </w:r>
      <w:r>
        <w:rPr>
          <w:spacing w:val="23"/>
          <w:w w:val="105"/>
        </w:rPr>
        <w:t> </w:t>
      </w:r>
      <w:r>
        <w:rPr>
          <w:w w:val="105"/>
        </w:rPr>
        <w:t>or</w:t>
      </w:r>
      <w:r>
        <w:rPr>
          <w:spacing w:val="23"/>
          <w:w w:val="105"/>
        </w:rPr>
        <w:t> </w:t>
      </w:r>
      <w:r>
        <w:rPr>
          <w:w w:val="105"/>
        </w:rPr>
        <w:t>good</w:t>
      </w:r>
      <w:r>
        <w:rPr>
          <w:spacing w:val="23"/>
          <w:w w:val="105"/>
        </w:rPr>
        <w:t> </w:t>
      </w:r>
      <w:r>
        <w:rPr>
          <w:w w:val="105"/>
        </w:rPr>
        <w:t>reason</w:t>
      </w:r>
      <w:r>
        <w:rPr>
          <w:spacing w:val="23"/>
          <w:w w:val="105"/>
        </w:rPr>
        <w:t> </w:t>
      </w:r>
      <w:r>
        <w:rPr>
          <w:w w:val="105"/>
        </w:rPr>
        <w:t>in</w:t>
      </w:r>
      <w:r>
        <w:rPr>
          <w:spacing w:val="23"/>
          <w:w w:val="105"/>
        </w:rPr>
        <w:t> </w:t>
      </w:r>
      <w:r>
        <w:rPr>
          <w:w w:val="105"/>
        </w:rPr>
        <w:t>connection</w:t>
      </w:r>
      <w:r>
        <w:rPr>
          <w:spacing w:val="23"/>
          <w:w w:val="105"/>
        </w:rPr>
        <w:t> </w:t>
      </w:r>
      <w:r>
        <w:rPr>
          <w:w w:val="105"/>
        </w:rPr>
        <w:t>with</w:t>
      </w:r>
      <w:r>
        <w:rPr>
          <w:spacing w:val="23"/>
          <w:w w:val="105"/>
        </w:rPr>
        <w:t> </w:t>
      </w:r>
      <w:r>
        <w:rPr>
          <w:w w:val="105"/>
        </w:rPr>
        <w:t>a</w:t>
      </w:r>
      <w:r>
        <w:rPr>
          <w:spacing w:val="23"/>
          <w:w w:val="105"/>
        </w:rPr>
        <w:t> </w:t>
      </w:r>
      <w:r>
        <w:rPr>
          <w:w w:val="105"/>
        </w:rPr>
        <w:t>change</w:t>
      </w:r>
      <w:r>
        <w:rPr>
          <w:spacing w:val="23"/>
          <w:w w:val="105"/>
        </w:rPr>
        <w:t> </w:t>
      </w:r>
      <w:r>
        <w:rPr>
          <w:w w:val="105"/>
        </w:rPr>
        <w:t>of</w:t>
      </w:r>
      <w:r>
        <w:rPr>
          <w:spacing w:val="23"/>
          <w:w w:val="105"/>
        </w:rPr>
        <w:t> </w:t>
      </w:r>
      <w:r>
        <w:rPr>
          <w:w w:val="105"/>
        </w:rPr>
        <w:t>control. Additionally,</w:t>
      </w:r>
      <w:r>
        <w:rPr>
          <w:spacing w:val="23"/>
          <w:w w:val="105"/>
        </w:rPr>
        <w:t> </w:t>
      </w:r>
      <w:r>
        <w:rPr>
          <w:w w:val="105"/>
        </w:rPr>
        <w:t>such</w:t>
      </w:r>
      <w:r>
        <w:rPr>
          <w:spacing w:val="23"/>
          <w:w w:val="105"/>
        </w:rPr>
        <w:t> </w:t>
      </w:r>
      <w:r>
        <w:rPr>
          <w:w w:val="105"/>
        </w:rPr>
        <w:t>awards</w:t>
      </w:r>
      <w:r>
        <w:rPr>
          <w:spacing w:val="23"/>
          <w:w w:val="105"/>
        </w:rPr>
        <w:t> </w:t>
      </w:r>
      <w:r>
        <w:rPr>
          <w:w w:val="105"/>
        </w:rPr>
        <w:t>will</w:t>
      </w:r>
      <w:r>
        <w:rPr>
          <w:spacing w:val="23"/>
          <w:w w:val="105"/>
        </w:rPr>
        <w:t> </w:t>
      </w:r>
      <w:r>
        <w:rPr>
          <w:w w:val="105"/>
        </w:rPr>
        <w:t>accelerate</w:t>
      </w:r>
      <w:r>
        <w:rPr>
          <w:spacing w:val="23"/>
          <w:w w:val="105"/>
        </w:rPr>
        <w:t> </w:t>
      </w:r>
      <w:r>
        <w:rPr>
          <w:w w:val="105"/>
        </w:rPr>
        <w:t>in the event of certain corporate transactions if such awards are not assumed or continued.</w:t>
      </w:r>
    </w:p>
    <w:p>
      <w:pPr>
        <w:pStyle w:val="BodyText"/>
        <w:spacing w:line="259" w:lineRule="auto" w:before="154"/>
        <w:ind w:left="1400" w:right="1551" w:firstLine="372"/>
      </w:pPr>
      <w:r>
        <w:rPr>
          <w:w w:val="105"/>
        </w:rPr>
        <w:t>The fiscal year 2022 LTI awards are summarized in the table below. The grants were made under our</w:t>
      </w:r>
      <w:r>
        <w:rPr>
          <w:spacing w:val="80"/>
          <w:w w:val="105"/>
        </w:rPr>
        <w:t> </w:t>
      </w:r>
      <w:r>
        <w:rPr>
          <w:w w:val="105"/>
        </w:rPr>
        <w:t>2020 Stock Plan. The grant date fair value of each award was determined using the Black-Scholes model for</w:t>
      </w:r>
      <w:r>
        <w:rPr>
          <w:spacing w:val="40"/>
          <w:w w:val="105"/>
        </w:rPr>
        <w:t> </w:t>
      </w:r>
      <w:r>
        <w:rPr>
          <w:w w:val="105"/>
        </w:rPr>
        <w:t>stock</w:t>
      </w:r>
      <w:r>
        <w:rPr>
          <w:spacing w:val="19"/>
          <w:w w:val="105"/>
        </w:rPr>
        <w:t> </w:t>
      </w:r>
      <w:r>
        <w:rPr>
          <w:w w:val="105"/>
        </w:rPr>
        <w:t>options</w:t>
      </w:r>
      <w:r>
        <w:rPr>
          <w:spacing w:val="19"/>
          <w:w w:val="105"/>
        </w:rPr>
        <w:t> </w:t>
      </w:r>
      <w:r>
        <w:rPr>
          <w:w w:val="105"/>
        </w:rPr>
        <w:t>and</w:t>
      </w:r>
      <w:r>
        <w:rPr>
          <w:spacing w:val="19"/>
          <w:w w:val="105"/>
        </w:rPr>
        <w:t> </w:t>
      </w:r>
      <w:r>
        <w:rPr>
          <w:w w:val="105"/>
        </w:rPr>
        <w:t>was</w:t>
      </w:r>
      <w:r>
        <w:rPr>
          <w:spacing w:val="19"/>
          <w:w w:val="105"/>
        </w:rPr>
        <w:t> </w:t>
      </w:r>
      <w:r>
        <w:rPr>
          <w:w w:val="105"/>
        </w:rPr>
        <w:t>based</w:t>
      </w:r>
      <w:r>
        <w:rPr>
          <w:spacing w:val="19"/>
          <w:w w:val="105"/>
        </w:rPr>
        <w:t> </w:t>
      </w:r>
      <w:r>
        <w:rPr>
          <w:w w:val="105"/>
        </w:rPr>
        <w:t>on</w:t>
      </w:r>
      <w:r>
        <w:rPr>
          <w:spacing w:val="19"/>
          <w:w w:val="105"/>
        </w:rPr>
        <w:t> </w:t>
      </w:r>
      <w:r>
        <w:rPr>
          <w:w w:val="105"/>
        </w:rPr>
        <w:t>the</w:t>
      </w:r>
      <w:r>
        <w:rPr>
          <w:spacing w:val="19"/>
          <w:w w:val="105"/>
        </w:rPr>
        <w:t> </w:t>
      </w:r>
      <w:r>
        <w:rPr>
          <w:w w:val="105"/>
        </w:rPr>
        <w:t>closing</w:t>
      </w:r>
      <w:r>
        <w:rPr>
          <w:spacing w:val="19"/>
          <w:w w:val="105"/>
        </w:rPr>
        <w:t> </w:t>
      </w:r>
      <w:r>
        <w:rPr>
          <w:w w:val="105"/>
        </w:rPr>
        <w:t>price</w:t>
      </w:r>
      <w:r>
        <w:rPr>
          <w:spacing w:val="19"/>
          <w:w w:val="105"/>
        </w:rPr>
        <w:t> </w:t>
      </w:r>
      <w:r>
        <w:rPr>
          <w:w w:val="105"/>
        </w:rPr>
        <w:t>of</w:t>
      </w:r>
      <w:r>
        <w:rPr>
          <w:spacing w:val="19"/>
          <w:w w:val="105"/>
        </w:rPr>
        <w:t> </w:t>
      </w:r>
      <w:r>
        <w:rPr>
          <w:w w:val="105"/>
        </w:rPr>
        <w:t>our</w:t>
      </w:r>
      <w:r>
        <w:rPr>
          <w:spacing w:val="19"/>
          <w:w w:val="105"/>
        </w:rPr>
        <w:t> </w:t>
      </w:r>
      <w:r>
        <w:rPr>
          <w:w w:val="105"/>
        </w:rPr>
        <w:t>common</w:t>
      </w:r>
      <w:r>
        <w:rPr>
          <w:spacing w:val="19"/>
          <w:w w:val="105"/>
        </w:rPr>
        <w:t> </w:t>
      </w:r>
      <w:r>
        <w:rPr>
          <w:w w:val="105"/>
        </w:rPr>
        <w:t>stock</w:t>
      </w:r>
      <w:r>
        <w:rPr>
          <w:spacing w:val="19"/>
          <w:w w:val="105"/>
        </w:rPr>
        <w:t> </w:t>
      </w:r>
      <w:r>
        <w:rPr>
          <w:w w:val="105"/>
        </w:rPr>
        <w:t>on</w:t>
      </w:r>
      <w:r>
        <w:rPr>
          <w:spacing w:val="19"/>
          <w:w w:val="105"/>
        </w:rPr>
        <w:t> </w:t>
      </w:r>
      <w:r>
        <w:rPr>
          <w:w w:val="105"/>
        </w:rPr>
        <w:t>the</w:t>
      </w:r>
      <w:r>
        <w:rPr>
          <w:spacing w:val="19"/>
          <w:w w:val="105"/>
        </w:rPr>
        <w:t> </w:t>
      </w:r>
      <w:r>
        <w:rPr>
          <w:w w:val="105"/>
        </w:rPr>
        <w:t>date</w:t>
      </w:r>
      <w:r>
        <w:rPr>
          <w:spacing w:val="19"/>
          <w:w w:val="105"/>
        </w:rPr>
        <w:t> </w:t>
      </w:r>
      <w:r>
        <w:rPr>
          <w:w w:val="105"/>
        </w:rPr>
        <w:t>of</w:t>
      </w:r>
      <w:r>
        <w:rPr>
          <w:spacing w:val="19"/>
          <w:w w:val="105"/>
        </w:rPr>
        <w:t> </w:t>
      </w:r>
      <w:r>
        <w:rPr>
          <w:w w:val="105"/>
        </w:rPr>
        <w:t>grant</w:t>
      </w:r>
      <w:r>
        <w:rPr>
          <w:spacing w:val="19"/>
          <w:w w:val="105"/>
        </w:rPr>
        <w:t> </w:t>
      </w:r>
      <w:r>
        <w:rPr>
          <w:w w:val="105"/>
        </w:rPr>
        <w:t>for</w:t>
      </w:r>
      <w:r>
        <w:rPr>
          <w:spacing w:val="19"/>
          <w:w w:val="105"/>
        </w:rPr>
        <w:t> </w:t>
      </w:r>
      <w:r>
        <w:rPr>
          <w:w w:val="105"/>
        </w:rPr>
        <w:t>RSUs.</w:t>
      </w:r>
    </w:p>
    <w:p>
      <w:pPr>
        <w:pStyle w:val="BodyText"/>
        <w:spacing w:line="259" w:lineRule="auto" w:before="1"/>
        <w:ind w:left="1400" w:right="1612"/>
      </w:pPr>
      <w:r>
        <w:rPr>
          <w:w w:val="105"/>
        </w:rPr>
        <w:t>Additional information about equity awards granted in fiscal year 2022 is provided below in the Grants of</w:t>
      </w:r>
      <w:r>
        <w:rPr>
          <w:spacing w:val="40"/>
          <w:w w:val="105"/>
        </w:rPr>
        <w:t> </w:t>
      </w:r>
      <w:r>
        <w:rPr>
          <w:w w:val="105"/>
        </w:rPr>
        <w:t>Plan-Based Awards table.</w:t>
      </w:r>
    </w:p>
    <w:p>
      <w:pPr>
        <w:spacing w:after="0" w:line="259" w:lineRule="auto"/>
        <w:sectPr>
          <w:headerReference w:type="default" r:id="rId131"/>
          <w:footerReference w:type="default" r:id="rId132"/>
          <w:pgSz w:w="12240" w:h="15840"/>
          <w:pgMar w:header="529" w:footer="1330" w:top="720" w:bottom="1520" w:left="480" w:right="460"/>
          <w:pgNumType w:start="4"/>
        </w:sectPr>
      </w:pPr>
    </w:p>
    <w:p>
      <w:pPr>
        <w:pStyle w:val="BodyText"/>
        <w:rPr>
          <w:sz w:val="20"/>
        </w:rPr>
      </w:pPr>
    </w:p>
    <w:p>
      <w:pPr>
        <w:pStyle w:val="BodyText"/>
        <w:rPr>
          <w:sz w:val="20"/>
        </w:rPr>
      </w:pPr>
    </w:p>
    <w:p>
      <w:pPr>
        <w:pStyle w:val="BodyText"/>
        <w:spacing w:before="3"/>
        <w:rPr>
          <w:sz w:val="25"/>
        </w:rPr>
      </w:pPr>
    </w:p>
    <w:p>
      <w:pPr>
        <w:spacing w:before="92" w:after="59"/>
        <w:ind w:left="6690" w:right="0" w:firstLine="0"/>
        <w:jc w:val="left"/>
        <w:rPr>
          <w:b/>
          <w:sz w:val="15"/>
        </w:rPr>
      </w:pPr>
      <w:r>
        <w:rPr>
          <w:b/>
          <w:spacing w:val="-6"/>
          <w:sz w:val="15"/>
        </w:rPr>
        <w:t>Fiscal</w:t>
      </w:r>
      <w:r>
        <w:rPr>
          <w:b/>
          <w:spacing w:val="-7"/>
          <w:sz w:val="15"/>
        </w:rPr>
        <w:t> </w:t>
      </w:r>
      <w:r>
        <w:rPr>
          <w:b/>
          <w:spacing w:val="-6"/>
          <w:sz w:val="15"/>
        </w:rPr>
        <w:t>Year</w:t>
      </w:r>
      <w:r>
        <w:rPr>
          <w:b/>
          <w:spacing w:val="-2"/>
          <w:sz w:val="15"/>
        </w:rPr>
        <w:t> </w:t>
      </w:r>
      <w:r>
        <w:rPr>
          <w:b/>
          <w:spacing w:val="-6"/>
          <w:sz w:val="15"/>
        </w:rPr>
        <w:t>2022</w:t>
      </w:r>
      <w:r>
        <w:rPr>
          <w:b/>
          <w:sz w:val="15"/>
        </w:rPr>
        <w:t> </w:t>
      </w:r>
      <w:r>
        <w:rPr>
          <w:b/>
          <w:spacing w:val="-6"/>
          <w:sz w:val="15"/>
        </w:rPr>
        <w:t>LTI</w:t>
      </w:r>
      <w:r>
        <w:rPr>
          <w:b/>
          <w:sz w:val="15"/>
        </w:rPr>
        <w:t> </w:t>
      </w:r>
      <w:r>
        <w:rPr>
          <w:b/>
          <w:spacing w:val="-6"/>
          <w:sz w:val="15"/>
        </w:rPr>
        <w:t>Grant</w:t>
      </w:r>
      <w:r>
        <w:rPr>
          <w:b/>
          <w:spacing w:val="-2"/>
          <w:sz w:val="15"/>
        </w:rPr>
        <w:t> </w:t>
      </w:r>
      <w:r>
        <w:rPr>
          <w:b/>
          <w:spacing w:val="-6"/>
          <w:sz w:val="15"/>
        </w:rPr>
        <w:t>Value</w:t>
      </w:r>
    </w:p>
    <w:tbl>
      <w:tblPr>
        <w:tblW w:w="0" w:type="auto"/>
        <w:jc w:val="left"/>
        <w:tblInd w:w="1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1"/>
        <w:gridCol w:w="223"/>
        <w:gridCol w:w="852"/>
        <w:gridCol w:w="544"/>
        <w:gridCol w:w="852"/>
        <w:gridCol w:w="544"/>
        <w:gridCol w:w="842"/>
      </w:tblGrid>
      <w:tr>
        <w:trPr>
          <w:trHeight w:val="432" w:hRule="atLeast"/>
        </w:trPr>
        <w:tc>
          <w:tcPr>
            <w:tcW w:w="3891" w:type="dxa"/>
            <w:tcBorders>
              <w:bottom w:val="single" w:sz="6" w:space="0" w:color="000000"/>
            </w:tcBorders>
          </w:tcPr>
          <w:p>
            <w:pPr>
              <w:pStyle w:val="TableParagraph"/>
              <w:spacing w:before="1"/>
              <w:rPr>
                <w:b/>
                <w:sz w:val="18"/>
              </w:rPr>
            </w:pPr>
          </w:p>
          <w:p>
            <w:pPr>
              <w:pStyle w:val="TableParagraph"/>
              <w:spacing w:before="1"/>
              <w:rPr>
                <w:b/>
                <w:sz w:val="15"/>
              </w:rPr>
            </w:pPr>
            <w:r>
              <w:rPr>
                <w:b/>
                <w:spacing w:val="-4"/>
                <w:sz w:val="15"/>
              </w:rPr>
              <w:t>Name</w:t>
            </w:r>
          </w:p>
        </w:tc>
        <w:tc>
          <w:tcPr>
            <w:tcW w:w="223" w:type="dxa"/>
          </w:tcPr>
          <w:p>
            <w:pPr>
              <w:pStyle w:val="TableParagraph"/>
              <w:rPr>
                <w:sz w:val="18"/>
              </w:rPr>
            </w:pPr>
          </w:p>
        </w:tc>
        <w:tc>
          <w:tcPr>
            <w:tcW w:w="852" w:type="dxa"/>
            <w:tcBorders>
              <w:top w:val="single" w:sz="6" w:space="0" w:color="000000"/>
              <w:bottom w:val="single" w:sz="6" w:space="0" w:color="000000"/>
            </w:tcBorders>
          </w:tcPr>
          <w:p>
            <w:pPr>
              <w:pStyle w:val="TableParagraph"/>
              <w:spacing w:line="232" w:lineRule="auto" w:before="45"/>
              <w:ind w:left="187" w:right="164" w:firstLine="71"/>
              <w:rPr>
                <w:b/>
                <w:sz w:val="15"/>
              </w:rPr>
            </w:pPr>
            <w:r>
              <w:rPr>
                <w:b/>
                <w:spacing w:val="-4"/>
                <w:sz w:val="15"/>
              </w:rPr>
              <w:t>Stock</w:t>
            </w:r>
            <w:r>
              <w:rPr>
                <w:b/>
                <w:spacing w:val="40"/>
                <w:sz w:val="15"/>
              </w:rPr>
              <w:t> </w:t>
            </w:r>
            <w:r>
              <w:rPr>
                <w:b/>
                <w:spacing w:val="-4"/>
                <w:sz w:val="15"/>
              </w:rPr>
              <w:t>Options</w:t>
            </w:r>
          </w:p>
        </w:tc>
        <w:tc>
          <w:tcPr>
            <w:tcW w:w="544" w:type="dxa"/>
            <w:tcBorders>
              <w:top w:val="single" w:sz="6" w:space="0" w:color="000000"/>
            </w:tcBorders>
          </w:tcPr>
          <w:p>
            <w:pPr>
              <w:pStyle w:val="TableParagraph"/>
              <w:spacing w:before="1"/>
              <w:rPr>
                <w:b/>
                <w:sz w:val="18"/>
              </w:rPr>
            </w:pPr>
          </w:p>
          <w:p>
            <w:pPr>
              <w:pStyle w:val="TableParagraph"/>
              <w:spacing w:before="1"/>
              <w:ind w:left="7"/>
              <w:jc w:val="center"/>
              <w:rPr>
                <w:b/>
                <w:sz w:val="15"/>
              </w:rPr>
            </w:pPr>
            <w:r>
              <w:rPr>
                <w:b/>
                <w:w w:val="99"/>
                <w:sz w:val="15"/>
              </w:rPr>
              <w:t>+</w:t>
            </w:r>
          </w:p>
        </w:tc>
        <w:tc>
          <w:tcPr>
            <w:tcW w:w="852" w:type="dxa"/>
            <w:tcBorders>
              <w:top w:val="single" w:sz="6" w:space="0" w:color="000000"/>
              <w:bottom w:val="single" w:sz="6" w:space="0" w:color="000000"/>
            </w:tcBorders>
          </w:tcPr>
          <w:p>
            <w:pPr>
              <w:pStyle w:val="TableParagraph"/>
              <w:spacing w:before="1"/>
              <w:rPr>
                <w:b/>
                <w:sz w:val="18"/>
              </w:rPr>
            </w:pPr>
          </w:p>
          <w:p>
            <w:pPr>
              <w:pStyle w:val="TableParagraph"/>
              <w:spacing w:before="1"/>
              <w:ind w:left="5"/>
              <w:jc w:val="center"/>
              <w:rPr>
                <w:b/>
                <w:sz w:val="15"/>
              </w:rPr>
            </w:pPr>
            <w:r>
              <w:rPr>
                <w:b/>
                <w:spacing w:val="-4"/>
                <w:sz w:val="15"/>
              </w:rPr>
              <w:t>RSUs</w:t>
            </w:r>
          </w:p>
        </w:tc>
        <w:tc>
          <w:tcPr>
            <w:tcW w:w="544" w:type="dxa"/>
            <w:tcBorders>
              <w:top w:val="single" w:sz="6" w:space="0" w:color="000000"/>
            </w:tcBorders>
          </w:tcPr>
          <w:p>
            <w:pPr>
              <w:pStyle w:val="TableParagraph"/>
              <w:spacing w:before="1"/>
              <w:rPr>
                <w:b/>
                <w:sz w:val="18"/>
              </w:rPr>
            </w:pPr>
          </w:p>
          <w:p>
            <w:pPr>
              <w:pStyle w:val="TableParagraph"/>
              <w:spacing w:before="1"/>
              <w:ind w:left="1"/>
              <w:jc w:val="center"/>
              <w:rPr>
                <w:b/>
                <w:sz w:val="15"/>
              </w:rPr>
            </w:pPr>
            <w:r>
              <w:rPr>
                <w:b/>
                <w:w w:val="99"/>
                <w:sz w:val="15"/>
              </w:rPr>
              <w:t>=</w:t>
            </w:r>
          </w:p>
        </w:tc>
        <w:tc>
          <w:tcPr>
            <w:tcW w:w="842" w:type="dxa"/>
            <w:tcBorders>
              <w:top w:val="single" w:sz="6" w:space="0" w:color="000000"/>
              <w:bottom w:val="single" w:sz="6" w:space="0" w:color="000000"/>
            </w:tcBorders>
          </w:tcPr>
          <w:p>
            <w:pPr>
              <w:pStyle w:val="TableParagraph"/>
              <w:spacing w:before="1"/>
              <w:rPr>
                <w:b/>
                <w:sz w:val="18"/>
              </w:rPr>
            </w:pPr>
          </w:p>
          <w:p>
            <w:pPr>
              <w:pStyle w:val="TableParagraph"/>
              <w:spacing w:before="1"/>
              <w:ind w:left="14" w:right="5"/>
              <w:jc w:val="center"/>
              <w:rPr>
                <w:b/>
                <w:sz w:val="15"/>
              </w:rPr>
            </w:pPr>
            <w:r>
              <w:rPr>
                <w:b/>
                <w:spacing w:val="-2"/>
                <w:sz w:val="15"/>
              </w:rPr>
              <w:t>Total</w:t>
            </w:r>
          </w:p>
        </w:tc>
      </w:tr>
      <w:tr>
        <w:trPr>
          <w:trHeight w:val="286" w:hRule="atLeast"/>
        </w:trPr>
        <w:tc>
          <w:tcPr>
            <w:tcW w:w="3891" w:type="dxa"/>
            <w:tcBorders>
              <w:top w:val="single" w:sz="6" w:space="0" w:color="000000"/>
            </w:tcBorders>
          </w:tcPr>
          <w:p>
            <w:pPr>
              <w:pStyle w:val="TableParagraph"/>
              <w:spacing w:before="41"/>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852" w:type="dxa"/>
            <w:tcBorders>
              <w:top w:val="single" w:sz="6" w:space="0" w:color="000000"/>
            </w:tcBorders>
          </w:tcPr>
          <w:p>
            <w:pPr>
              <w:pStyle w:val="TableParagraph"/>
              <w:spacing w:before="41"/>
              <w:ind w:left="7" w:right="-15"/>
              <w:jc w:val="center"/>
              <w:rPr>
                <w:sz w:val="18"/>
              </w:rPr>
            </w:pPr>
            <w:r>
              <w:rPr>
                <w:spacing w:val="-2"/>
                <w:w w:val="105"/>
                <w:sz w:val="18"/>
              </w:rPr>
              <w:t>$1,499,999</w:t>
            </w:r>
          </w:p>
        </w:tc>
        <w:tc>
          <w:tcPr>
            <w:tcW w:w="544" w:type="dxa"/>
          </w:tcPr>
          <w:p>
            <w:pPr>
              <w:pStyle w:val="TableParagraph"/>
              <w:rPr>
                <w:sz w:val="18"/>
              </w:rPr>
            </w:pPr>
          </w:p>
        </w:tc>
        <w:tc>
          <w:tcPr>
            <w:tcW w:w="852" w:type="dxa"/>
            <w:tcBorders>
              <w:top w:val="single" w:sz="6" w:space="0" w:color="000000"/>
            </w:tcBorders>
          </w:tcPr>
          <w:p>
            <w:pPr>
              <w:pStyle w:val="TableParagraph"/>
              <w:spacing w:before="41"/>
              <w:ind w:left="2"/>
              <w:jc w:val="center"/>
              <w:rPr>
                <w:sz w:val="18"/>
              </w:rPr>
            </w:pPr>
            <w:r>
              <w:rPr>
                <w:spacing w:val="-2"/>
                <w:sz w:val="18"/>
              </w:rPr>
              <w:t>$1,499,975</w:t>
            </w:r>
          </w:p>
        </w:tc>
        <w:tc>
          <w:tcPr>
            <w:tcW w:w="544" w:type="dxa"/>
          </w:tcPr>
          <w:p>
            <w:pPr>
              <w:pStyle w:val="TableParagraph"/>
              <w:rPr>
                <w:sz w:val="18"/>
              </w:rPr>
            </w:pPr>
          </w:p>
        </w:tc>
        <w:tc>
          <w:tcPr>
            <w:tcW w:w="842" w:type="dxa"/>
            <w:tcBorders>
              <w:top w:val="single" w:sz="6" w:space="0" w:color="000000"/>
            </w:tcBorders>
          </w:tcPr>
          <w:p>
            <w:pPr>
              <w:pStyle w:val="TableParagraph"/>
              <w:spacing w:before="41"/>
              <w:ind w:left="1" w:right="-15"/>
              <w:jc w:val="center"/>
              <w:rPr>
                <w:sz w:val="18"/>
              </w:rPr>
            </w:pPr>
            <w:r>
              <w:rPr>
                <w:spacing w:val="-2"/>
                <w:sz w:val="18"/>
              </w:rPr>
              <w:t>$2,999,974</w:t>
            </w:r>
          </w:p>
        </w:tc>
      </w:tr>
      <w:tr>
        <w:trPr>
          <w:trHeight w:val="279" w:hRule="atLeast"/>
        </w:trPr>
        <w:tc>
          <w:tcPr>
            <w:tcW w:w="3891" w:type="dxa"/>
          </w:tcPr>
          <w:p>
            <w:pPr>
              <w:pStyle w:val="TableParagraph"/>
              <w:spacing w:before="34"/>
              <w:rPr>
                <w:sz w:val="18"/>
              </w:rPr>
            </w:pPr>
            <w:r>
              <w:rPr>
                <w:w w:val="105"/>
                <w:sz w:val="18"/>
              </w:rPr>
              <w:t>Shubham</w:t>
            </w:r>
            <w:r>
              <w:rPr>
                <w:spacing w:val="11"/>
                <w:w w:val="105"/>
                <w:sz w:val="18"/>
              </w:rPr>
              <w:t> </w:t>
            </w:r>
            <w:r>
              <w:rPr>
                <w:spacing w:val="-2"/>
                <w:w w:val="105"/>
                <w:sz w:val="18"/>
              </w:rPr>
              <w:t>Maheshwari</w:t>
            </w:r>
          </w:p>
        </w:tc>
        <w:tc>
          <w:tcPr>
            <w:tcW w:w="223" w:type="dxa"/>
          </w:tcPr>
          <w:p>
            <w:pPr>
              <w:pStyle w:val="TableParagraph"/>
              <w:rPr>
                <w:sz w:val="18"/>
              </w:rPr>
            </w:pPr>
          </w:p>
        </w:tc>
        <w:tc>
          <w:tcPr>
            <w:tcW w:w="852" w:type="dxa"/>
          </w:tcPr>
          <w:p>
            <w:pPr>
              <w:pStyle w:val="TableParagraph"/>
              <w:spacing w:before="34"/>
              <w:ind w:left="7" w:right="-15"/>
              <w:jc w:val="center"/>
              <w:rPr>
                <w:sz w:val="18"/>
              </w:rPr>
            </w:pPr>
            <w:r>
              <w:rPr>
                <w:w w:val="105"/>
                <w:sz w:val="18"/>
              </w:rPr>
              <w:t>$</w:t>
            </w:r>
            <w:r>
              <w:rPr>
                <w:spacing w:val="76"/>
                <w:w w:val="150"/>
                <w:sz w:val="18"/>
              </w:rPr>
              <w:t> </w:t>
            </w:r>
            <w:r>
              <w:rPr>
                <w:spacing w:val="-2"/>
                <w:w w:val="105"/>
                <w:sz w:val="18"/>
              </w:rPr>
              <w:t>397,489</w:t>
            </w:r>
          </w:p>
        </w:tc>
        <w:tc>
          <w:tcPr>
            <w:tcW w:w="544" w:type="dxa"/>
          </w:tcPr>
          <w:p>
            <w:pPr>
              <w:pStyle w:val="TableParagraph"/>
              <w:rPr>
                <w:sz w:val="18"/>
              </w:rPr>
            </w:pPr>
          </w:p>
        </w:tc>
        <w:tc>
          <w:tcPr>
            <w:tcW w:w="852" w:type="dxa"/>
          </w:tcPr>
          <w:p>
            <w:pPr>
              <w:pStyle w:val="TableParagraph"/>
              <w:spacing w:before="34"/>
              <w:ind w:left="2"/>
              <w:jc w:val="center"/>
              <w:rPr>
                <w:sz w:val="18"/>
              </w:rPr>
            </w:pPr>
            <w:r>
              <w:rPr>
                <w:w w:val="105"/>
                <w:sz w:val="18"/>
              </w:rPr>
              <w:t>$</w:t>
            </w:r>
            <w:r>
              <w:rPr>
                <w:spacing w:val="76"/>
                <w:w w:val="150"/>
                <w:sz w:val="18"/>
              </w:rPr>
              <w:t> </w:t>
            </w:r>
            <w:r>
              <w:rPr>
                <w:spacing w:val="-2"/>
                <w:w w:val="105"/>
                <w:sz w:val="18"/>
              </w:rPr>
              <w:t>397,478</w:t>
            </w:r>
          </w:p>
        </w:tc>
        <w:tc>
          <w:tcPr>
            <w:tcW w:w="544" w:type="dxa"/>
          </w:tcPr>
          <w:p>
            <w:pPr>
              <w:pStyle w:val="TableParagraph"/>
              <w:rPr>
                <w:sz w:val="18"/>
              </w:rPr>
            </w:pPr>
          </w:p>
        </w:tc>
        <w:tc>
          <w:tcPr>
            <w:tcW w:w="842" w:type="dxa"/>
          </w:tcPr>
          <w:p>
            <w:pPr>
              <w:pStyle w:val="TableParagraph"/>
              <w:spacing w:before="34"/>
              <w:ind w:left="1" w:right="-15"/>
              <w:jc w:val="center"/>
              <w:rPr>
                <w:sz w:val="18"/>
              </w:rPr>
            </w:pPr>
            <w:r>
              <w:rPr>
                <w:w w:val="105"/>
                <w:sz w:val="18"/>
              </w:rPr>
              <w:t>$</w:t>
            </w:r>
            <w:r>
              <w:rPr>
                <w:spacing w:val="77"/>
                <w:w w:val="150"/>
                <w:sz w:val="18"/>
              </w:rPr>
              <w:t> </w:t>
            </w:r>
            <w:r>
              <w:rPr>
                <w:spacing w:val="-2"/>
                <w:w w:val="105"/>
                <w:sz w:val="18"/>
              </w:rPr>
              <w:t>794,967</w:t>
            </w:r>
          </w:p>
        </w:tc>
      </w:tr>
      <w:tr>
        <w:trPr>
          <w:trHeight w:val="279" w:hRule="atLeast"/>
        </w:trPr>
        <w:tc>
          <w:tcPr>
            <w:tcW w:w="3891" w:type="dxa"/>
          </w:tcPr>
          <w:p>
            <w:pPr>
              <w:pStyle w:val="TableParagraph"/>
              <w:spacing w:before="3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3" w:type="dxa"/>
          </w:tcPr>
          <w:p>
            <w:pPr>
              <w:pStyle w:val="TableParagraph"/>
              <w:rPr>
                <w:sz w:val="18"/>
              </w:rPr>
            </w:pPr>
          </w:p>
        </w:tc>
        <w:tc>
          <w:tcPr>
            <w:tcW w:w="852" w:type="dxa"/>
          </w:tcPr>
          <w:p>
            <w:pPr>
              <w:pStyle w:val="TableParagraph"/>
              <w:spacing w:before="34"/>
              <w:ind w:left="7" w:right="-15"/>
              <w:jc w:val="center"/>
              <w:rPr>
                <w:sz w:val="18"/>
              </w:rPr>
            </w:pPr>
            <w:r>
              <w:rPr>
                <w:w w:val="105"/>
                <w:sz w:val="18"/>
              </w:rPr>
              <w:t>$</w:t>
            </w:r>
            <w:r>
              <w:rPr>
                <w:spacing w:val="76"/>
                <w:w w:val="150"/>
                <w:sz w:val="18"/>
              </w:rPr>
              <w:t> </w:t>
            </w:r>
            <w:r>
              <w:rPr>
                <w:spacing w:val="-2"/>
                <w:w w:val="105"/>
                <w:sz w:val="18"/>
              </w:rPr>
              <w:t>287,495</w:t>
            </w:r>
          </w:p>
        </w:tc>
        <w:tc>
          <w:tcPr>
            <w:tcW w:w="544" w:type="dxa"/>
          </w:tcPr>
          <w:p>
            <w:pPr>
              <w:pStyle w:val="TableParagraph"/>
              <w:rPr>
                <w:sz w:val="18"/>
              </w:rPr>
            </w:pPr>
          </w:p>
        </w:tc>
        <w:tc>
          <w:tcPr>
            <w:tcW w:w="852" w:type="dxa"/>
          </w:tcPr>
          <w:p>
            <w:pPr>
              <w:pStyle w:val="TableParagraph"/>
              <w:spacing w:before="34"/>
              <w:ind w:left="2"/>
              <w:jc w:val="center"/>
              <w:rPr>
                <w:sz w:val="18"/>
              </w:rPr>
            </w:pPr>
            <w:r>
              <w:rPr>
                <w:w w:val="105"/>
                <w:sz w:val="18"/>
              </w:rPr>
              <w:t>$</w:t>
            </w:r>
            <w:r>
              <w:rPr>
                <w:spacing w:val="76"/>
                <w:w w:val="150"/>
                <w:sz w:val="18"/>
              </w:rPr>
              <w:t> </w:t>
            </w:r>
            <w:r>
              <w:rPr>
                <w:spacing w:val="-2"/>
                <w:w w:val="105"/>
                <w:sz w:val="18"/>
              </w:rPr>
              <w:t>287,478</w:t>
            </w:r>
          </w:p>
        </w:tc>
        <w:tc>
          <w:tcPr>
            <w:tcW w:w="544" w:type="dxa"/>
          </w:tcPr>
          <w:p>
            <w:pPr>
              <w:pStyle w:val="TableParagraph"/>
              <w:rPr>
                <w:sz w:val="18"/>
              </w:rPr>
            </w:pPr>
          </w:p>
        </w:tc>
        <w:tc>
          <w:tcPr>
            <w:tcW w:w="842" w:type="dxa"/>
          </w:tcPr>
          <w:p>
            <w:pPr>
              <w:pStyle w:val="TableParagraph"/>
              <w:spacing w:before="34"/>
              <w:ind w:left="1" w:right="-15"/>
              <w:jc w:val="center"/>
              <w:rPr>
                <w:sz w:val="18"/>
              </w:rPr>
            </w:pPr>
            <w:r>
              <w:rPr>
                <w:w w:val="105"/>
                <w:sz w:val="18"/>
              </w:rPr>
              <w:t>$</w:t>
            </w:r>
            <w:r>
              <w:rPr>
                <w:spacing w:val="77"/>
                <w:w w:val="150"/>
                <w:sz w:val="18"/>
              </w:rPr>
              <w:t> </w:t>
            </w:r>
            <w:r>
              <w:rPr>
                <w:spacing w:val="-2"/>
                <w:w w:val="105"/>
                <w:sz w:val="18"/>
              </w:rPr>
              <w:t>574,973</w:t>
            </w:r>
          </w:p>
        </w:tc>
      </w:tr>
      <w:tr>
        <w:trPr>
          <w:trHeight w:val="279" w:hRule="atLeast"/>
        </w:trPr>
        <w:tc>
          <w:tcPr>
            <w:tcW w:w="3891" w:type="dxa"/>
          </w:tcPr>
          <w:p>
            <w:pPr>
              <w:pStyle w:val="TableParagraph"/>
              <w:spacing w:before="34"/>
              <w:rPr>
                <w:sz w:val="18"/>
              </w:rPr>
            </w:pPr>
            <w:r>
              <w:rPr>
                <w:w w:val="105"/>
                <w:sz w:val="18"/>
              </w:rPr>
              <w:t>Brian</w:t>
            </w:r>
            <w:r>
              <w:rPr>
                <w:spacing w:val="-5"/>
                <w:w w:val="105"/>
                <w:sz w:val="18"/>
              </w:rPr>
              <w:t> </w:t>
            </w:r>
            <w:r>
              <w:rPr>
                <w:w w:val="105"/>
                <w:sz w:val="18"/>
              </w:rPr>
              <w:t>W. </w:t>
            </w:r>
            <w:r>
              <w:rPr>
                <w:spacing w:val="-2"/>
                <w:w w:val="105"/>
                <w:sz w:val="18"/>
              </w:rPr>
              <w:t>Giambattista</w:t>
            </w:r>
          </w:p>
        </w:tc>
        <w:tc>
          <w:tcPr>
            <w:tcW w:w="223" w:type="dxa"/>
          </w:tcPr>
          <w:p>
            <w:pPr>
              <w:pStyle w:val="TableParagraph"/>
              <w:rPr>
                <w:sz w:val="18"/>
              </w:rPr>
            </w:pPr>
          </w:p>
        </w:tc>
        <w:tc>
          <w:tcPr>
            <w:tcW w:w="852" w:type="dxa"/>
          </w:tcPr>
          <w:p>
            <w:pPr>
              <w:pStyle w:val="TableParagraph"/>
              <w:spacing w:before="34"/>
              <w:ind w:left="7" w:right="-15"/>
              <w:jc w:val="center"/>
              <w:rPr>
                <w:sz w:val="18"/>
              </w:rPr>
            </w:pPr>
            <w:r>
              <w:rPr>
                <w:w w:val="105"/>
                <w:sz w:val="18"/>
              </w:rPr>
              <w:t>$</w:t>
            </w:r>
            <w:r>
              <w:rPr>
                <w:spacing w:val="76"/>
                <w:w w:val="150"/>
                <w:sz w:val="18"/>
              </w:rPr>
              <w:t> </w:t>
            </w:r>
            <w:r>
              <w:rPr>
                <w:spacing w:val="-2"/>
                <w:w w:val="105"/>
                <w:sz w:val="18"/>
              </w:rPr>
              <w:t>262,498</w:t>
            </w:r>
          </w:p>
        </w:tc>
        <w:tc>
          <w:tcPr>
            <w:tcW w:w="544" w:type="dxa"/>
          </w:tcPr>
          <w:p>
            <w:pPr>
              <w:pStyle w:val="TableParagraph"/>
              <w:rPr>
                <w:sz w:val="18"/>
              </w:rPr>
            </w:pPr>
          </w:p>
        </w:tc>
        <w:tc>
          <w:tcPr>
            <w:tcW w:w="852" w:type="dxa"/>
          </w:tcPr>
          <w:p>
            <w:pPr>
              <w:pStyle w:val="TableParagraph"/>
              <w:spacing w:before="34"/>
              <w:ind w:left="2"/>
              <w:jc w:val="center"/>
              <w:rPr>
                <w:sz w:val="18"/>
              </w:rPr>
            </w:pPr>
            <w:r>
              <w:rPr>
                <w:w w:val="105"/>
                <w:sz w:val="18"/>
              </w:rPr>
              <w:t>$</w:t>
            </w:r>
            <w:r>
              <w:rPr>
                <w:spacing w:val="76"/>
                <w:w w:val="150"/>
                <w:sz w:val="18"/>
              </w:rPr>
              <w:t> </w:t>
            </w:r>
            <w:r>
              <w:rPr>
                <w:spacing w:val="-2"/>
                <w:w w:val="105"/>
                <w:sz w:val="18"/>
              </w:rPr>
              <w:t>262,490</w:t>
            </w:r>
          </w:p>
        </w:tc>
        <w:tc>
          <w:tcPr>
            <w:tcW w:w="544" w:type="dxa"/>
          </w:tcPr>
          <w:p>
            <w:pPr>
              <w:pStyle w:val="TableParagraph"/>
              <w:rPr>
                <w:sz w:val="18"/>
              </w:rPr>
            </w:pPr>
          </w:p>
        </w:tc>
        <w:tc>
          <w:tcPr>
            <w:tcW w:w="842" w:type="dxa"/>
          </w:tcPr>
          <w:p>
            <w:pPr>
              <w:pStyle w:val="TableParagraph"/>
              <w:spacing w:before="34"/>
              <w:ind w:left="1" w:right="-15"/>
              <w:jc w:val="center"/>
              <w:rPr>
                <w:sz w:val="18"/>
              </w:rPr>
            </w:pPr>
            <w:r>
              <w:rPr>
                <w:w w:val="105"/>
                <w:sz w:val="18"/>
              </w:rPr>
              <w:t>$</w:t>
            </w:r>
            <w:r>
              <w:rPr>
                <w:spacing w:val="77"/>
                <w:w w:val="150"/>
                <w:sz w:val="18"/>
              </w:rPr>
              <w:t> </w:t>
            </w:r>
            <w:r>
              <w:rPr>
                <w:spacing w:val="-2"/>
                <w:w w:val="105"/>
                <w:sz w:val="18"/>
              </w:rPr>
              <w:t>524,988</w:t>
            </w:r>
          </w:p>
        </w:tc>
      </w:tr>
      <w:tr>
        <w:trPr>
          <w:trHeight w:val="242" w:hRule="atLeast"/>
        </w:trPr>
        <w:tc>
          <w:tcPr>
            <w:tcW w:w="3891" w:type="dxa"/>
          </w:tcPr>
          <w:p>
            <w:pPr>
              <w:pStyle w:val="TableParagraph"/>
              <w:spacing w:line="188" w:lineRule="exact" w:before="3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3" w:type="dxa"/>
          </w:tcPr>
          <w:p>
            <w:pPr>
              <w:pStyle w:val="TableParagraph"/>
              <w:rPr>
                <w:sz w:val="16"/>
              </w:rPr>
            </w:pPr>
          </w:p>
        </w:tc>
        <w:tc>
          <w:tcPr>
            <w:tcW w:w="852" w:type="dxa"/>
          </w:tcPr>
          <w:p>
            <w:pPr>
              <w:pStyle w:val="TableParagraph"/>
              <w:spacing w:line="188" w:lineRule="exact" w:before="34"/>
              <w:ind w:left="7" w:right="-15"/>
              <w:jc w:val="center"/>
              <w:rPr>
                <w:sz w:val="18"/>
              </w:rPr>
            </w:pPr>
            <w:r>
              <w:rPr>
                <w:w w:val="105"/>
                <w:sz w:val="18"/>
              </w:rPr>
              <w:t>$</w:t>
            </w:r>
            <w:r>
              <w:rPr>
                <w:spacing w:val="76"/>
                <w:w w:val="150"/>
                <w:sz w:val="18"/>
              </w:rPr>
              <w:t> </w:t>
            </w:r>
            <w:r>
              <w:rPr>
                <w:spacing w:val="-2"/>
                <w:w w:val="105"/>
                <w:sz w:val="18"/>
              </w:rPr>
              <w:t>262,498</w:t>
            </w:r>
          </w:p>
        </w:tc>
        <w:tc>
          <w:tcPr>
            <w:tcW w:w="544" w:type="dxa"/>
          </w:tcPr>
          <w:p>
            <w:pPr>
              <w:pStyle w:val="TableParagraph"/>
              <w:rPr>
                <w:sz w:val="16"/>
              </w:rPr>
            </w:pPr>
          </w:p>
        </w:tc>
        <w:tc>
          <w:tcPr>
            <w:tcW w:w="852" w:type="dxa"/>
          </w:tcPr>
          <w:p>
            <w:pPr>
              <w:pStyle w:val="TableParagraph"/>
              <w:spacing w:line="188" w:lineRule="exact" w:before="34"/>
              <w:ind w:left="2"/>
              <w:jc w:val="center"/>
              <w:rPr>
                <w:sz w:val="18"/>
              </w:rPr>
            </w:pPr>
            <w:r>
              <w:rPr>
                <w:w w:val="105"/>
                <w:sz w:val="18"/>
              </w:rPr>
              <w:t>$</w:t>
            </w:r>
            <w:r>
              <w:rPr>
                <w:spacing w:val="76"/>
                <w:w w:val="150"/>
                <w:sz w:val="18"/>
              </w:rPr>
              <w:t> </w:t>
            </w:r>
            <w:r>
              <w:rPr>
                <w:spacing w:val="-2"/>
                <w:w w:val="105"/>
                <w:sz w:val="18"/>
              </w:rPr>
              <w:t>262,490</w:t>
            </w:r>
          </w:p>
        </w:tc>
        <w:tc>
          <w:tcPr>
            <w:tcW w:w="544" w:type="dxa"/>
          </w:tcPr>
          <w:p>
            <w:pPr>
              <w:pStyle w:val="TableParagraph"/>
              <w:rPr>
                <w:sz w:val="16"/>
              </w:rPr>
            </w:pPr>
          </w:p>
        </w:tc>
        <w:tc>
          <w:tcPr>
            <w:tcW w:w="842" w:type="dxa"/>
          </w:tcPr>
          <w:p>
            <w:pPr>
              <w:pStyle w:val="TableParagraph"/>
              <w:spacing w:line="188" w:lineRule="exact" w:before="34"/>
              <w:ind w:left="1" w:right="-15"/>
              <w:jc w:val="center"/>
              <w:rPr>
                <w:sz w:val="18"/>
              </w:rPr>
            </w:pPr>
            <w:r>
              <w:rPr>
                <w:w w:val="105"/>
                <w:sz w:val="18"/>
              </w:rPr>
              <w:t>$</w:t>
            </w:r>
            <w:r>
              <w:rPr>
                <w:spacing w:val="77"/>
                <w:w w:val="150"/>
                <w:sz w:val="18"/>
              </w:rPr>
              <w:t> </w:t>
            </w:r>
            <w:r>
              <w:rPr>
                <w:spacing w:val="-2"/>
                <w:w w:val="105"/>
                <w:sz w:val="18"/>
              </w:rPr>
              <w:t>524,988</w:t>
            </w:r>
          </w:p>
        </w:tc>
      </w:tr>
    </w:tbl>
    <w:p>
      <w:pPr>
        <w:pStyle w:val="BodyText"/>
        <w:spacing w:before="1"/>
        <w:rPr>
          <w:b/>
          <w:sz w:val="13"/>
        </w:rPr>
      </w:pPr>
    </w:p>
    <w:p>
      <w:pPr>
        <w:spacing w:line="242" w:lineRule="auto" w:before="0"/>
        <w:ind w:left="1400" w:right="1680" w:firstLine="372"/>
        <w:jc w:val="left"/>
        <w:rPr>
          <w:sz w:val="18"/>
        </w:rPr>
      </w:pPr>
      <w:r>
        <w:rPr>
          <w:b/>
          <w:w w:val="105"/>
          <w:sz w:val="18"/>
        </w:rPr>
        <w:t>Other</w:t>
      </w:r>
      <w:r>
        <w:rPr>
          <w:b/>
          <w:spacing w:val="-13"/>
          <w:w w:val="105"/>
          <w:sz w:val="18"/>
        </w:rPr>
        <w:t> </w:t>
      </w:r>
      <w:r>
        <w:rPr>
          <w:b/>
          <w:w w:val="105"/>
          <w:sz w:val="18"/>
        </w:rPr>
        <w:t>Elements</w:t>
      </w:r>
      <w:r>
        <w:rPr>
          <w:b/>
          <w:spacing w:val="-8"/>
          <w:w w:val="105"/>
          <w:sz w:val="18"/>
        </w:rPr>
        <w:t> </w:t>
      </w:r>
      <w:r>
        <w:rPr>
          <w:b/>
          <w:w w:val="105"/>
          <w:sz w:val="18"/>
        </w:rPr>
        <w:t>of</w:t>
      </w:r>
      <w:r>
        <w:rPr>
          <w:b/>
          <w:spacing w:val="-9"/>
          <w:w w:val="105"/>
          <w:sz w:val="18"/>
        </w:rPr>
        <w:t> </w:t>
      </w:r>
      <w:r>
        <w:rPr>
          <w:b/>
          <w:w w:val="105"/>
          <w:sz w:val="18"/>
        </w:rPr>
        <w:t>Executive</w:t>
      </w:r>
      <w:r>
        <w:rPr>
          <w:b/>
          <w:spacing w:val="-9"/>
          <w:w w:val="105"/>
          <w:sz w:val="18"/>
        </w:rPr>
        <w:t> </w:t>
      </w:r>
      <w:r>
        <w:rPr>
          <w:b/>
          <w:w w:val="105"/>
          <w:sz w:val="18"/>
        </w:rPr>
        <w:t>Compensation.</w:t>
      </w:r>
      <w:r>
        <w:rPr>
          <w:b/>
          <w:spacing w:val="80"/>
          <w:w w:val="105"/>
          <w:sz w:val="18"/>
        </w:rPr>
        <w:t> </w:t>
      </w:r>
      <w:r>
        <w:rPr>
          <w:w w:val="105"/>
          <w:sz w:val="18"/>
        </w:rPr>
        <w:t>Because our philosophy is to emphasize pay for performance, we provide retirement, group benefits and perquisites of relatively minor value to our</w:t>
      </w:r>
      <w:r>
        <w:rPr>
          <w:spacing w:val="40"/>
          <w:w w:val="105"/>
          <w:sz w:val="18"/>
        </w:rPr>
        <w:t> </w:t>
      </w:r>
      <w:r>
        <w:rPr>
          <w:spacing w:val="-2"/>
          <w:w w:val="105"/>
          <w:sz w:val="18"/>
        </w:rPr>
        <w:t>executives.</w:t>
      </w:r>
    </w:p>
    <w:p>
      <w:pPr>
        <w:pStyle w:val="BodyText"/>
        <w:spacing w:line="249" w:lineRule="auto" w:before="156"/>
        <w:ind w:left="1400" w:right="1551" w:firstLine="372"/>
      </w:pPr>
      <w:r>
        <w:rPr>
          <w:b/>
          <w:w w:val="105"/>
        </w:rPr>
        <w:t>Deferred</w:t>
      </w:r>
      <w:r>
        <w:rPr>
          <w:b/>
          <w:spacing w:val="-3"/>
          <w:w w:val="105"/>
        </w:rPr>
        <w:t> </w:t>
      </w:r>
      <w:r>
        <w:rPr>
          <w:b/>
          <w:w w:val="105"/>
        </w:rPr>
        <w:t>Compensation</w:t>
      </w:r>
      <w:r>
        <w:rPr>
          <w:b/>
          <w:spacing w:val="-3"/>
          <w:w w:val="105"/>
        </w:rPr>
        <w:t> </w:t>
      </w:r>
      <w:r>
        <w:rPr>
          <w:b/>
          <w:w w:val="105"/>
        </w:rPr>
        <w:t>Plan.</w:t>
      </w:r>
      <w:r>
        <w:rPr>
          <w:b/>
          <w:spacing w:val="80"/>
          <w:w w:val="105"/>
        </w:rPr>
        <w:t> </w:t>
      </w:r>
      <w:r>
        <w:rPr>
          <w:w w:val="105"/>
        </w:rPr>
        <w:t>NEOs and other highly compensated U.S. employees may make voluntary contributions to the Varex Imaging Corporation 2016 Deferred Compensation Plan (the “</w:t>
      </w:r>
      <w:r>
        <w:rPr>
          <w:b/>
          <w:w w:val="105"/>
        </w:rPr>
        <w:t>DCP</w:t>
      </w:r>
      <w:r>
        <w:rPr>
          <w:w w:val="105"/>
        </w:rPr>
        <w:t>”), which is a standard management benefit plan offered by many public companies. We currently do not contribute into the DCP.</w:t>
      </w:r>
    </w:p>
    <w:p>
      <w:pPr>
        <w:pStyle w:val="BodyText"/>
        <w:spacing w:line="247" w:lineRule="auto" w:before="145"/>
        <w:ind w:left="1400" w:right="1511" w:firstLine="372"/>
      </w:pPr>
      <w:r>
        <w:rPr>
          <w:b/>
          <w:w w:val="105"/>
        </w:rPr>
        <w:t>Group</w:t>
      </w:r>
      <w:r>
        <w:rPr>
          <w:b/>
          <w:spacing w:val="-6"/>
          <w:w w:val="105"/>
        </w:rPr>
        <w:t> </w:t>
      </w:r>
      <w:r>
        <w:rPr>
          <w:b/>
          <w:w w:val="105"/>
        </w:rPr>
        <w:t>Benefits</w:t>
      </w:r>
      <w:r>
        <w:rPr>
          <w:b/>
          <w:spacing w:val="-6"/>
          <w:w w:val="105"/>
        </w:rPr>
        <w:t> </w:t>
      </w:r>
      <w:r>
        <w:rPr>
          <w:b/>
          <w:w w:val="105"/>
        </w:rPr>
        <w:t>and</w:t>
      </w:r>
      <w:r>
        <w:rPr>
          <w:b/>
          <w:spacing w:val="-6"/>
          <w:w w:val="105"/>
        </w:rPr>
        <w:t> </w:t>
      </w:r>
      <w:r>
        <w:rPr>
          <w:b/>
          <w:w w:val="105"/>
        </w:rPr>
        <w:t>Other</w:t>
      </w:r>
      <w:r>
        <w:rPr>
          <w:b/>
          <w:spacing w:val="-10"/>
          <w:w w:val="105"/>
        </w:rPr>
        <w:t> </w:t>
      </w:r>
      <w:r>
        <w:rPr>
          <w:b/>
          <w:w w:val="105"/>
        </w:rPr>
        <w:t>Perquisites.</w:t>
      </w:r>
      <w:r>
        <w:rPr>
          <w:b/>
          <w:spacing w:val="80"/>
          <w:w w:val="105"/>
        </w:rPr>
        <w:t> </w:t>
      </w:r>
      <w:r>
        <w:rPr>
          <w:w w:val="105"/>
        </w:rPr>
        <w:t>Our NEOs are eligible to participate in the same employee benefit plans and on the same basis as all other Company employees. Such benefit plans include group</w:t>
      </w:r>
      <w:r>
        <w:rPr>
          <w:spacing w:val="40"/>
          <w:w w:val="105"/>
        </w:rPr>
        <w:t> </w:t>
      </w:r>
      <w:r>
        <w:rPr>
          <w:w w:val="105"/>
        </w:rPr>
        <w:t>medical,</w:t>
      </w:r>
      <w:r>
        <w:rPr>
          <w:spacing w:val="24"/>
          <w:w w:val="105"/>
        </w:rPr>
        <w:t> </w:t>
      </w:r>
      <w:r>
        <w:rPr>
          <w:w w:val="105"/>
        </w:rPr>
        <w:t>dental,</w:t>
      </w:r>
      <w:r>
        <w:rPr>
          <w:spacing w:val="24"/>
          <w:w w:val="105"/>
        </w:rPr>
        <w:t> </w:t>
      </w:r>
      <w:r>
        <w:rPr>
          <w:w w:val="105"/>
        </w:rPr>
        <w:t>vision,</w:t>
      </w:r>
      <w:r>
        <w:rPr>
          <w:spacing w:val="24"/>
          <w:w w:val="105"/>
        </w:rPr>
        <w:t> </w:t>
      </w:r>
      <w:r>
        <w:rPr>
          <w:w w:val="105"/>
        </w:rPr>
        <w:t>long</w:t>
      </w:r>
      <w:r>
        <w:rPr>
          <w:spacing w:val="24"/>
          <w:w w:val="105"/>
        </w:rPr>
        <w:t> </w:t>
      </w:r>
      <w:r>
        <w:rPr>
          <w:w w:val="105"/>
        </w:rPr>
        <w:t>term</w:t>
      </w:r>
      <w:r>
        <w:rPr>
          <w:spacing w:val="24"/>
          <w:w w:val="105"/>
        </w:rPr>
        <w:t> </w:t>
      </w:r>
      <w:r>
        <w:rPr>
          <w:w w:val="105"/>
        </w:rPr>
        <w:t>disability,</w:t>
      </w:r>
      <w:r>
        <w:rPr>
          <w:spacing w:val="24"/>
          <w:w w:val="105"/>
        </w:rPr>
        <w:t> </w:t>
      </w:r>
      <w:r>
        <w:rPr>
          <w:w w:val="105"/>
        </w:rPr>
        <w:t>life</w:t>
      </w:r>
      <w:r>
        <w:rPr>
          <w:spacing w:val="24"/>
          <w:w w:val="105"/>
        </w:rPr>
        <w:t> </w:t>
      </w:r>
      <w:r>
        <w:rPr>
          <w:w w:val="105"/>
        </w:rPr>
        <w:t>insurance,</w:t>
      </w:r>
      <w:r>
        <w:rPr>
          <w:spacing w:val="24"/>
          <w:w w:val="105"/>
        </w:rPr>
        <w:t> </w:t>
      </w:r>
      <w:r>
        <w:rPr>
          <w:w w:val="105"/>
        </w:rPr>
        <w:t>401(k)</w:t>
      </w:r>
      <w:r>
        <w:rPr>
          <w:spacing w:val="24"/>
          <w:w w:val="105"/>
        </w:rPr>
        <w:t> </w:t>
      </w:r>
      <w:r>
        <w:rPr>
          <w:w w:val="105"/>
        </w:rPr>
        <w:t>and</w:t>
      </w:r>
      <w:r>
        <w:rPr>
          <w:spacing w:val="24"/>
          <w:w w:val="105"/>
        </w:rPr>
        <w:t> </w:t>
      </w:r>
      <w:r>
        <w:rPr>
          <w:w w:val="105"/>
        </w:rPr>
        <w:t>ESPP.</w:t>
      </w:r>
      <w:r>
        <w:rPr>
          <w:spacing w:val="24"/>
          <w:w w:val="105"/>
        </w:rPr>
        <w:t> </w:t>
      </w:r>
      <w:r>
        <w:rPr>
          <w:w w:val="105"/>
        </w:rPr>
        <w:t>In</w:t>
      </w:r>
      <w:r>
        <w:rPr>
          <w:spacing w:val="24"/>
          <w:w w:val="105"/>
        </w:rPr>
        <w:t> </w:t>
      </w:r>
      <w:r>
        <w:rPr>
          <w:w w:val="105"/>
        </w:rPr>
        <w:t>addition,</w:t>
      </w:r>
      <w:r>
        <w:rPr>
          <w:spacing w:val="24"/>
          <w:w w:val="105"/>
        </w:rPr>
        <w:t> </w:t>
      </w:r>
      <w:r>
        <w:rPr>
          <w:w w:val="105"/>
        </w:rPr>
        <w:t>our</w:t>
      </w:r>
      <w:r>
        <w:rPr>
          <w:spacing w:val="24"/>
          <w:w w:val="105"/>
        </w:rPr>
        <w:t> </w:t>
      </w:r>
      <w:r>
        <w:rPr>
          <w:w w:val="105"/>
        </w:rPr>
        <w:t>Chief Executive</w:t>
      </w:r>
      <w:r>
        <w:rPr>
          <w:spacing w:val="25"/>
          <w:w w:val="105"/>
        </w:rPr>
        <w:t> </w:t>
      </w:r>
      <w:r>
        <w:rPr>
          <w:w w:val="105"/>
        </w:rPr>
        <w:t>Officer</w:t>
      </w:r>
      <w:r>
        <w:rPr>
          <w:spacing w:val="25"/>
          <w:w w:val="105"/>
        </w:rPr>
        <w:t> </w:t>
      </w:r>
      <w:r>
        <w:rPr>
          <w:w w:val="105"/>
        </w:rPr>
        <w:t>and</w:t>
      </w:r>
      <w:r>
        <w:rPr>
          <w:spacing w:val="25"/>
          <w:w w:val="105"/>
        </w:rPr>
        <w:t> </w:t>
      </w:r>
      <w:r>
        <w:rPr>
          <w:w w:val="105"/>
        </w:rPr>
        <w:t>our</w:t>
      </w:r>
      <w:r>
        <w:rPr>
          <w:spacing w:val="25"/>
          <w:w w:val="105"/>
        </w:rPr>
        <w:t> </w:t>
      </w:r>
      <w:r>
        <w:rPr>
          <w:w w:val="105"/>
        </w:rPr>
        <w:t>Chief</w:t>
      </w:r>
      <w:r>
        <w:rPr>
          <w:spacing w:val="25"/>
          <w:w w:val="105"/>
        </w:rPr>
        <w:t> </w:t>
      </w:r>
      <w:r>
        <w:rPr>
          <w:w w:val="105"/>
        </w:rPr>
        <w:t>Financial</w:t>
      </w:r>
      <w:r>
        <w:rPr>
          <w:spacing w:val="25"/>
          <w:w w:val="105"/>
        </w:rPr>
        <w:t> </w:t>
      </w:r>
      <w:r>
        <w:rPr>
          <w:w w:val="105"/>
        </w:rPr>
        <w:t>Officer</w:t>
      </w:r>
      <w:r>
        <w:rPr>
          <w:spacing w:val="25"/>
          <w:w w:val="105"/>
        </w:rPr>
        <w:t> </w:t>
      </w:r>
      <w:r>
        <w:rPr>
          <w:w w:val="105"/>
        </w:rPr>
        <w:t>can</w:t>
      </w:r>
      <w:r>
        <w:rPr>
          <w:spacing w:val="25"/>
          <w:w w:val="105"/>
        </w:rPr>
        <w:t> </w:t>
      </w:r>
      <w:r>
        <w:rPr>
          <w:w w:val="105"/>
        </w:rPr>
        <w:t>be</w:t>
      </w:r>
      <w:r>
        <w:rPr>
          <w:spacing w:val="25"/>
          <w:w w:val="105"/>
        </w:rPr>
        <w:t> </w:t>
      </w:r>
      <w:r>
        <w:rPr>
          <w:w w:val="105"/>
        </w:rPr>
        <w:t>reimbursed</w:t>
      </w:r>
      <w:r>
        <w:rPr>
          <w:spacing w:val="25"/>
          <w:w w:val="105"/>
        </w:rPr>
        <w:t> </w:t>
      </w:r>
      <w:r>
        <w:rPr>
          <w:w w:val="105"/>
        </w:rPr>
        <w:t>for</w:t>
      </w:r>
      <w:r>
        <w:rPr>
          <w:spacing w:val="25"/>
          <w:w w:val="105"/>
        </w:rPr>
        <w:t> </w:t>
      </w:r>
      <w:r>
        <w:rPr>
          <w:w w:val="105"/>
        </w:rPr>
        <w:t>financial</w:t>
      </w:r>
      <w:r>
        <w:rPr>
          <w:spacing w:val="25"/>
          <w:w w:val="105"/>
        </w:rPr>
        <w:t> </w:t>
      </w:r>
      <w:r>
        <w:rPr>
          <w:w w:val="105"/>
        </w:rPr>
        <w:t>counseling</w:t>
      </w:r>
      <w:r>
        <w:rPr>
          <w:spacing w:val="25"/>
          <w:w w:val="105"/>
        </w:rPr>
        <w:t> </w:t>
      </w:r>
      <w:r>
        <w:rPr>
          <w:w w:val="105"/>
        </w:rPr>
        <w:t>expenses</w:t>
      </w:r>
      <w:r>
        <w:rPr>
          <w:spacing w:val="25"/>
          <w:w w:val="105"/>
        </w:rPr>
        <w:t> </w:t>
      </w:r>
      <w:r>
        <w:rPr>
          <w:w w:val="105"/>
        </w:rPr>
        <w:t>of up to $10,000 and other NEOs up to $7,500, which we believe helps them to concentrate on their Company</w:t>
      </w:r>
      <w:r>
        <w:rPr>
          <w:spacing w:val="40"/>
          <w:w w:val="105"/>
        </w:rPr>
        <w:t> </w:t>
      </w:r>
      <w:r>
        <w:rPr>
          <w:w w:val="105"/>
        </w:rPr>
        <w:t>responsibilities while offering a competitive benefit. In addition, all NEOs are eligible to receive</w:t>
      </w:r>
      <w:r>
        <w:rPr>
          <w:spacing w:val="40"/>
          <w:w w:val="105"/>
        </w:rPr>
        <w:t> </w:t>
      </w:r>
      <w:r>
        <w:rPr>
          <w:w w:val="105"/>
        </w:rPr>
        <w:t>reimbursement</w:t>
      </w:r>
      <w:r>
        <w:rPr>
          <w:spacing w:val="23"/>
          <w:w w:val="105"/>
        </w:rPr>
        <w:t> </w:t>
      </w:r>
      <w:r>
        <w:rPr>
          <w:w w:val="105"/>
        </w:rPr>
        <w:t>of</w:t>
      </w:r>
      <w:r>
        <w:rPr>
          <w:spacing w:val="23"/>
          <w:w w:val="105"/>
        </w:rPr>
        <w:t> </w:t>
      </w:r>
      <w:r>
        <w:rPr>
          <w:w w:val="105"/>
        </w:rPr>
        <w:t>up</w:t>
      </w:r>
      <w:r>
        <w:rPr>
          <w:spacing w:val="23"/>
          <w:w w:val="105"/>
        </w:rPr>
        <w:t> </w:t>
      </w:r>
      <w:r>
        <w:rPr>
          <w:w w:val="105"/>
        </w:rPr>
        <w:t>to</w:t>
      </w:r>
      <w:r>
        <w:rPr>
          <w:spacing w:val="23"/>
          <w:w w:val="105"/>
        </w:rPr>
        <w:t> </w:t>
      </w:r>
      <w:r>
        <w:rPr>
          <w:w w:val="105"/>
        </w:rPr>
        <w:t>$4,000</w:t>
      </w:r>
      <w:r>
        <w:rPr>
          <w:spacing w:val="23"/>
          <w:w w:val="105"/>
        </w:rPr>
        <w:t> </w:t>
      </w:r>
      <w:r>
        <w:rPr>
          <w:w w:val="105"/>
        </w:rPr>
        <w:t>for</w:t>
      </w:r>
      <w:r>
        <w:rPr>
          <w:spacing w:val="23"/>
          <w:w w:val="105"/>
        </w:rPr>
        <w:t> </w:t>
      </w:r>
      <w:r>
        <w:rPr>
          <w:w w:val="105"/>
        </w:rPr>
        <w:t>an</w:t>
      </w:r>
      <w:r>
        <w:rPr>
          <w:spacing w:val="23"/>
          <w:w w:val="105"/>
        </w:rPr>
        <w:t> </w:t>
      </w:r>
      <w:r>
        <w:rPr>
          <w:w w:val="105"/>
        </w:rPr>
        <w:t>executive</w:t>
      </w:r>
      <w:r>
        <w:rPr>
          <w:spacing w:val="23"/>
          <w:w w:val="105"/>
        </w:rPr>
        <w:t> </w:t>
      </w:r>
      <w:r>
        <w:rPr>
          <w:w w:val="105"/>
        </w:rPr>
        <w:t>physical,</w:t>
      </w:r>
      <w:r>
        <w:rPr>
          <w:spacing w:val="23"/>
          <w:w w:val="105"/>
        </w:rPr>
        <w:t> </w:t>
      </w:r>
      <w:r>
        <w:rPr>
          <w:w w:val="105"/>
        </w:rPr>
        <w:t>which</w:t>
      </w:r>
      <w:r>
        <w:rPr>
          <w:spacing w:val="23"/>
          <w:w w:val="105"/>
        </w:rPr>
        <w:t> </w:t>
      </w:r>
      <w:r>
        <w:rPr>
          <w:w w:val="105"/>
        </w:rPr>
        <w:t>we</w:t>
      </w:r>
      <w:r>
        <w:rPr>
          <w:spacing w:val="23"/>
          <w:w w:val="105"/>
        </w:rPr>
        <w:t> </w:t>
      </w:r>
      <w:r>
        <w:rPr>
          <w:w w:val="105"/>
        </w:rPr>
        <w:t>provide</w:t>
      </w:r>
      <w:r>
        <w:rPr>
          <w:spacing w:val="23"/>
          <w:w w:val="105"/>
        </w:rPr>
        <w:t> </w:t>
      </w:r>
      <w:r>
        <w:rPr>
          <w:w w:val="105"/>
        </w:rPr>
        <w:t>to</w:t>
      </w:r>
      <w:r>
        <w:rPr>
          <w:spacing w:val="23"/>
          <w:w w:val="105"/>
        </w:rPr>
        <w:t> </w:t>
      </w:r>
      <w:r>
        <w:rPr>
          <w:w w:val="105"/>
        </w:rPr>
        <w:t>help</w:t>
      </w:r>
      <w:r>
        <w:rPr>
          <w:spacing w:val="23"/>
          <w:w w:val="105"/>
        </w:rPr>
        <w:t> </w:t>
      </w:r>
      <w:r>
        <w:rPr>
          <w:w w:val="105"/>
        </w:rPr>
        <w:t>our</w:t>
      </w:r>
      <w:r>
        <w:rPr>
          <w:spacing w:val="23"/>
          <w:w w:val="105"/>
        </w:rPr>
        <w:t> </w:t>
      </w:r>
      <w:r>
        <w:rPr>
          <w:w w:val="105"/>
        </w:rPr>
        <w:t>NEOs</w:t>
      </w:r>
      <w:r>
        <w:rPr>
          <w:spacing w:val="23"/>
          <w:w w:val="105"/>
        </w:rPr>
        <w:t> </w:t>
      </w:r>
      <w:r>
        <w:rPr>
          <w:w w:val="105"/>
        </w:rPr>
        <w:t>prioritize their health, which is important to our future success.</w:t>
      </w:r>
    </w:p>
    <w:p>
      <w:pPr>
        <w:pStyle w:val="BodyText"/>
        <w:spacing w:line="259" w:lineRule="auto" w:before="154"/>
        <w:ind w:left="1400" w:right="1551" w:firstLine="372"/>
      </w:pPr>
      <w:r>
        <w:rPr>
          <w:w w:val="105"/>
        </w:rPr>
        <w:t>We do does not provide executives tax gross ups or reimbursements for any taxable income from these benefits and perquisites.</w:t>
      </w:r>
    </w:p>
    <w:p>
      <w:pPr>
        <w:pStyle w:val="BodyText"/>
        <w:spacing w:line="247" w:lineRule="auto" w:before="140"/>
        <w:ind w:left="1400" w:right="1505" w:firstLine="372"/>
      </w:pPr>
      <w:r>
        <w:rPr>
          <w:b/>
          <w:w w:val="105"/>
        </w:rPr>
        <w:t>Change</w:t>
      </w:r>
      <w:r>
        <w:rPr>
          <w:b/>
          <w:spacing w:val="-5"/>
          <w:w w:val="105"/>
        </w:rPr>
        <w:t> </w:t>
      </w:r>
      <w:r>
        <w:rPr>
          <w:b/>
          <w:w w:val="105"/>
        </w:rPr>
        <w:t>in</w:t>
      </w:r>
      <w:r>
        <w:rPr>
          <w:b/>
          <w:spacing w:val="-5"/>
          <w:w w:val="105"/>
        </w:rPr>
        <w:t> </w:t>
      </w:r>
      <w:r>
        <w:rPr>
          <w:b/>
          <w:w w:val="105"/>
        </w:rPr>
        <w:t>Control</w:t>
      </w:r>
      <w:r>
        <w:rPr>
          <w:b/>
          <w:spacing w:val="-17"/>
          <w:w w:val="105"/>
        </w:rPr>
        <w:t> </w:t>
      </w:r>
      <w:r>
        <w:rPr>
          <w:b/>
          <w:w w:val="105"/>
        </w:rPr>
        <w:t>Agreements.</w:t>
      </w:r>
      <w:r>
        <w:rPr>
          <w:b/>
          <w:spacing w:val="80"/>
          <w:w w:val="105"/>
        </w:rPr>
        <w:t> </w:t>
      </w:r>
      <w:r>
        <w:rPr>
          <w:w w:val="105"/>
        </w:rPr>
        <w:t>We currently have change-in-control agreements with all our NEOs. We entered into these agreements to attract and retain high quality executives and to ensure that executives</w:t>
      </w:r>
      <w:r>
        <w:rPr>
          <w:spacing w:val="40"/>
          <w:w w:val="105"/>
        </w:rPr>
        <w:t> </w:t>
      </w:r>
      <w:r>
        <w:rPr>
          <w:w w:val="105"/>
        </w:rPr>
        <w:t>who</w:t>
      </w:r>
      <w:r>
        <w:rPr>
          <w:spacing w:val="14"/>
          <w:w w:val="105"/>
        </w:rPr>
        <w:t> </w:t>
      </w:r>
      <w:r>
        <w:rPr>
          <w:w w:val="105"/>
        </w:rPr>
        <w:t>might</w:t>
      </w:r>
      <w:r>
        <w:rPr>
          <w:spacing w:val="14"/>
          <w:w w:val="105"/>
        </w:rPr>
        <w:t> </w:t>
      </w:r>
      <w:r>
        <w:rPr>
          <w:w w:val="105"/>
        </w:rPr>
        <w:t>be</w:t>
      </w:r>
      <w:r>
        <w:rPr>
          <w:spacing w:val="14"/>
          <w:w w:val="105"/>
        </w:rPr>
        <w:t> </w:t>
      </w:r>
      <w:r>
        <w:rPr>
          <w:w w:val="105"/>
        </w:rPr>
        <w:t>involved</w:t>
      </w:r>
      <w:r>
        <w:rPr>
          <w:spacing w:val="14"/>
          <w:w w:val="105"/>
        </w:rPr>
        <w:t> </w:t>
      </w:r>
      <w:r>
        <w:rPr>
          <w:w w:val="105"/>
        </w:rPr>
        <w:t>in</w:t>
      </w:r>
      <w:r>
        <w:rPr>
          <w:spacing w:val="14"/>
          <w:w w:val="105"/>
        </w:rPr>
        <w:t> </w:t>
      </w:r>
      <w:r>
        <w:rPr>
          <w:w w:val="105"/>
        </w:rPr>
        <w:t>acquisition</w:t>
      </w:r>
      <w:r>
        <w:rPr>
          <w:spacing w:val="14"/>
          <w:w w:val="105"/>
        </w:rPr>
        <w:t> </w:t>
      </w:r>
      <w:r>
        <w:rPr>
          <w:w w:val="105"/>
        </w:rPr>
        <w:t>or</w:t>
      </w:r>
      <w:r>
        <w:rPr>
          <w:spacing w:val="14"/>
          <w:w w:val="105"/>
        </w:rPr>
        <w:t> </w:t>
      </w:r>
      <w:r>
        <w:rPr>
          <w:w w:val="105"/>
        </w:rPr>
        <w:t>merger</w:t>
      </w:r>
      <w:r>
        <w:rPr>
          <w:spacing w:val="14"/>
          <w:w w:val="105"/>
        </w:rPr>
        <w:t> </w:t>
      </w:r>
      <w:r>
        <w:rPr>
          <w:w w:val="105"/>
        </w:rPr>
        <w:t>discussions</w:t>
      </w:r>
      <w:r>
        <w:rPr>
          <w:spacing w:val="14"/>
          <w:w w:val="105"/>
        </w:rPr>
        <w:t> </w:t>
      </w:r>
      <w:r>
        <w:rPr>
          <w:w w:val="105"/>
        </w:rPr>
        <w:t>with</w:t>
      </w:r>
      <w:r>
        <w:rPr>
          <w:spacing w:val="14"/>
          <w:w w:val="105"/>
        </w:rPr>
        <w:t> </w:t>
      </w:r>
      <w:r>
        <w:rPr>
          <w:w w:val="105"/>
        </w:rPr>
        <w:t>another</w:t>
      </w:r>
      <w:r>
        <w:rPr>
          <w:spacing w:val="14"/>
          <w:w w:val="105"/>
        </w:rPr>
        <w:t> </w:t>
      </w:r>
      <w:r>
        <w:rPr>
          <w:w w:val="105"/>
        </w:rPr>
        <w:t>entity</w:t>
      </w:r>
      <w:r>
        <w:rPr>
          <w:spacing w:val="14"/>
          <w:w w:val="105"/>
        </w:rPr>
        <w:t> </w:t>
      </w:r>
      <w:r>
        <w:rPr>
          <w:w w:val="105"/>
        </w:rPr>
        <w:t>make</w:t>
      </w:r>
      <w:r>
        <w:rPr>
          <w:spacing w:val="14"/>
          <w:w w:val="105"/>
        </w:rPr>
        <w:t> </w:t>
      </w:r>
      <w:r>
        <w:rPr>
          <w:w w:val="105"/>
        </w:rPr>
        <w:t>the</w:t>
      </w:r>
      <w:r>
        <w:rPr>
          <w:spacing w:val="14"/>
          <w:w w:val="105"/>
        </w:rPr>
        <w:t> </w:t>
      </w:r>
      <w:r>
        <w:rPr>
          <w:w w:val="105"/>
        </w:rPr>
        <w:t>best</w:t>
      </w:r>
      <w:r>
        <w:rPr>
          <w:spacing w:val="14"/>
          <w:w w:val="105"/>
        </w:rPr>
        <w:t> </w:t>
      </w:r>
      <w:r>
        <w:rPr>
          <w:w w:val="105"/>
        </w:rPr>
        <w:t>decisions</w:t>
      </w:r>
      <w:r>
        <w:rPr>
          <w:spacing w:val="14"/>
          <w:w w:val="105"/>
        </w:rPr>
        <w:t> </w:t>
      </w:r>
      <w:r>
        <w:rPr>
          <w:w w:val="105"/>
        </w:rPr>
        <w:t>for us and our stockholders and are not unduly biased by the impact of such a transaction on their personal</w:t>
      </w:r>
      <w:r>
        <w:rPr>
          <w:spacing w:val="40"/>
          <w:w w:val="105"/>
        </w:rPr>
        <w:t> </w:t>
      </w:r>
      <w:r>
        <w:rPr>
          <w:w w:val="105"/>
        </w:rPr>
        <w:t>situations. These agreements do not factor into our decisions surrounding the executive’s cash and equity </w:t>
      </w:r>
      <w:r>
        <w:rPr>
          <w:spacing w:val="-2"/>
          <w:w w:val="105"/>
        </w:rPr>
        <w:t>compensation.</w:t>
      </w:r>
    </w:p>
    <w:p>
      <w:pPr>
        <w:pStyle w:val="BodyText"/>
        <w:spacing w:line="249" w:lineRule="auto" w:before="147"/>
        <w:ind w:left="1400" w:right="1411" w:firstLine="372"/>
      </w:pPr>
      <w:r>
        <w:rPr>
          <w:w w:val="105"/>
        </w:rPr>
        <w:t>Each</w:t>
      </w:r>
      <w:r>
        <w:rPr>
          <w:spacing w:val="22"/>
          <w:w w:val="105"/>
        </w:rPr>
        <w:t> </w:t>
      </w:r>
      <w:r>
        <w:rPr>
          <w:w w:val="105"/>
        </w:rPr>
        <w:t>change</w:t>
      </w:r>
      <w:r>
        <w:rPr>
          <w:spacing w:val="22"/>
          <w:w w:val="105"/>
        </w:rPr>
        <w:t> </w:t>
      </w:r>
      <w:r>
        <w:rPr>
          <w:w w:val="105"/>
        </w:rPr>
        <w:t>in</w:t>
      </w:r>
      <w:r>
        <w:rPr>
          <w:spacing w:val="22"/>
          <w:w w:val="105"/>
        </w:rPr>
        <w:t> </w:t>
      </w:r>
      <w:r>
        <w:rPr>
          <w:w w:val="105"/>
        </w:rPr>
        <w:t>control</w:t>
      </w:r>
      <w:r>
        <w:rPr>
          <w:spacing w:val="22"/>
          <w:w w:val="105"/>
        </w:rPr>
        <w:t> </w:t>
      </w:r>
      <w:r>
        <w:rPr>
          <w:w w:val="105"/>
        </w:rPr>
        <w:t>agreement</w:t>
      </w:r>
      <w:r>
        <w:rPr>
          <w:spacing w:val="22"/>
          <w:w w:val="105"/>
        </w:rPr>
        <w:t> </w:t>
      </w:r>
      <w:r>
        <w:rPr>
          <w:w w:val="105"/>
        </w:rPr>
        <w:t>contains</w:t>
      </w:r>
      <w:r>
        <w:rPr>
          <w:spacing w:val="22"/>
          <w:w w:val="105"/>
        </w:rPr>
        <w:t> </w:t>
      </w:r>
      <w:r>
        <w:rPr>
          <w:w w:val="105"/>
        </w:rPr>
        <w:t>a</w:t>
      </w:r>
      <w:r>
        <w:rPr>
          <w:spacing w:val="22"/>
          <w:w w:val="105"/>
        </w:rPr>
        <w:t> </w:t>
      </w:r>
      <w:r>
        <w:rPr>
          <w:w w:val="105"/>
        </w:rPr>
        <w:t>“better-after-tax”</w:t>
      </w:r>
      <w:r>
        <w:rPr>
          <w:spacing w:val="22"/>
          <w:w w:val="105"/>
        </w:rPr>
        <w:t> </w:t>
      </w:r>
      <w:r>
        <w:rPr>
          <w:w w:val="105"/>
        </w:rPr>
        <w:t>provision,</w:t>
      </w:r>
      <w:r>
        <w:rPr>
          <w:spacing w:val="22"/>
          <w:w w:val="105"/>
        </w:rPr>
        <w:t> </w:t>
      </w:r>
      <w:r>
        <w:rPr>
          <w:w w:val="105"/>
        </w:rPr>
        <w:t>which</w:t>
      </w:r>
      <w:r>
        <w:rPr>
          <w:spacing w:val="22"/>
          <w:w w:val="105"/>
        </w:rPr>
        <w:t> </w:t>
      </w:r>
      <w:r>
        <w:rPr>
          <w:w w:val="105"/>
        </w:rPr>
        <w:t>provides</w:t>
      </w:r>
      <w:r>
        <w:rPr>
          <w:spacing w:val="22"/>
          <w:w w:val="105"/>
        </w:rPr>
        <w:t> </w:t>
      </w:r>
      <w:r>
        <w:rPr>
          <w:w w:val="105"/>
        </w:rPr>
        <w:t>that</w:t>
      </w:r>
      <w:r>
        <w:rPr>
          <w:spacing w:val="22"/>
          <w:w w:val="105"/>
        </w:rPr>
        <w:t> </w:t>
      </w:r>
      <w:r>
        <w:rPr>
          <w:w w:val="105"/>
        </w:rPr>
        <w:t>if</w:t>
      </w:r>
      <w:r>
        <w:rPr>
          <w:spacing w:val="22"/>
          <w:w w:val="105"/>
        </w:rPr>
        <w:t> </w:t>
      </w:r>
      <w:r>
        <w:rPr>
          <w:w w:val="105"/>
        </w:rPr>
        <w:t>any</w:t>
      </w:r>
      <w:r>
        <w:rPr>
          <w:spacing w:val="22"/>
          <w:w w:val="105"/>
        </w:rPr>
        <w:t> </w:t>
      </w:r>
      <w:r>
        <w:rPr>
          <w:w w:val="105"/>
        </w:rPr>
        <w:t>of the</w:t>
      </w:r>
      <w:r>
        <w:rPr>
          <w:spacing w:val="24"/>
          <w:w w:val="105"/>
        </w:rPr>
        <w:t> </w:t>
      </w:r>
      <w:r>
        <w:rPr>
          <w:w w:val="105"/>
        </w:rPr>
        <w:t>payments</w:t>
      </w:r>
      <w:r>
        <w:rPr>
          <w:spacing w:val="24"/>
          <w:w w:val="105"/>
        </w:rPr>
        <w:t> </w:t>
      </w:r>
      <w:r>
        <w:rPr>
          <w:w w:val="105"/>
        </w:rPr>
        <w:t>to</w:t>
      </w:r>
      <w:r>
        <w:rPr>
          <w:spacing w:val="24"/>
          <w:w w:val="105"/>
        </w:rPr>
        <w:t> </w:t>
      </w:r>
      <w:r>
        <w:rPr>
          <w:w w:val="105"/>
        </w:rPr>
        <w:t>the</w:t>
      </w:r>
      <w:r>
        <w:rPr>
          <w:spacing w:val="24"/>
          <w:w w:val="105"/>
        </w:rPr>
        <w:t> </w:t>
      </w:r>
      <w:r>
        <w:rPr>
          <w:w w:val="105"/>
        </w:rPr>
        <w:t>executive</w:t>
      </w:r>
      <w:r>
        <w:rPr>
          <w:spacing w:val="24"/>
          <w:w w:val="105"/>
        </w:rPr>
        <w:t> </w:t>
      </w:r>
      <w:r>
        <w:rPr>
          <w:w w:val="105"/>
        </w:rPr>
        <w:t>constitutes</w:t>
      </w:r>
      <w:r>
        <w:rPr>
          <w:spacing w:val="24"/>
          <w:w w:val="105"/>
        </w:rPr>
        <w:t> </w:t>
      </w:r>
      <w:r>
        <w:rPr>
          <w:w w:val="105"/>
        </w:rPr>
        <w:t>a</w:t>
      </w:r>
      <w:r>
        <w:rPr>
          <w:spacing w:val="24"/>
          <w:w w:val="105"/>
        </w:rPr>
        <w:t> </w:t>
      </w:r>
      <w:r>
        <w:rPr>
          <w:w w:val="105"/>
        </w:rPr>
        <w:t>parachute</w:t>
      </w:r>
      <w:r>
        <w:rPr>
          <w:spacing w:val="24"/>
          <w:w w:val="105"/>
        </w:rPr>
        <w:t> </w:t>
      </w:r>
      <w:r>
        <w:rPr>
          <w:w w:val="105"/>
        </w:rPr>
        <w:t>payment</w:t>
      </w:r>
      <w:r>
        <w:rPr>
          <w:spacing w:val="24"/>
          <w:w w:val="105"/>
        </w:rPr>
        <w:t> </w:t>
      </w:r>
      <w:r>
        <w:rPr>
          <w:w w:val="105"/>
        </w:rPr>
        <w:t>under</w:t>
      </w:r>
      <w:r>
        <w:rPr>
          <w:spacing w:val="24"/>
          <w:w w:val="105"/>
        </w:rPr>
        <w:t> </w:t>
      </w:r>
      <w:r>
        <w:rPr>
          <w:w w:val="105"/>
        </w:rPr>
        <w:t>Section</w:t>
      </w:r>
      <w:r>
        <w:rPr>
          <w:spacing w:val="24"/>
          <w:w w:val="105"/>
        </w:rPr>
        <w:t> </w:t>
      </w:r>
      <w:r>
        <w:rPr>
          <w:w w:val="105"/>
        </w:rPr>
        <w:t>280G</w:t>
      </w:r>
      <w:r>
        <w:rPr>
          <w:spacing w:val="24"/>
          <w:w w:val="105"/>
        </w:rPr>
        <w:t> </w:t>
      </w:r>
      <w:r>
        <w:rPr>
          <w:w w:val="105"/>
        </w:rPr>
        <w:t>of</w:t>
      </w:r>
      <w:r>
        <w:rPr>
          <w:spacing w:val="24"/>
          <w:w w:val="105"/>
        </w:rPr>
        <w:t> </w:t>
      </w:r>
      <w:r>
        <w:rPr>
          <w:w w:val="105"/>
        </w:rPr>
        <w:t>the</w:t>
      </w:r>
      <w:r>
        <w:rPr>
          <w:spacing w:val="24"/>
          <w:w w:val="105"/>
        </w:rPr>
        <w:t> </w:t>
      </w:r>
      <w:r>
        <w:rPr>
          <w:w w:val="105"/>
        </w:rPr>
        <w:t>Code,</w:t>
      </w:r>
      <w:r>
        <w:rPr>
          <w:spacing w:val="24"/>
          <w:w w:val="105"/>
        </w:rPr>
        <w:t> </w:t>
      </w:r>
      <w:r>
        <w:rPr>
          <w:w w:val="105"/>
        </w:rPr>
        <w:t>the payments</w:t>
      </w:r>
      <w:r>
        <w:rPr>
          <w:spacing w:val="22"/>
          <w:w w:val="105"/>
        </w:rPr>
        <w:t> </w:t>
      </w:r>
      <w:r>
        <w:rPr>
          <w:w w:val="105"/>
        </w:rPr>
        <w:t>will</w:t>
      </w:r>
      <w:r>
        <w:rPr>
          <w:spacing w:val="22"/>
          <w:w w:val="105"/>
        </w:rPr>
        <w:t> </w:t>
      </w:r>
      <w:r>
        <w:rPr>
          <w:w w:val="105"/>
        </w:rPr>
        <w:t>either</w:t>
      </w:r>
      <w:r>
        <w:rPr>
          <w:spacing w:val="22"/>
          <w:w w:val="105"/>
        </w:rPr>
        <w:t> </w:t>
      </w:r>
      <w:r>
        <w:rPr>
          <w:w w:val="105"/>
        </w:rPr>
        <w:t>be</w:t>
      </w:r>
      <w:r>
        <w:rPr>
          <w:spacing w:val="22"/>
          <w:w w:val="105"/>
        </w:rPr>
        <w:t> </w:t>
      </w:r>
      <w:r>
        <w:rPr>
          <w:w w:val="105"/>
        </w:rPr>
        <w:t>(i)</w:t>
      </w:r>
      <w:r>
        <w:rPr>
          <w:spacing w:val="22"/>
          <w:w w:val="105"/>
        </w:rPr>
        <w:t> </w:t>
      </w:r>
      <w:r>
        <w:rPr>
          <w:w w:val="105"/>
        </w:rPr>
        <w:t>reduced</w:t>
      </w:r>
      <w:r>
        <w:rPr>
          <w:spacing w:val="22"/>
          <w:w w:val="105"/>
        </w:rPr>
        <w:t> </w:t>
      </w:r>
      <w:r>
        <w:rPr>
          <w:w w:val="105"/>
        </w:rPr>
        <w:t>or</w:t>
      </w:r>
      <w:r>
        <w:rPr>
          <w:spacing w:val="22"/>
          <w:w w:val="105"/>
        </w:rPr>
        <w:t> </w:t>
      </w:r>
      <w:r>
        <w:rPr>
          <w:w w:val="105"/>
        </w:rPr>
        <w:t>(ii)</w:t>
      </w:r>
      <w:r>
        <w:rPr>
          <w:spacing w:val="22"/>
          <w:w w:val="105"/>
        </w:rPr>
        <w:t> </w:t>
      </w:r>
      <w:r>
        <w:rPr>
          <w:w w:val="105"/>
        </w:rPr>
        <w:t>provided</w:t>
      </w:r>
      <w:r>
        <w:rPr>
          <w:spacing w:val="22"/>
          <w:w w:val="105"/>
        </w:rPr>
        <w:t> </w:t>
      </w:r>
      <w:r>
        <w:rPr>
          <w:w w:val="105"/>
        </w:rPr>
        <w:t>in</w:t>
      </w:r>
      <w:r>
        <w:rPr>
          <w:spacing w:val="22"/>
          <w:w w:val="105"/>
        </w:rPr>
        <w:t> </w:t>
      </w:r>
      <w:r>
        <w:rPr>
          <w:w w:val="105"/>
        </w:rPr>
        <w:t>full</w:t>
      </w:r>
      <w:r>
        <w:rPr>
          <w:spacing w:val="22"/>
          <w:w w:val="105"/>
        </w:rPr>
        <w:t> </w:t>
      </w:r>
      <w:r>
        <w:rPr>
          <w:w w:val="105"/>
        </w:rPr>
        <w:t>to</w:t>
      </w:r>
      <w:r>
        <w:rPr>
          <w:spacing w:val="22"/>
          <w:w w:val="105"/>
        </w:rPr>
        <w:t> </w:t>
      </w:r>
      <w:r>
        <w:rPr>
          <w:w w:val="105"/>
        </w:rPr>
        <w:t>the</w:t>
      </w:r>
      <w:r>
        <w:rPr>
          <w:spacing w:val="22"/>
          <w:w w:val="105"/>
        </w:rPr>
        <w:t> </w:t>
      </w:r>
      <w:r>
        <w:rPr>
          <w:w w:val="105"/>
        </w:rPr>
        <w:t>executive,</w:t>
      </w:r>
      <w:r>
        <w:rPr>
          <w:spacing w:val="22"/>
          <w:w w:val="105"/>
        </w:rPr>
        <w:t> </w:t>
      </w:r>
      <w:r>
        <w:rPr>
          <w:w w:val="105"/>
        </w:rPr>
        <w:t>whichever</w:t>
      </w:r>
      <w:r>
        <w:rPr>
          <w:spacing w:val="22"/>
          <w:w w:val="105"/>
        </w:rPr>
        <w:t> </w:t>
      </w:r>
      <w:r>
        <w:rPr>
          <w:w w:val="105"/>
        </w:rPr>
        <w:t>results</w:t>
      </w:r>
      <w:r>
        <w:rPr>
          <w:spacing w:val="22"/>
          <w:w w:val="105"/>
        </w:rPr>
        <w:t> </w:t>
      </w:r>
      <w:r>
        <w:rPr>
          <w:w w:val="105"/>
        </w:rPr>
        <w:t>in</w:t>
      </w:r>
      <w:r>
        <w:rPr>
          <w:spacing w:val="22"/>
          <w:w w:val="105"/>
        </w:rPr>
        <w:t> </w:t>
      </w:r>
      <w:r>
        <w:rPr>
          <w:w w:val="105"/>
        </w:rPr>
        <w:t>the</w:t>
      </w:r>
      <w:r>
        <w:rPr>
          <w:w w:val="105"/>
        </w:rPr>
        <w:t> executive receiving the greater amount after taking into consideration the payment of all taxes, including the</w:t>
      </w:r>
      <w:r>
        <w:rPr>
          <w:spacing w:val="40"/>
          <w:w w:val="105"/>
        </w:rPr>
        <w:t> </w:t>
      </w:r>
      <w:r>
        <w:rPr>
          <w:w w:val="105"/>
        </w:rPr>
        <w:t>excise tax under Section 4999 of the Code. The agreements do not include tax gross up payments for excise</w:t>
      </w:r>
      <w:r>
        <w:rPr>
          <w:spacing w:val="40"/>
          <w:w w:val="105"/>
        </w:rPr>
        <w:t> </w:t>
      </w:r>
      <w:r>
        <w:rPr>
          <w:w w:val="105"/>
        </w:rPr>
        <w:t>taxes imposed by Section 4999 of the Code.</w:t>
      </w:r>
    </w:p>
    <w:p>
      <w:pPr>
        <w:pStyle w:val="BodyText"/>
        <w:spacing w:line="247" w:lineRule="auto" w:before="148"/>
        <w:ind w:left="1400" w:right="1680" w:firstLine="372"/>
      </w:pPr>
      <w:r>
        <w:rPr>
          <w:w w:val="105"/>
        </w:rPr>
        <w:t>The change in control agreements are intended to provide an appropriate level of compensation for a</w:t>
      </w:r>
      <w:r>
        <w:rPr>
          <w:spacing w:val="40"/>
          <w:w w:val="105"/>
        </w:rPr>
        <w:t> </w:t>
      </w:r>
      <w:r>
        <w:rPr>
          <w:w w:val="105"/>
        </w:rPr>
        <w:t>specified time interval for executives who would likely be involved in activities regarding a change in</w:t>
      </w:r>
      <w:r>
        <w:rPr>
          <w:spacing w:val="40"/>
          <w:w w:val="105"/>
        </w:rPr>
        <w:t> </w:t>
      </w:r>
      <w:r>
        <w:rPr>
          <w:w w:val="105"/>
        </w:rPr>
        <w:t>control and are personally at risk for job loss in the event of a change in control. Our change in control</w:t>
      </w:r>
      <w:r>
        <w:rPr>
          <w:spacing w:val="40"/>
          <w:w w:val="105"/>
        </w:rPr>
        <w:t> </w:t>
      </w:r>
      <w:r>
        <w:rPr>
          <w:w w:val="105"/>
        </w:rPr>
        <w:t>agreements are “double trigger” meaning that to receive benefits under the agreements there must be a</w:t>
      </w:r>
      <w:r>
        <w:rPr>
          <w:spacing w:val="40"/>
          <w:w w:val="105"/>
        </w:rPr>
        <w:t> </w:t>
      </w:r>
      <w:r>
        <w:rPr>
          <w:w w:val="105"/>
        </w:rPr>
        <w:t>change in control event and the executive must either:</w:t>
      </w:r>
    </w:p>
    <w:p>
      <w:pPr>
        <w:pStyle w:val="ListParagraph"/>
        <w:numPr>
          <w:ilvl w:val="0"/>
          <w:numId w:val="28"/>
        </w:numPr>
        <w:tabs>
          <w:tab w:pos="2146" w:val="left" w:leader="none"/>
        </w:tabs>
        <w:spacing w:line="259" w:lineRule="auto" w:before="137" w:after="0"/>
        <w:ind w:left="2145" w:right="1710" w:hanging="373"/>
        <w:jc w:val="left"/>
        <w:rPr>
          <w:sz w:val="18"/>
        </w:rPr>
      </w:pPr>
      <w:r>
        <w:rPr>
          <w:w w:val="105"/>
          <w:sz w:val="18"/>
        </w:rPr>
        <w:t>Be terminated by us or the successor company without cause within a specified time interval in connection with a change in control, or</w:t>
      </w:r>
    </w:p>
    <w:p>
      <w:pPr>
        <w:pStyle w:val="ListParagraph"/>
        <w:numPr>
          <w:ilvl w:val="0"/>
          <w:numId w:val="28"/>
        </w:numPr>
        <w:tabs>
          <w:tab w:pos="2146" w:val="left" w:leader="none"/>
        </w:tabs>
        <w:spacing w:line="259" w:lineRule="auto" w:before="126" w:after="0"/>
        <w:ind w:left="2145" w:right="1859" w:hanging="373"/>
        <w:jc w:val="left"/>
        <w:rPr>
          <w:sz w:val="18"/>
        </w:rPr>
      </w:pPr>
      <w:r>
        <w:rPr>
          <w:w w:val="105"/>
          <w:sz w:val="18"/>
        </w:rPr>
        <w:t>Terminate employment for good reason, as defined in the agreements, within a specified time interval in connection with a change in control.</w:t>
      </w:r>
    </w:p>
    <w:p>
      <w:pPr>
        <w:pStyle w:val="BodyText"/>
        <w:spacing w:line="252" w:lineRule="auto" w:before="154"/>
        <w:ind w:left="1400" w:right="1551" w:firstLine="372"/>
      </w:pPr>
      <w:r>
        <w:rPr>
          <w:w w:val="105"/>
        </w:rPr>
        <w:t>For more information about the agreements as well as a tabular summary of the potential payments that</w:t>
      </w:r>
      <w:r>
        <w:rPr>
          <w:spacing w:val="40"/>
          <w:w w:val="105"/>
        </w:rPr>
        <w:t> </w:t>
      </w:r>
      <w:r>
        <w:rPr>
          <w:w w:val="105"/>
        </w:rPr>
        <w:t>may be made to our NEOs, please refer to “— Potential Payments upon Termination or Change in Control” </w:t>
      </w:r>
      <w:r>
        <w:rPr>
          <w:spacing w:val="-2"/>
          <w:w w:val="105"/>
        </w:rPr>
        <w:t>below.</w:t>
      </w:r>
    </w:p>
    <w:p>
      <w:pPr>
        <w:spacing w:after="0" w:line="252" w:lineRule="auto"/>
        <w:sectPr>
          <w:pgSz w:w="12240" w:h="15840"/>
          <w:pgMar w:header="529" w:footer="1330" w:top="720" w:bottom="1520" w:left="480" w:right="460"/>
        </w:sectPr>
      </w:pPr>
    </w:p>
    <w:p>
      <w:pPr>
        <w:pStyle w:val="BodyText"/>
        <w:rPr>
          <w:sz w:val="20"/>
        </w:rPr>
      </w:pPr>
    </w:p>
    <w:p>
      <w:pPr>
        <w:pStyle w:val="BodyText"/>
        <w:rPr>
          <w:sz w:val="20"/>
        </w:rPr>
      </w:pPr>
    </w:p>
    <w:p>
      <w:pPr>
        <w:pStyle w:val="BodyText"/>
        <w:spacing w:before="2"/>
        <w:rPr>
          <w:sz w:val="27"/>
        </w:rPr>
      </w:pPr>
    </w:p>
    <w:p>
      <w:pPr>
        <w:pStyle w:val="Heading2"/>
        <w:spacing w:before="98"/>
      </w:pPr>
      <w:bookmarkStart w:name="_TOC_250010" w:id="33"/>
      <w:r>
        <w:rPr>
          <w:spacing w:val="-2"/>
        </w:rPr>
        <w:t>Executive</w:t>
      </w:r>
      <w:r>
        <w:rPr>
          <w:spacing w:val="5"/>
        </w:rPr>
        <w:t> </w:t>
      </w:r>
      <w:r>
        <w:rPr>
          <w:spacing w:val="-2"/>
        </w:rPr>
        <w:t>Compensation</w:t>
      </w:r>
      <w:r>
        <w:rPr>
          <w:spacing w:val="5"/>
        </w:rPr>
        <w:t> </w:t>
      </w:r>
      <w:r>
        <w:rPr>
          <w:spacing w:val="-2"/>
        </w:rPr>
        <w:t>Governance</w:t>
      </w:r>
      <w:r>
        <w:rPr>
          <w:spacing w:val="5"/>
        </w:rPr>
        <w:t> </w:t>
      </w:r>
      <w:bookmarkEnd w:id="33"/>
      <w:r>
        <w:rPr>
          <w:spacing w:val="-2"/>
        </w:rPr>
        <w:t>Policies</w:t>
      </w:r>
    </w:p>
    <w:p>
      <w:pPr>
        <w:pStyle w:val="BodyText"/>
        <w:spacing w:line="247" w:lineRule="auto" w:before="171"/>
        <w:ind w:left="1400" w:right="1551" w:firstLine="372"/>
      </w:pPr>
      <w:r>
        <w:rPr>
          <w:b/>
          <w:w w:val="105"/>
        </w:rPr>
        <w:t>Stock</w:t>
      </w:r>
      <w:r>
        <w:rPr>
          <w:b/>
          <w:spacing w:val="-4"/>
          <w:w w:val="105"/>
        </w:rPr>
        <w:t> </w:t>
      </w:r>
      <w:r>
        <w:rPr>
          <w:b/>
          <w:w w:val="105"/>
        </w:rPr>
        <w:t>Ownership</w:t>
      </w:r>
      <w:r>
        <w:rPr>
          <w:b/>
          <w:spacing w:val="-4"/>
          <w:w w:val="105"/>
        </w:rPr>
        <w:t> </w:t>
      </w:r>
      <w:r>
        <w:rPr>
          <w:b/>
          <w:w w:val="105"/>
        </w:rPr>
        <w:t>Guidelines.</w:t>
      </w:r>
      <w:r>
        <w:rPr>
          <w:b/>
          <w:spacing w:val="80"/>
          <w:w w:val="105"/>
        </w:rPr>
        <w:t> </w:t>
      </w:r>
      <w:r>
        <w:rPr>
          <w:w w:val="105"/>
        </w:rPr>
        <w:t>As noted above, a core element of our compensation philosophy is to align the interests of executive officers with those of stockholders by providing appropriate long-term</w:t>
      </w:r>
      <w:r>
        <w:rPr>
          <w:spacing w:val="40"/>
          <w:w w:val="105"/>
        </w:rPr>
        <w:t> </w:t>
      </w:r>
      <w:r>
        <w:rPr>
          <w:w w:val="105"/>
        </w:rPr>
        <w:t>incentives. To further this goal, we maintain stock ownership guidelines denominated as a multiple of base salary. The guidelines are reviewed annually and revised as appropriate to keep pace with competitive and good</w:t>
      </w:r>
      <w:r>
        <w:rPr>
          <w:spacing w:val="25"/>
          <w:w w:val="105"/>
        </w:rPr>
        <w:t> </w:t>
      </w:r>
      <w:r>
        <w:rPr>
          <w:w w:val="105"/>
        </w:rPr>
        <w:t>governance</w:t>
      </w:r>
      <w:r>
        <w:rPr>
          <w:spacing w:val="25"/>
          <w:w w:val="105"/>
        </w:rPr>
        <w:t> </w:t>
      </w:r>
      <w:r>
        <w:rPr>
          <w:w w:val="105"/>
        </w:rPr>
        <w:t>practices. The</w:t>
      </w:r>
      <w:r>
        <w:rPr>
          <w:spacing w:val="25"/>
          <w:w w:val="105"/>
        </w:rPr>
        <w:t> </w:t>
      </w:r>
      <w:r>
        <w:rPr>
          <w:w w:val="105"/>
        </w:rPr>
        <w:t>multiples</w:t>
      </w:r>
      <w:r>
        <w:rPr>
          <w:spacing w:val="25"/>
          <w:w w:val="105"/>
        </w:rPr>
        <w:t> </w:t>
      </w:r>
      <w:r>
        <w:rPr>
          <w:w w:val="105"/>
        </w:rPr>
        <w:t>are</w:t>
      </w:r>
      <w:r>
        <w:rPr>
          <w:spacing w:val="25"/>
          <w:w w:val="105"/>
        </w:rPr>
        <w:t> </w:t>
      </w:r>
      <w:r>
        <w:rPr>
          <w:w w:val="105"/>
        </w:rPr>
        <w:t>set</w:t>
      </w:r>
      <w:r>
        <w:rPr>
          <w:spacing w:val="25"/>
          <w:w w:val="105"/>
        </w:rPr>
        <w:t> </w:t>
      </w:r>
      <w:r>
        <w:rPr>
          <w:w w:val="105"/>
        </w:rPr>
        <w:t>based</w:t>
      </w:r>
      <w:r>
        <w:rPr>
          <w:spacing w:val="25"/>
          <w:w w:val="105"/>
        </w:rPr>
        <w:t> </w:t>
      </w:r>
      <w:r>
        <w:rPr>
          <w:w w:val="105"/>
        </w:rPr>
        <w:t>upon</w:t>
      </w:r>
      <w:r>
        <w:rPr>
          <w:spacing w:val="25"/>
          <w:w w:val="105"/>
        </w:rPr>
        <w:t> </w:t>
      </w:r>
      <w:r>
        <w:rPr>
          <w:w w:val="105"/>
        </w:rPr>
        <w:t>each</w:t>
      </w:r>
      <w:r>
        <w:rPr>
          <w:spacing w:val="25"/>
          <w:w w:val="105"/>
        </w:rPr>
        <w:t> </w:t>
      </w:r>
      <w:r>
        <w:rPr>
          <w:w w:val="105"/>
        </w:rPr>
        <w:t>officer’s</w:t>
      </w:r>
      <w:r>
        <w:rPr>
          <w:spacing w:val="25"/>
          <w:w w:val="105"/>
        </w:rPr>
        <w:t> </w:t>
      </w:r>
      <w:r>
        <w:rPr>
          <w:w w:val="105"/>
        </w:rPr>
        <w:t>position,</w:t>
      </w:r>
      <w:r>
        <w:rPr>
          <w:spacing w:val="25"/>
          <w:w w:val="105"/>
        </w:rPr>
        <w:t> </w:t>
      </w:r>
      <w:r>
        <w:rPr>
          <w:w w:val="105"/>
        </w:rPr>
        <w:t>as</w:t>
      </w:r>
      <w:r>
        <w:rPr>
          <w:spacing w:val="25"/>
          <w:w w:val="105"/>
        </w:rPr>
        <w:t> </w:t>
      </w:r>
      <w:r>
        <w:rPr>
          <w:w w:val="105"/>
        </w:rPr>
        <w:t>set</w:t>
      </w:r>
      <w:r>
        <w:rPr>
          <w:spacing w:val="25"/>
          <w:w w:val="105"/>
        </w:rPr>
        <w:t> </w:t>
      </w:r>
      <w:r>
        <w:rPr>
          <w:w w:val="105"/>
        </w:rPr>
        <w:t>forth</w:t>
      </w:r>
      <w:r>
        <w:rPr>
          <w:spacing w:val="25"/>
          <w:w w:val="105"/>
        </w:rPr>
        <w:t> </w:t>
      </w:r>
      <w:r>
        <w:rPr>
          <w:w w:val="105"/>
        </w:rPr>
        <w:t>below:</w:t>
      </w:r>
    </w:p>
    <w:p>
      <w:pPr>
        <w:spacing w:after="0" w:line="247" w:lineRule="auto"/>
        <w:sectPr>
          <w:headerReference w:type="default" r:id="rId133"/>
          <w:footerReference w:type="default" r:id="rId134"/>
          <w:pgSz w:w="12240" w:h="15840"/>
          <w:pgMar w:header="529" w:footer="1092" w:top="720" w:bottom="1280" w:left="480" w:right="460"/>
        </w:sectPr>
      </w:pPr>
    </w:p>
    <w:p>
      <w:pPr>
        <w:pStyle w:val="BodyText"/>
        <w:rPr>
          <w:sz w:val="16"/>
        </w:rPr>
      </w:pPr>
    </w:p>
    <w:p>
      <w:pPr>
        <w:pStyle w:val="BodyText"/>
        <w:spacing w:before="1"/>
        <w:rPr>
          <w:sz w:val="14"/>
        </w:rPr>
      </w:pPr>
    </w:p>
    <w:p>
      <w:pPr>
        <w:spacing w:before="0"/>
        <w:ind w:left="0" w:right="38" w:firstLine="0"/>
        <w:jc w:val="right"/>
        <w:rPr>
          <w:b/>
          <w:sz w:val="15"/>
        </w:rPr>
      </w:pPr>
      <w:r>
        <w:rPr>
          <w:b/>
          <w:spacing w:val="-2"/>
          <w:sz w:val="15"/>
        </w:rPr>
        <w:t>Position</w:t>
      </w:r>
    </w:p>
    <w:p>
      <w:pPr>
        <w:spacing w:line="240" w:lineRule="auto" w:before="10"/>
        <w:rPr>
          <w:b/>
          <w:sz w:val="15"/>
        </w:rPr>
      </w:pPr>
      <w:r>
        <w:rPr/>
        <w:br w:type="column"/>
      </w:r>
      <w:r>
        <w:rPr>
          <w:b/>
          <w:sz w:val="15"/>
        </w:rPr>
      </w:r>
    </w:p>
    <w:p>
      <w:pPr>
        <w:spacing w:line="232" w:lineRule="auto" w:before="0"/>
        <w:ind w:left="1772" w:right="1792" w:hanging="1"/>
        <w:jc w:val="center"/>
        <w:rPr>
          <w:b/>
          <w:sz w:val="15"/>
        </w:rPr>
      </w:pPr>
      <w:r>
        <w:rPr>
          <w:b/>
          <w:sz w:val="15"/>
        </w:rPr>
        <w:t>Stock</w:t>
      </w:r>
      <w:r>
        <w:rPr>
          <w:b/>
          <w:spacing w:val="-10"/>
          <w:sz w:val="15"/>
        </w:rPr>
        <w:t> </w:t>
      </w:r>
      <w:r>
        <w:rPr>
          <w:b/>
          <w:sz w:val="15"/>
        </w:rPr>
        <w:t>Ownership</w:t>
      </w:r>
      <w:r>
        <w:rPr>
          <w:b/>
          <w:spacing w:val="40"/>
          <w:sz w:val="15"/>
        </w:rPr>
        <w:t> </w:t>
      </w:r>
      <w:r>
        <w:rPr>
          <w:b/>
          <w:spacing w:val="-4"/>
          <w:sz w:val="15"/>
        </w:rPr>
        <w:t>Multiple</w:t>
      </w:r>
      <w:r>
        <w:rPr>
          <w:b/>
          <w:spacing w:val="-3"/>
          <w:sz w:val="15"/>
        </w:rPr>
        <w:t> </w:t>
      </w:r>
      <w:r>
        <w:rPr>
          <w:b/>
          <w:spacing w:val="-4"/>
          <w:sz w:val="15"/>
        </w:rPr>
        <w:t>of</w:t>
      </w:r>
      <w:r>
        <w:rPr>
          <w:b/>
          <w:spacing w:val="-2"/>
          <w:sz w:val="15"/>
        </w:rPr>
        <w:t> </w:t>
      </w:r>
      <w:r>
        <w:rPr>
          <w:b/>
          <w:spacing w:val="-5"/>
          <w:sz w:val="15"/>
        </w:rPr>
        <w:t>Salary</w:t>
      </w:r>
    </w:p>
    <w:p>
      <w:pPr>
        <w:spacing w:after="0" w:line="232" w:lineRule="auto"/>
        <w:jc w:val="center"/>
        <w:rPr>
          <w:sz w:val="15"/>
        </w:rPr>
        <w:sectPr>
          <w:type w:val="continuous"/>
          <w:pgSz w:w="12240" w:h="15840"/>
          <w:pgMar w:header="529" w:footer="1092" w:top="600" w:bottom="960" w:left="480" w:right="460"/>
          <w:cols w:num="2" w:equalWidth="0">
            <w:col w:w="2306" w:space="4319"/>
            <w:col w:w="4675"/>
          </w:cols>
        </w:sectPr>
      </w:pPr>
    </w:p>
    <w:p>
      <w:pPr>
        <w:pStyle w:val="BodyText"/>
        <w:spacing w:before="5"/>
        <w:rPr>
          <w:b/>
          <w:sz w:val="4"/>
        </w:rPr>
      </w:pPr>
      <w:r>
        <w:rPr/>
        <w:pict>
          <v:group style="position:absolute;margin-left:28.999998pt;margin-top:758.745239pt;width:555pt;height:1.4pt;mso-position-horizontal-relative:page;mso-position-vertical-relative:page;z-index:15775744" id="docshapegroup324" coordorigin="580,15175" coordsize="11100,28">
            <v:rect style="position:absolute;left:580;top:15174;width:11100;height:14" id="docshape325" filled="true" fillcolor="#999999" stroked="false">
              <v:fill type="solid"/>
            </v:rect>
            <v:shape style="position:absolute;left:579;top:15174;width:11100;height:28" id="docshape326" coordorigin="580,15175" coordsize="11100,28" path="m11680,15175l11666,15189,580,15189,580,15203,11666,15203,11680,15203,11680,15189,11680,15175xe" filled="true" fillcolor="#ededed" stroked="false">
              <v:path arrowok="t"/>
              <v:fill type="solid"/>
            </v:shape>
            <v:shape style="position:absolute;left:580;top:15174;width:14;height:28" id="docshape327" coordorigin="580,15175" coordsize="14,28" path="m580,15203l580,15175,594,15175,594,15189,580,15203xe" filled="true" fillcolor="#999999" stroked="false">
              <v:path arrowok="t"/>
              <v:fill type="solid"/>
            </v:shape>
            <w10:wrap type="none"/>
          </v:group>
        </w:pict>
      </w:r>
    </w:p>
    <w:p>
      <w:pPr>
        <w:tabs>
          <w:tab w:pos="8376" w:val="left" w:leader="none"/>
        </w:tabs>
        <w:spacing w:line="20" w:lineRule="exact"/>
        <w:ind w:left="1777" w:right="0" w:firstLine="0"/>
        <w:rPr>
          <w:sz w:val="2"/>
        </w:rPr>
      </w:pPr>
      <w:r>
        <w:rPr>
          <w:sz w:val="2"/>
        </w:rPr>
        <w:pict>
          <v:group style="width:318.75pt;height:.7pt;mso-position-horizontal-relative:char;mso-position-vertical-relative:line" id="docshapegroup328" coordorigin="0,0" coordsize="6375,14">
            <v:rect style="position:absolute;left:0;top:0;width:6375;height:14" id="docshape329" filled="true" fillcolor="#000000" stroked="false">
              <v:fill type="solid"/>
            </v:rect>
          </v:group>
        </w:pict>
      </w:r>
      <w:r>
        <w:rPr>
          <w:sz w:val="2"/>
        </w:rPr>
      </w:r>
      <w:r>
        <w:rPr>
          <w:sz w:val="2"/>
        </w:rPr>
        <w:tab/>
      </w:r>
      <w:r>
        <w:rPr>
          <w:sz w:val="2"/>
        </w:rPr>
        <w:pict>
          <v:group style="width:57.35pt;height:.7pt;mso-position-horizontal-relative:char;mso-position-vertical-relative:line" id="docshapegroup330" coordorigin="0,0" coordsize="1147,14">
            <v:shape style="position:absolute;left:0;top:0;width:1147;height:14" id="docshape331" coordorigin="0,0" coordsize="1147,14" path="m1146,0l671,0,475,0,0,0,0,14,475,14,671,14,1146,14,1146,0xe" filled="true" fillcolor="#000000" stroked="false">
              <v:path arrowok="t"/>
              <v:fill type="solid"/>
            </v:shape>
          </v:group>
        </w:pict>
      </w:r>
      <w:r>
        <w:rPr>
          <w:sz w:val="2"/>
        </w:rPr>
      </w:r>
    </w:p>
    <w:p>
      <w:pPr>
        <w:pStyle w:val="BodyText"/>
        <w:tabs>
          <w:tab w:pos="8856" w:val="left" w:leader="none"/>
        </w:tabs>
        <w:spacing w:before="36"/>
        <w:ind w:left="1772"/>
      </w:pPr>
      <w:r>
        <w:rPr>
          <w:spacing w:val="-5"/>
          <w:w w:val="105"/>
        </w:rPr>
        <w:t>CEO</w:t>
      </w:r>
      <w:r>
        <w:rPr/>
        <w:tab/>
      </w:r>
      <w:r>
        <w:rPr>
          <w:spacing w:val="-5"/>
          <w:w w:val="105"/>
        </w:rPr>
        <w:t>6x</w:t>
      </w:r>
    </w:p>
    <w:p>
      <w:pPr>
        <w:pStyle w:val="BodyText"/>
        <w:tabs>
          <w:tab w:pos="8856" w:val="left" w:leader="none"/>
        </w:tabs>
        <w:spacing w:before="73"/>
        <w:ind w:left="1772"/>
      </w:pPr>
      <w:r>
        <w:rPr>
          <w:spacing w:val="-5"/>
          <w:w w:val="105"/>
        </w:rPr>
        <w:t>CFO</w:t>
      </w:r>
      <w:r>
        <w:rPr/>
        <w:tab/>
      </w:r>
      <w:r>
        <w:rPr>
          <w:spacing w:val="-5"/>
          <w:w w:val="105"/>
        </w:rPr>
        <w:t>3x</w:t>
      </w:r>
    </w:p>
    <w:p>
      <w:pPr>
        <w:pStyle w:val="BodyText"/>
        <w:tabs>
          <w:tab w:pos="8856" w:val="left" w:leader="none"/>
        </w:tabs>
        <w:spacing w:before="72"/>
        <w:ind w:left="1772"/>
      </w:pPr>
      <w:r>
        <w:rPr>
          <w:w w:val="105"/>
        </w:rPr>
        <w:t>Other</w:t>
      </w:r>
      <w:r>
        <w:rPr>
          <w:spacing w:val="13"/>
          <w:w w:val="105"/>
        </w:rPr>
        <w:t> </w:t>
      </w:r>
      <w:r>
        <w:rPr>
          <w:w w:val="105"/>
        </w:rPr>
        <w:t>corporate</w:t>
      </w:r>
      <w:r>
        <w:rPr>
          <w:spacing w:val="14"/>
          <w:w w:val="105"/>
        </w:rPr>
        <w:t> </w:t>
      </w:r>
      <w:r>
        <w:rPr>
          <w:spacing w:val="-2"/>
          <w:w w:val="105"/>
        </w:rPr>
        <w:t>officers</w:t>
      </w:r>
      <w:r>
        <w:rPr/>
        <w:tab/>
      </w:r>
      <w:r>
        <w:rPr>
          <w:spacing w:val="-5"/>
          <w:w w:val="105"/>
        </w:rPr>
        <w:t>1x</w:t>
      </w:r>
    </w:p>
    <w:p>
      <w:pPr>
        <w:pStyle w:val="BodyText"/>
        <w:spacing w:line="242" w:lineRule="auto" w:before="171"/>
        <w:ind w:left="1400" w:right="1551" w:firstLine="372"/>
      </w:pPr>
      <w:r>
        <w:rPr>
          <w:w w:val="105"/>
        </w:rPr>
        <w:t>Ownership levels are expected to be achieved within the later of: (i) five years of first becoming an</w:t>
      </w:r>
      <w:r>
        <w:rPr>
          <w:spacing w:val="40"/>
          <w:w w:val="105"/>
        </w:rPr>
        <w:t> </w:t>
      </w:r>
      <w:r>
        <w:rPr>
          <w:w w:val="105"/>
        </w:rPr>
        <w:t>officer,</w:t>
      </w:r>
      <w:r>
        <w:rPr>
          <w:spacing w:val="24"/>
          <w:w w:val="105"/>
        </w:rPr>
        <w:t> </w:t>
      </w:r>
      <w:r>
        <w:rPr>
          <w:w w:val="105"/>
        </w:rPr>
        <w:t>(ii)</w:t>
      </w:r>
      <w:r>
        <w:rPr>
          <w:spacing w:val="24"/>
          <w:w w:val="105"/>
        </w:rPr>
        <w:t> </w:t>
      </w:r>
      <w:r>
        <w:rPr>
          <w:w w:val="105"/>
        </w:rPr>
        <w:t>three</w:t>
      </w:r>
      <w:r>
        <w:rPr>
          <w:spacing w:val="24"/>
          <w:w w:val="105"/>
        </w:rPr>
        <w:t> </w:t>
      </w:r>
      <w:r>
        <w:rPr>
          <w:w w:val="105"/>
        </w:rPr>
        <w:t>years</w:t>
      </w:r>
      <w:r>
        <w:rPr>
          <w:spacing w:val="24"/>
          <w:w w:val="105"/>
        </w:rPr>
        <w:t> </w:t>
      </w:r>
      <w:r>
        <w:rPr>
          <w:w w:val="105"/>
        </w:rPr>
        <w:t>of</w:t>
      </w:r>
      <w:r>
        <w:rPr>
          <w:spacing w:val="24"/>
          <w:w w:val="105"/>
        </w:rPr>
        <w:t> </w:t>
      </w:r>
      <w:r>
        <w:rPr>
          <w:w w:val="105"/>
        </w:rPr>
        <w:t>an</w:t>
      </w:r>
      <w:r>
        <w:rPr>
          <w:spacing w:val="24"/>
          <w:w w:val="105"/>
        </w:rPr>
        <w:t> </w:t>
      </w:r>
      <w:r>
        <w:rPr>
          <w:w w:val="105"/>
        </w:rPr>
        <w:t>amendment</w:t>
      </w:r>
      <w:r>
        <w:rPr>
          <w:spacing w:val="24"/>
          <w:w w:val="105"/>
        </w:rPr>
        <w:t> </w:t>
      </w:r>
      <w:r>
        <w:rPr>
          <w:w w:val="105"/>
        </w:rPr>
        <w:t>increasing</w:t>
      </w:r>
      <w:r>
        <w:rPr>
          <w:spacing w:val="24"/>
          <w:w w:val="105"/>
        </w:rPr>
        <w:t> </w:t>
      </w:r>
      <w:r>
        <w:rPr>
          <w:w w:val="105"/>
        </w:rPr>
        <w:t>ownership</w:t>
      </w:r>
      <w:r>
        <w:rPr>
          <w:spacing w:val="24"/>
          <w:w w:val="105"/>
        </w:rPr>
        <w:t> </w:t>
      </w:r>
      <w:r>
        <w:rPr>
          <w:w w:val="105"/>
        </w:rPr>
        <w:t>levels</w:t>
      </w:r>
      <w:r>
        <w:rPr>
          <w:spacing w:val="24"/>
          <w:w w:val="105"/>
        </w:rPr>
        <w:t> </w:t>
      </w:r>
      <w:r>
        <w:rPr>
          <w:w w:val="105"/>
        </w:rPr>
        <w:t>with</w:t>
      </w:r>
      <w:r>
        <w:rPr>
          <w:spacing w:val="24"/>
          <w:w w:val="105"/>
        </w:rPr>
        <w:t> </w:t>
      </w:r>
      <w:r>
        <w:rPr>
          <w:w w:val="105"/>
        </w:rPr>
        <w:t>respect</w:t>
      </w:r>
      <w:r>
        <w:rPr>
          <w:spacing w:val="24"/>
          <w:w w:val="105"/>
        </w:rPr>
        <w:t> </w:t>
      </w:r>
      <w:r>
        <w:rPr>
          <w:w w:val="105"/>
        </w:rPr>
        <w:t>to</w:t>
      </w:r>
      <w:r>
        <w:rPr>
          <w:spacing w:val="24"/>
          <w:w w:val="105"/>
        </w:rPr>
        <w:t> </w:t>
      </w:r>
      <w:r>
        <w:rPr>
          <w:w w:val="105"/>
        </w:rPr>
        <w:t>any</w:t>
      </w:r>
      <w:r>
        <w:rPr>
          <w:spacing w:val="24"/>
          <w:w w:val="105"/>
        </w:rPr>
        <w:t> </w:t>
      </w:r>
      <w:r>
        <w:rPr>
          <w:w w:val="105"/>
        </w:rPr>
        <w:t>increase,</w:t>
      </w:r>
      <w:r>
        <w:rPr>
          <w:spacing w:val="24"/>
          <w:w w:val="105"/>
        </w:rPr>
        <w:t> </w:t>
      </w:r>
      <w:r>
        <w:rPr>
          <w:w w:val="105"/>
        </w:rPr>
        <w:t>or</w:t>
      </w:r>
    </w:p>
    <w:p>
      <w:pPr>
        <w:pStyle w:val="BodyText"/>
        <w:spacing w:line="259" w:lineRule="auto" w:before="1"/>
        <w:ind w:left="1400" w:right="1680"/>
      </w:pPr>
      <w:r>
        <w:rPr>
          <w:w w:val="105"/>
        </w:rPr>
        <w:t>(iii) three years of the date that the new ownership levels apply to such individual due to a change in</w:t>
      </w:r>
      <w:r>
        <w:rPr>
          <w:spacing w:val="40"/>
          <w:w w:val="105"/>
        </w:rPr>
        <w:t> </w:t>
      </w:r>
      <w:r>
        <w:rPr>
          <w:w w:val="105"/>
        </w:rPr>
        <w:t>position. As of the date of this Proxy Statement, all the NEOs meet the guidelines.</w:t>
      </w:r>
    </w:p>
    <w:p>
      <w:pPr>
        <w:pStyle w:val="BodyText"/>
        <w:spacing w:line="247" w:lineRule="auto" w:before="140"/>
        <w:ind w:left="1400" w:right="1551" w:firstLine="372"/>
      </w:pPr>
      <w:r>
        <w:rPr>
          <w:b/>
          <w:w w:val="105"/>
        </w:rPr>
        <w:t>Recoupment</w:t>
      </w:r>
      <w:r>
        <w:rPr>
          <w:b/>
          <w:spacing w:val="-6"/>
          <w:w w:val="105"/>
        </w:rPr>
        <w:t> </w:t>
      </w:r>
      <w:r>
        <w:rPr>
          <w:b/>
          <w:w w:val="105"/>
        </w:rPr>
        <w:t>(or</w:t>
      </w:r>
      <w:r>
        <w:rPr>
          <w:b/>
          <w:spacing w:val="-10"/>
          <w:w w:val="105"/>
        </w:rPr>
        <w:t> </w:t>
      </w:r>
      <w:r>
        <w:rPr>
          <w:b/>
          <w:w w:val="105"/>
        </w:rPr>
        <w:t>“Clawback”)</w:t>
      </w:r>
      <w:r>
        <w:rPr>
          <w:b/>
          <w:spacing w:val="-6"/>
          <w:w w:val="105"/>
        </w:rPr>
        <w:t> </w:t>
      </w:r>
      <w:r>
        <w:rPr>
          <w:b/>
          <w:w w:val="105"/>
        </w:rPr>
        <w:t>Policy.</w:t>
      </w:r>
      <w:r>
        <w:rPr>
          <w:b/>
          <w:spacing w:val="80"/>
          <w:w w:val="105"/>
        </w:rPr>
        <w:t> </w:t>
      </w:r>
      <w:r>
        <w:rPr>
          <w:w w:val="105"/>
        </w:rPr>
        <w:t>The Board has adopted a formal policy to recover certain incentive payments if we are required to restate our financial statements as a result of an executive officer</w:t>
      </w:r>
      <w:r>
        <w:rPr>
          <w:spacing w:val="40"/>
          <w:w w:val="105"/>
        </w:rPr>
        <w:t> </w:t>
      </w:r>
      <w:r>
        <w:rPr>
          <w:w w:val="105"/>
        </w:rPr>
        <w:t>engaging in misconduct or other violations of our Code of Conduct that caused or partially caused the</w:t>
      </w:r>
      <w:r>
        <w:rPr>
          <w:spacing w:val="40"/>
          <w:w w:val="105"/>
        </w:rPr>
        <w:t> </w:t>
      </w:r>
      <w:r>
        <w:rPr>
          <w:w w:val="105"/>
        </w:rPr>
        <w:t>restatement. In the event of a restatement, the Board will review the conduct of the executive officer in</w:t>
      </w:r>
      <w:r>
        <w:rPr>
          <w:spacing w:val="80"/>
          <w:w w:val="105"/>
        </w:rPr>
        <w:t> </w:t>
      </w:r>
      <w:r>
        <w:rPr>
          <w:w w:val="105"/>
        </w:rPr>
        <w:t>relation to the restatement. If the Board determines that an executive officer has engaged in misconduct or</w:t>
      </w:r>
      <w:r>
        <w:rPr>
          <w:spacing w:val="40"/>
          <w:w w:val="105"/>
        </w:rPr>
        <w:t> </w:t>
      </w:r>
      <w:r>
        <w:rPr>
          <w:w w:val="105"/>
        </w:rPr>
        <w:t>other</w:t>
      </w:r>
      <w:r>
        <w:rPr>
          <w:spacing w:val="22"/>
          <w:w w:val="105"/>
        </w:rPr>
        <w:t> </w:t>
      </w:r>
      <w:r>
        <w:rPr>
          <w:w w:val="105"/>
        </w:rPr>
        <w:t>violations</w:t>
      </w:r>
      <w:r>
        <w:rPr>
          <w:spacing w:val="22"/>
          <w:w w:val="105"/>
        </w:rPr>
        <w:t> </w:t>
      </w:r>
      <w:r>
        <w:rPr>
          <w:w w:val="105"/>
        </w:rPr>
        <w:t>of</w:t>
      </w:r>
      <w:r>
        <w:rPr>
          <w:spacing w:val="22"/>
          <w:w w:val="105"/>
        </w:rPr>
        <w:t> </w:t>
      </w:r>
      <w:r>
        <w:rPr>
          <w:w w:val="105"/>
        </w:rPr>
        <w:t>our</w:t>
      </w:r>
      <w:r>
        <w:rPr>
          <w:spacing w:val="22"/>
          <w:w w:val="105"/>
        </w:rPr>
        <w:t> </w:t>
      </w:r>
      <w:r>
        <w:rPr>
          <w:w w:val="105"/>
        </w:rPr>
        <w:t>Code</w:t>
      </w:r>
      <w:r>
        <w:rPr>
          <w:spacing w:val="22"/>
          <w:w w:val="105"/>
        </w:rPr>
        <w:t> </w:t>
      </w:r>
      <w:r>
        <w:rPr>
          <w:w w:val="105"/>
        </w:rPr>
        <w:t>of</w:t>
      </w:r>
      <w:r>
        <w:rPr>
          <w:spacing w:val="22"/>
          <w:w w:val="105"/>
        </w:rPr>
        <w:t> </w:t>
      </w:r>
      <w:r>
        <w:rPr>
          <w:w w:val="105"/>
        </w:rPr>
        <w:t>Conduct,</w:t>
      </w:r>
      <w:r>
        <w:rPr>
          <w:spacing w:val="22"/>
          <w:w w:val="105"/>
        </w:rPr>
        <w:t> </w:t>
      </w:r>
      <w:r>
        <w:rPr>
          <w:w w:val="105"/>
        </w:rPr>
        <w:t>the</w:t>
      </w:r>
      <w:r>
        <w:rPr>
          <w:spacing w:val="22"/>
          <w:w w:val="105"/>
        </w:rPr>
        <w:t> </w:t>
      </w:r>
      <w:r>
        <w:rPr>
          <w:w w:val="105"/>
        </w:rPr>
        <w:t>Board</w:t>
      </w:r>
      <w:r>
        <w:rPr>
          <w:spacing w:val="22"/>
          <w:w w:val="105"/>
        </w:rPr>
        <w:t> </w:t>
      </w:r>
      <w:r>
        <w:rPr>
          <w:w w:val="105"/>
        </w:rPr>
        <w:t>can,</w:t>
      </w:r>
      <w:r>
        <w:rPr>
          <w:spacing w:val="22"/>
          <w:w w:val="105"/>
        </w:rPr>
        <w:t> </w:t>
      </w:r>
      <w:r>
        <w:rPr>
          <w:w w:val="105"/>
        </w:rPr>
        <w:t>in</w:t>
      </w:r>
      <w:r>
        <w:rPr>
          <w:spacing w:val="22"/>
          <w:w w:val="105"/>
        </w:rPr>
        <w:t> </w:t>
      </w:r>
      <w:r>
        <w:rPr>
          <w:w w:val="105"/>
        </w:rPr>
        <w:t>its</w:t>
      </w:r>
      <w:r>
        <w:rPr>
          <w:spacing w:val="22"/>
          <w:w w:val="105"/>
        </w:rPr>
        <w:t> </w:t>
      </w:r>
      <w:r>
        <w:rPr>
          <w:w w:val="105"/>
        </w:rPr>
        <w:t>discretion,</w:t>
      </w:r>
      <w:r>
        <w:rPr>
          <w:spacing w:val="22"/>
          <w:w w:val="105"/>
        </w:rPr>
        <w:t> </w:t>
      </w:r>
      <w:r>
        <w:rPr>
          <w:w w:val="105"/>
        </w:rPr>
        <w:t>take</w:t>
      </w:r>
      <w:r>
        <w:rPr>
          <w:spacing w:val="22"/>
          <w:w w:val="105"/>
        </w:rPr>
        <w:t> </w:t>
      </w:r>
      <w:r>
        <w:rPr>
          <w:w w:val="105"/>
        </w:rPr>
        <w:t>appropriate</w:t>
      </w:r>
      <w:r>
        <w:rPr>
          <w:spacing w:val="22"/>
          <w:w w:val="105"/>
        </w:rPr>
        <w:t> </w:t>
      </w:r>
      <w:r>
        <w:rPr>
          <w:w w:val="105"/>
        </w:rPr>
        <w:t>action,</w:t>
      </w:r>
      <w:r>
        <w:rPr>
          <w:spacing w:val="22"/>
          <w:w w:val="105"/>
        </w:rPr>
        <w:t> </w:t>
      </w:r>
      <w:r>
        <w:rPr>
          <w:w w:val="105"/>
        </w:rPr>
        <w:t>to</w:t>
      </w:r>
      <w:r>
        <w:rPr>
          <w:spacing w:val="22"/>
          <w:w w:val="105"/>
        </w:rPr>
        <w:t> </w:t>
      </w:r>
      <w:r>
        <w:rPr>
          <w:w w:val="105"/>
        </w:rPr>
        <w:t>the extent not prohibited by applicable law, to remedy the misconduct, including, without limitation, seeking</w:t>
      </w:r>
      <w:r>
        <w:rPr>
          <w:spacing w:val="40"/>
          <w:w w:val="105"/>
        </w:rPr>
        <w:t> </w:t>
      </w:r>
      <w:r>
        <w:rPr>
          <w:w w:val="105"/>
        </w:rPr>
        <w:t>reimbursement of any portion of performance-based or incentive compensation paid or awarded to the executive that is greater than would have been paid or awarded if calculated based on the restated financial</w:t>
      </w:r>
      <w:r>
        <w:rPr>
          <w:spacing w:val="40"/>
          <w:w w:val="105"/>
        </w:rPr>
        <w:t> </w:t>
      </w:r>
      <w:r>
        <w:rPr>
          <w:w w:val="105"/>
        </w:rPr>
        <w:t>results. Such action by the Board would be in addition to any other actions the Board or we may take under</w:t>
      </w:r>
      <w:r>
        <w:rPr>
          <w:spacing w:val="80"/>
          <w:w w:val="105"/>
        </w:rPr>
        <w:t> </w:t>
      </w:r>
      <w:r>
        <w:rPr>
          <w:w w:val="105"/>
        </w:rPr>
        <w:t>our other policies, as modified from time to time, or any actions imposed by law enforcement, regulators or</w:t>
      </w:r>
      <w:r>
        <w:rPr>
          <w:spacing w:val="40"/>
          <w:w w:val="105"/>
        </w:rPr>
        <w:t> </w:t>
      </w:r>
      <w:r>
        <w:rPr>
          <w:w w:val="105"/>
        </w:rPr>
        <w:t>other authorities.</w:t>
      </w:r>
    </w:p>
    <w:p>
      <w:pPr>
        <w:pStyle w:val="BodyText"/>
        <w:spacing w:line="249" w:lineRule="auto" w:before="154"/>
        <w:ind w:left="1400" w:right="1680" w:firstLine="372"/>
      </w:pPr>
      <w:r>
        <w:rPr>
          <w:w w:val="105"/>
        </w:rPr>
        <w:t>This recoupment policy is incorporated into the provisions of our MIP, 2017 Stock Plan, and 2020</w:t>
      </w:r>
      <w:r>
        <w:rPr>
          <w:spacing w:val="40"/>
          <w:w w:val="105"/>
        </w:rPr>
        <w:t> </w:t>
      </w:r>
      <w:r>
        <w:rPr>
          <w:w w:val="105"/>
        </w:rPr>
        <w:t>Stock Plan. Under our current stock option agreement and restricted stock unit agreement, if an employee</w:t>
      </w:r>
      <w:r>
        <w:rPr>
          <w:spacing w:val="40"/>
          <w:w w:val="105"/>
        </w:rPr>
        <w:t> </w:t>
      </w:r>
      <w:r>
        <w:rPr>
          <w:w w:val="105"/>
        </w:rPr>
        <w:t>commences employment with a company that competes with us in any of our businesses, we may, in our</w:t>
      </w:r>
      <w:r>
        <w:rPr>
          <w:spacing w:val="40"/>
          <w:w w:val="105"/>
        </w:rPr>
        <w:t> </w:t>
      </w:r>
      <w:r>
        <w:rPr>
          <w:w w:val="105"/>
        </w:rPr>
        <w:t>sole discretion, terminate the applicable agreement, including the vesting of any options or other grants</w:t>
      </w:r>
      <w:r>
        <w:rPr>
          <w:spacing w:val="40"/>
          <w:w w:val="105"/>
        </w:rPr>
        <w:t> </w:t>
      </w:r>
      <w:r>
        <w:rPr>
          <w:w w:val="105"/>
        </w:rPr>
        <w:t>which remain unvested as of the date the employee commences employment with the competitor and may seek a recoupment of options or shares that have vested within the previous three years.</w:t>
      </w:r>
    </w:p>
    <w:p>
      <w:pPr>
        <w:pStyle w:val="BodyText"/>
        <w:spacing w:line="242" w:lineRule="auto" w:before="148"/>
        <w:ind w:left="1400" w:right="1551" w:firstLine="372"/>
      </w:pPr>
      <w:r>
        <w:rPr>
          <w:w w:val="105"/>
        </w:rPr>
        <w:t>In addition to the foregoing, we intend to revise our existing clawback policy or adopt an additional</w:t>
      </w:r>
      <w:r>
        <w:rPr>
          <w:spacing w:val="40"/>
          <w:w w:val="105"/>
        </w:rPr>
        <w:t> </w:t>
      </w:r>
      <w:r>
        <w:rPr>
          <w:w w:val="105"/>
        </w:rPr>
        <w:t>clawback policy that complies with the Nasdaq listing standards within the required timing.</w:t>
      </w:r>
    </w:p>
    <w:p>
      <w:pPr>
        <w:pStyle w:val="BodyText"/>
        <w:spacing w:line="249" w:lineRule="auto" w:before="155"/>
        <w:ind w:left="1400" w:right="1551" w:firstLine="372"/>
      </w:pPr>
      <w:r>
        <w:rPr>
          <w:b/>
          <w:spacing w:val="-2"/>
          <w:w w:val="105"/>
        </w:rPr>
        <w:t>Prohibition</w:t>
      </w:r>
      <w:r>
        <w:rPr>
          <w:b/>
          <w:spacing w:val="-10"/>
          <w:w w:val="105"/>
        </w:rPr>
        <w:t> </w:t>
      </w:r>
      <w:r>
        <w:rPr>
          <w:b/>
          <w:spacing w:val="-2"/>
          <w:w w:val="105"/>
        </w:rPr>
        <w:t>on</w:t>
      </w:r>
      <w:r>
        <w:rPr>
          <w:b/>
          <w:spacing w:val="-10"/>
          <w:w w:val="105"/>
        </w:rPr>
        <w:t> </w:t>
      </w:r>
      <w:r>
        <w:rPr>
          <w:b/>
          <w:spacing w:val="-2"/>
          <w:w w:val="105"/>
        </w:rPr>
        <w:t>Hedging</w:t>
      </w:r>
      <w:r>
        <w:rPr>
          <w:b/>
          <w:spacing w:val="-10"/>
          <w:w w:val="105"/>
        </w:rPr>
        <w:t> </w:t>
      </w:r>
      <w:r>
        <w:rPr>
          <w:b/>
          <w:spacing w:val="-2"/>
          <w:w w:val="105"/>
        </w:rPr>
        <w:t>or</w:t>
      </w:r>
      <w:r>
        <w:rPr>
          <w:b/>
          <w:spacing w:val="-12"/>
          <w:w w:val="105"/>
        </w:rPr>
        <w:t> </w:t>
      </w:r>
      <w:r>
        <w:rPr>
          <w:b/>
          <w:spacing w:val="-2"/>
          <w:w w:val="105"/>
        </w:rPr>
        <w:t>Pledging</w:t>
      </w:r>
      <w:r>
        <w:rPr>
          <w:b/>
          <w:spacing w:val="-10"/>
          <w:w w:val="105"/>
        </w:rPr>
        <w:t> </w:t>
      </w:r>
      <w:r>
        <w:rPr>
          <w:b/>
          <w:spacing w:val="-2"/>
          <w:w w:val="105"/>
        </w:rPr>
        <w:t>Company</w:t>
      </w:r>
      <w:r>
        <w:rPr>
          <w:b/>
          <w:spacing w:val="-10"/>
          <w:w w:val="105"/>
        </w:rPr>
        <w:t> </w:t>
      </w:r>
      <w:r>
        <w:rPr>
          <w:b/>
          <w:spacing w:val="-2"/>
          <w:w w:val="105"/>
        </w:rPr>
        <w:t>Securities</w:t>
      </w:r>
      <w:r>
        <w:rPr>
          <w:b/>
          <w:spacing w:val="-10"/>
          <w:w w:val="105"/>
        </w:rPr>
        <w:t> </w:t>
      </w:r>
      <w:r>
        <w:rPr>
          <w:b/>
          <w:spacing w:val="-2"/>
          <w:w w:val="105"/>
        </w:rPr>
        <w:t>and</w:t>
      </w:r>
      <w:r>
        <w:rPr>
          <w:b/>
          <w:spacing w:val="-9"/>
          <w:w w:val="105"/>
        </w:rPr>
        <w:t> </w:t>
      </w:r>
      <w:r>
        <w:rPr>
          <w:b/>
          <w:spacing w:val="-2"/>
          <w:w w:val="105"/>
        </w:rPr>
        <w:t>Insider</w:t>
      </w:r>
      <w:r>
        <w:rPr>
          <w:b/>
          <w:spacing w:val="-16"/>
          <w:w w:val="105"/>
        </w:rPr>
        <w:t> </w:t>
      </w:r>
      <w:r>
        <w:rPr>
          <w:b/>
          <w:spacing w:val="-2"/>
          <w:w w:val="105"/>
        </w:rPr>
        <w:t>Trading</w:t>
      </w:r>
      <w:r>
        <w:rPr>
          <w:b/>
          <w:spacing w:val="-9"/>
          <w:w w:val="105"/>
        </w:rPr>
        <w:t> </w:t>
      </w:r>
      <w:r>
        <w:rPr>
          <w:b/>
          <w:spacing w:val="-2"/>
          <w:w w:val="105"/>
        </w:rPr>
        <w:t>Policy.</w:t>
      </w:r>
      <w:r>
        <w:rPr>
          <w:b/>
          <w:spacing w:val="80"/>
          <w:w w:val="105"/>
        </w:rPr>
        <w:t> </w:t>
      </w:r>
      <w:r>
        <w:rPr>
          <w:spacing w:val="-2"/>
          <w:w w:val="105"/>
        </w:rPr>
        <w:t>The</w:t>
      </w:r>
      <w:r>
        <w:rPr>
          <w:spacing w:val="4"/>
          <w:w w:val="105"/>
        </w:rPr>
        <w:t> </w:t>
      </w:r>
      <w:r>
        <w:rPr>
          <w:spacing w:val="-2"/>
          <w:w w:val="105"/>
        </w:rPr>
        <w:t>Board</w:t>
      </w:r>
      <w:r>
        <w:rPr>
          <w:spacing w:val="4"/>
          <w:w w:val="105"/>
        </w:rPr>
        <w:t> </w:t>
      </w:r>
      <w:r>
        <w:rPr>
          <w:spacing w:val="-2"/>
          <w:w w:val="105"/>
        </w:rPr>
        <w:t>has </w:t>
      </w:r>
      <w:r>
        <w:rPr>
          <w:w w:val="105"/>
        </w:rPr>
        <w:t>approved a corporate insider trading policy (the “</w:t>
      </w:r>
      <w:r>
        <w:rPr>
          <w:b/>
          <w:w w:val="105"/>
        </w:rPr>
        <w:t>Insider</w:t>
      </w:r>
      <w:r>
        <w:rPr>
          <w:b/>
          <w:spacing w:val="-13"/>
          <w:w w:val="105"/>
        </w:rPr>
        <w:t> </w:t>
      </w:r>
      <w:r>
        <w:rPr>
          <w:b/>
          <w:w w:val="105"/>
        </w:rPr>
        <w:t>Trading</w:t>
      </w:r>
      <w:r>
        <w:rPr>
          <w:b/>
          <w:spacing w:val="-6"/>
          <w:w w:val="105"/>
        </w:rPr>
        <w:t> </w:t>
      </w:r>
      <w:r>
        <w:rPr>
          <w:b/>
          <w:w w:val="105"/>
        </w:rPr>
        <w:t>Policy</w:t>
      </w:r>
      <w:r>
        <w:rPr>
          <w:w w:val="105"/>
        </w:rPr>
        <w:t>”) to prohibit executive officers and directors from purchasing Company securities on margin, holding Company securities in a margin account, borrowing against any account in which Company securities are held or otherwise pledging Company securities as collateral for a loan. For all other employees subject to the quarterly blackout period under the</w:t>
      </w:r>
      <w:r>
        <w:rPr>
          <w:spacing w:val="40"/>
          <w:w w:val="105"/>
        </w:rPr>
        <w:t> </w:t>
      </w:r>
      <w:r>
        <w:rPr>
          <w:w w:val="105"/>
        </w:rPr>
        <w:t>Insider</w:t>
      </w:r>
      <w:r>
        <w:rPr>
          <w:spacing w:val="21"/>
          <w:w w:val="105"/>
        </w:rPr>
        <w:t> </w:t>
      </w:r>
      <w:r>
        <w:rPr>
          <w:w w:val="105"/>
        </w:rPr>
        <w:t>Trading</w:t>
      </w:r>
      <w:r>
        <w:rPr>
          <w:spacing w:val="26"/>
          <w:w w:val="105"/>
        </w:rPr>
        <w:t> </w:t>
      </w:r>
      <w:r>
        <w:rPr>
          <w:w w:val="105"/>
        </w:rPr>
        <w:t>Policy,</w:t>
      </w:r>
      <w:r>
        <w:rPr>
          <w:spacing w:val="26"/>
          <w:w w:val="105"/>
        </w:rPr>
        <w:t> </w:t>
      </w:r>
      <w:r>
        <w:rPr>
          <w:w w:val="105"/>
        </w:rPr>
        <w:t>which</w:t>
      </w:r>
      <w:r>
        <w:rPr>
          <w:spacing w:val="26"/>
          <w:w w:val="105"/>
        </w:rPr>
        <w:t> </w:t>
      </w:r>
      <w:r>
        <w:rPr>
          <w:w w:val="105"/>
        </w:rPr>
        <w:t>includes</w:t>
      </w:r>
      <w:r>
        <w:rPr>
          <w:spacing w:val="26"/>
          <w:w w:val="105"/>
        </w:rPr>
        <w:t> </w:t>
      </w:r>
      <w:r>
        <w:rPr>
          <w:w w:val="105"/>
        </w:rPr>
        <w:t>business</w:t>
      </w:r>
      <w:r>
        <w:rPr>
          <w:spacing w:val="26"/>
          <w:w w:val="105"/>
        </w:rPr>
        <w:t> </w:t>
      </w:r>
      <w:r>
        <w:rPr>
          <w:w w:val="105"/>
        </w:rPr>
        <w:t>unit</w:t>
      </w:r>
      <w:r>
        <w:rPr>
          <w:spacing w:val="26"/>
          <w:w w:val="105"/>
        </w:rPr>
        <w:t> </w:t>
      </w:r>
      <w:r>
        <w:rPr>
          <w:w w:val="105"/>
        </w:rPr>
        <w:t>general</w:t>
      </w:r>
      <w:r>
        <w:rPr>
          <w:spacing w:val="26"/>
          <w:w w:val="105"/>
        </w:rPr>
        <w:t> </w:t>
      </w:r>
      <w:r>
        <w:rPr>
          <w:w w:val="105"/>
        </w:rPr>
        <w:t>managers,</w:t>
      </w:r>
      <w:r>
        <w:rPr>
          <w:spacing w:val="26"/>
          <w:w w:val="105"/>
        </w:rPr>
        <w:t> </w:t>
      </w:r>
      <w:r>
        <w:rPr>
          <w:w w:val="105"/>
        </w:rPr>
        <w:t>and</w:t>
      </w:r>
      <w:r>
        <w:rPr>
          <w:spacing w:val="26"/>
          <w:w w:val="105"/>
        </w:rPr>
        <w:t> </w:t>
      </w:r>
      <w:r>
        <w:rPr>
          <w:w w:val="105"/>
        </w:rPr>
        <w:t>other</w:t>
      </w:r>
      <w:r>
        <w:rPr>
          <w:spacing w:val="26"/>
          <w:w w:val="105"/>
        </w:rPr>
        <w:t> </w:t>
      </w:r>
      <w:r>
        <w:rPr>
          <w:w w:val="105"/>
        </w:rPr>
        <w:t>employees</w:t>
      </w:r>
      <w:r>
        <w:rPr>
          <w:spacing w:val="26"/>
          <w:w w:val="105"/>
        </w:rPr>
        <w:t> </w:t>
      </w:r>
      <w:r>
        <w:rPr>
          <w:w w:val="105"/>
        </w:rPr>
        <w:t>who</w:t>
      </w:r>
      <w:r>
        <w:rPr>
          <w:spacing w:val="26"/>
          <w:w w:val="105"/>
        </w:rPr>
        <w:t> </w:t>
      </w:r>
      <w:r>
        <w:rPr>
          <w:w w:val="105"/>
        </w:rPr>
        <w:t>have access to, or assist in compiling, Company financial data, purchases on margin and the pledging of or</w:t>
      </w:r>
      <w:r>
        <w:rPr>
          <w:spacing w:val="40"/>
          <w:w w:val="105"/>
        </w:rPr>
        <w:t> </w:t>
      </w:r>
      <w:r>
        <w:rPr>
          <w:w w:val="105"/>
        </w:rPr>
        <w:t>borrowing</w:t>
      </w:r>
      <w:r>
        <w:rPr>
          <w:spacing w:val="30"/>
          <w:w w:val="105"/>
        </w:rPr>
        <w:t> </w:t>
      </w:r>
      <w:r>
        <w:rPr>
          <w:w w:val="105"/>
        </w:rPr>
        <w:t>against</w:t>
      </w:r>
      <w:r>
        <w:rPr>
          <w:spacing w:val="30"/>
          <w:w w:val="105"/>
        </w:rPr>
        <w:t> </w:t>
      </w:r>
      <w:r>
        <w:rPr>
          <w:w w:val="105"/>
        </w:rPr>
        <w:t>Company</w:t>
      </w:r>
      <w:r>
        <w:rPr>
          <w:spacing w:val="30"/>
          <w:w w:val="105"/>
        </w:rPr>
        <w:t> </w:t>
      </w:r>
      <w:r>
        <w:rPr>
          <w:w w:val="105"/>
        </w:rPr>
        <w:t>securities</w:t>
      </w:r>
      <w:r>
        <w:rPr>
          <w:spacing w:val="30"/>
          <w:w w:val="105"/>
        </w:rPr>
        <w:t> </w:t>
      </w:r>
      <w:r>
        <w:rPr>
          <w:w w:val="105"/>
        </w:rPr>
        <w:t>are</w:t>
      </w:r>
      <w:r>
        <w:rPr>
          <w:spacing w:val="30"/>
          <w:w w:val="105"/>
        </w:rPr>
        <w:t> </w:t>
      </w:r>
      <w:r>
        <w:rPr>
          <w:w w:val="105"/>
        </w:rPr>
        <w:t>not</w:t>
      </w:r>
      <w:r>
        <w:rPr>
          <w:spacing w:val="30"/>
          <w:w w:val="105"/>
        </w:rPr>
        <w:t> </w:t>
      </w:r>
      <w:r>
        <w:rPr>
          <w:w w:val="105"/>
        </w:rPr>
        <w:t>strictly</w:t>
      </w:r>
      <w:r>
        <w:rPr>
          <w:spacing w:val="30"/>
          <w:w w:val="105"/>
        </w:rPr>
        <w:t> </w:t>
      </w:r>
      <w:r>
        <w:rPr>
          <w:w w:val="105"/>
        </w:rPr>
        <w:t>prohibited,</w:t>
      </w:r>
      <w:r>
        <w:rPr>
          <w:spacing w:val="30"/>
          <w:w w:val="105"/>
        </w:rPr>
        <w:t> </w:t>
      </w:r>
      <w:r>
        <w:rPr>
          <w:w w:val="105"/>
        </w:rPr>
        <w:t>but</w:t>
      </w:r>
      <w:r>
        <w:rPr>
          <w:spacing w:val="30"/>
          <w:w w:val="105"/>
        </w:rPr>
        <w:t> </w:t>
      </w:r>
      <w:r>
        <w:rPr>
          <w:w w:val="105"/>
        </w:rPr>
        <w:t>such</w:t>
      </w:r>
      <w:r>
        <w:rPr>
          <w:spacing w:val="30"/>
          <w:w w:val="105"/>
        </w:rPr>
        <w:t> </w:t>
      </w:r>
      <w:r>
        <w:rPr>
          <w:w w:val="105"/>
        </w:rPr>
        <w:t>activities</w:t>
      </w:r>
      <w:r>
        <w:rPr>
          <w:spacing w:val="30"/>
          <w:w w:val="105"/>
        </w:rPr>
        <w:t> </w:t>
      </w:r>
      <w:r>
        <w:rPr>
          <w:w w:val="105"/>
        </w:rPr>
        <w:t>are</w:t>
      </w:r>
      <w:r>
        <w:rPr>
          <w:spacing w:val="30"/>
          <w:w w:val="105"/>
        </w:rPr>
        <w:t> </w:t>
      </w:r>
      <w:r>
        <w:rPr>
          <w:w w:val="105"/>
        </w:rPr>
        <w:t>strongly discouraged</w:t>
      </w:r>
      <w:r>
        <w:rPr>
          <w:spacing w:val="29"/>
          <w:w w:val="105"/>
        </w:rPr>
        <w:t> </w:t>
      </w:r>
      <w:r>
        <w:rPr>
          <w:w w:val="105"/>
        </w:rPr>
        <w:t>and</w:t>
      </w:r>
      <w:r>
        <w:rPr>
          <w:spacing w:val="29"/>
          <w:w w:val="105"/>
        </w:rPr>
        <w:t> </w:t>
      </w:r>
      <w:r>
        <w:rPr>
          <w:w w:val="105"/>
        </w:rPr>
        <w:t>advance</w:t>
      </w:r>
      <w:r>
        <w:rPr>
          <w:spacing w:val="29"/>
          <w:w w:val="105"/>
        </w:rPr>
        <w:t> </w:t>
      </w:r>
      <w:r>
        <w:rPr>
          <w:w w:val="105"/>
        </w:rPr>
        <w:t>consultation</w:t>
      </w:r>
      <w:r>
        <w:rPr>
          <w:spacing w:val="29"/>
          <w:w w:val="105"/>
        </w:rPr>
        <w:t> </w:t>
      </w:r>
      <w:r>
        <w:rPr>
          <w:w w:val="105"/>
        </w:rPr>
        <w:t>with</w:t>
      </w:r>
      <w:r>
        <w:rPr>
          <w:spacing w:val="29"/>
          <w:w w:val="105"/>
        </w:rPr>
        <w:t> </w:t>
      </w:r>
      <w:r>
        <w:rPr>
          <w:w w:val="105"/>
        </w:rPr>
        <w:t>the</w:t>
      </w:r>
      <w:r>
        <w:rPr>
          <w:spacing w:val="29"/>
          <w:w w:val="105"/>
        </w:rPr>
        <w:t> </w:t>
      </w:r>
      <w:r>
        <w:rPr>
          <w:w w:val="105"/>
        </w:rPr>
        <w:t>Company’s</w:t>
      </w:r>
      <w:r>
        <w:rPr>
          <w:spacing w:val="29"/>
          <w:w w:val="105"/>
        </w:rPr>
        <w:t> </w:t>
      </w:r>
      <w:r>
        <w:rPr>
          <w:w w:val="105"/>
        </w:rPr>
        <w:t>Legal</w:t>
      </w:r>
      <w:r>
        <w:rPr>
          <w:spacing w:val="29"/>
          <w:w w:val="105"/>
        </w:rPr>
        <w:t> </w:t>
      </w:r>
      <w:r>
        <w:rPr>
          <w:w w:val="105"/>
        </w:rPr>
        <w:t>Department</w:t>
      </w:r>
      <w:r>
        <w:rPr>
          <w:spacing w:val="29"/>
          <w:w w:val="105"/>
        </w:rPr>
        <w:t> </w:t>
      </w:r>
      <w:r>
        <w:rPr>
          <w:w w:val="105"/>
        </w:rPr>
        <w:t>is</w:t>
      </w:r>
      <w:r>
        <w:rPr>
          <w:spacing w:val="29"/>
          <w:w w:val="105"/>
        </w:rPr>
        <w:t> </w:t>
      </w:r>
      <w:r>
        <w:rPr>
          <w:w w:val="105"/>
        </w:rPr>
        <w:t>required.</w:t>
      </w:r>
      <w:r>
        <w:rPr>
          <w:spacing w:val="23"/>
          <w:w w:val="105"/>
        </w:rPr>
        <w:t> </w:t>
      </w:r>
      <w:r>
        <w:rPr>
          <w:w w:val="105"/>
        </w:rPr>
        <w:t>The</w:t>
      </w:r>
      <w:r>
        <w:rPr>
          <w:spacing w:val="29"/>
          <w:w w:val="105"/>
        </w:rPr>
        <w:t> </w:t>
      </w:r>
      <w:r>
        <w:rPr>
          <w:w w:val="105"/>
        </w:rPr>
        <w:t>Insider Trading</w:t>
      </w:r>
      <w:r>
        <w:rPr>
          <w:spacing w:val="28"/>
          <w:w w:val="105"/>
        </w:rPr>
        <w:t> </w:t>
      </w:r>
      <w:r>
        <w:rPr>
          <w:w w:val="105"/>
        </w:rPr>
        <w:t>Policy</w:t>
      </w:r>
      <w:r>
        <w:rPr>
          <w:spacing w:val="28"/>
          <w:w w:val="105"/>
        </w:rPr>
        <w:t> </w:t>
      </w:r>
      <w:r>
        <w:rPr>
          <w:w w:val="105"/>
        </w:rPr>
        <w:t>also</w:t>
      </w:r>
      <w:r>
        <w:rPr>
          <w:spacing w:val="28"/>
          <w:w w:val="105"/>
        </w:rPr>
        <w:t> </w:t>
      </w:r>
      <w:r>
        <w:rPr>
          <w:w w:val="105"/>
        </w:rPr>
        <w:t>prohibits</w:t>
      </w:r>
      <w:r>
        <w:rPr>
          <w:spacing w:val="28"/>
          <w:w w:val="105"/>
        </w:rPr>
        <w:t> </w:t>
      </w:r>
      <w:r>
        <w:rPr>
          <w:w w:val="105"/>
        </w:rPr>
        <w:t>officers,</w:t>
      </w:r>
      <w:r>
        <w:rPr>
          <w:spacing w:val="28"/>
          <w:w w:val="105"/>
        </w:rPr>
        <w:t> </w:t>
      </w:r>
      <w:r>
        <w:rPr>
          <w:w w:val="105"/>
        </w:rPr>
        <w:t>directors,</w:t>
      </w:r>
      <w:r>
        <w:rPr>
          <w:spacing w:val="28"/>
          <w:w w:val="105"/>
        </w:rPr>
        <w:t> </w:t>
      </w:r>
      <w:r>
        <w:rPr>
          <w:w w:val="105"/>
        </w:rPr>
        <w:t>and</w:t>
      </w:r>
      <w:r>
        <w:rPr>
          <w:spacing w:val="28"/>
          <w:w w:val="105"/>
        </w:rPr>
        <w:t> </w:t>
      </w:r>
      <w:r>
        <w:rPr>
          <w:w w:val="105"/>
        </w:rPr>
        <w:t>other</w:t>
      </w:r>
      <w:r>
        <w:rPr>
          <w:spacing w:val="28"/>
          <w:w w:val="105"/>
        </w:rPr>
        <w:t> </w:t>
      </w:r>
      <w:r>
        <w:rPr>
          <w:w w:val="105"/>
        </w:rPr>
        <w:t>employees</w:t>
      </w:r>
      <w:r>
        <w:rPr>
          <w:spacing w:val="28"/>
          <w:w w:val="105"/>
        </w:rPr>
        <w:t> </w:t>
      </w:r>
      <w:r>
        <w:rPr>
          <w:w w:val="105"/>
        </w:rPr>
        <w:t>subject</w:t>
      </w:r>
      <w:r>
        <w:rPr>
          <w:spacing w:val="28"/>
          <w:w w:val="105"/>
        </w:rPr>
        <w:t> </w:t>
      </w:r>
      <w:r>
        <w:rPr>
          <w:w w:val="105"/>
        </w:rPr>
        <w:t>to</w:t>
      </w:r>
      <w:r>
        <w:rPr>
          <w:spacing w:val="28"/>
          <w:w w:val="105"/>
        </w:rPr>
        <w:t> </w:t>
      </w:r>
      <w:r>
        <w:rPr>
          <w:w w:val="105"/>
        </w:rPr>
        <w:t>the</w:t>
      </w:r>
      <w:r>
        <w:rPr>
          <w:spacing w:val="28"/>
          <w:w w:val="105"/>
        </w:rPr>
        <w:t> </w:t>
      </w:r>
      <w:r>
        <w:rPr>
          <w:w w:val="105"/>
        </w:rPr>
        <w:t>quarterly</w:t>
      </w:r>
      <w:r>
        <w:rPr>
          <w:spacing w:val="28"/>
          <w:w w:val="105"/>
        </w:rPr>
        <w:t> </w:t>
      </w:r>
      <w:r>
        <w:rPr>
          <w:w w:val="105"/>
        </w:rPr>
        <w:t>blackout period from engaging in transactions in puts, calls or other derivatives on an exchange or in any other</w:t>
      </w:r>
      <w:r>
        <w:rPr>
          <w:spacing w:val="40"/>
          <w:w w:val="105"/>
        </w:rPr>
        <w:t> </w:t>
      </w:r>
      <w:r>
        <w:rPr>
          <w:w w:val="105"/>
        </w:rPr>
        <w:t>organized market and other hedging transactions. In addition, our NEOs are required to sell Company stock</w:t>
      </w:r>
      <w:r>
        <w:rPr>
          <w:spacing w:val="40"/>
          <w:w w:val="105"/>
        </w:rPr>
        <w:t> </w:t>
      </w:r>
      <w:r>
        <w:rPr>
          <w:w w:val="105"/>
        </w:rPr>
        <w:t>through a 10b5-1 trading plan.</w:t>
      </w:r>
    </w:p>
    <w:p>
      <w:pPr>
        <w:pStyle w:val="BodyText"/>
        <w:spacing w:line="249" w:lineRule="auto" w:before="138"/>
        <w:ind w:left="1400" w:right="1423" w:firstLine="372"/>
      </w:pPr>
      <w:r>
        <w:rPr>
          <w:b/>
          <w:w w:val="105"/>
        </w:rPr>
        <w:t>Equity</w:t>
      </w:r>
      <w:r>
        <w:rPr>
          <w:b/>
          <w:spacing w:val="-9"/>
          <w:w w:val="105"/>
        </w:rPr>
        <w:t> </w:t>
      </w:r>
      <w:r>
        <w:rPr>
          <w:b/>
          <w:w w:val="105"/>
        </w:rPr>
        <w:t>Grant</w:t>
      </w:r>
      <w:r>
        <w:rPr>
          <w:b/>
          <w:spacing w:val="-9"/>
          <w:w w:val="105"/>
        </w:rPr>
        <w:t> </w:t>
      </w:r>
      <w:r>
        <w:rPr>
          <w:b/>
          <w:w w:val="105"/>
        </w:rPr>
        <w:t>Practices.</w:t>
      </w:r>
      <w:r>
        <w:rPr>
          <w:b/>
          <w:spacing w:val="80"/>
          <w:w w:val="105"/>
        </w:rPr>
        <w:t> </w:t>
      </w:r>
      <w:r>
        <w:rPr>
          <w:w w:val="105"/>
        </w:rPr>
        <w:t>The Compensation Committee approves grants of equity awards to Section 16 Insiders, most Senior Vice Presidents (“</w:t>
      </w:r>
      <w:r>
        <w:rPr>
          <w:b/>
          <w:w w:val="105"/>
        </w:rPr>
        <w:t>SVPs</w:t>
      </w:r>
      <w:r>
        <w:rPr>
          <w:w w:val="105"/>
        </w:rPr>
        <w:t>”), and other executives who directly report to the CEO. The Committee</w:t>
      </w:r>
      <w:r>
        <w:rPr>
          <w:spacing w:val="20"/>
          <w:w w:val="105"/>
        </w:rPr>
        <w:t> </w:t>
      </w:r>
      <w:r>
        <w:rPr>
          <w:w w:val="105"/>
        </w:rPr>
        <w:t>also</w:t>
      </w:r>
      <w:r>
        <w:rPr>
          <w:spacing w:val="20"/>
          <w:w w:val="105"/>
        </w:rPr>
        <w:t> </w:t>
      </w:r>
      <w:r>
        <w:rPr>
          <w:w w:val="105"/>
        </w:rPr>
        <w:t>annually</w:t>
      </w:r>
      <w:r>
        <w:rPr>
          <w:spacing w:val="20"/>
          <w:w w:val="105"/>
        </w:rPr>
        <w:t> </w:t>
      </w:r>
      <w:r>
        <w:rPr>
          <w:w w:val="105"/>
        </w:rPr>
        <w:t>approves</w:t>
      </w:r>
      <w:r>
        <w:rPr>
          <w:spacing w:val="20"/>
          <w:w w:val="105"/>
        </w:rPr>
        <w:t> </w:t>
      </w:r>
      <w:r>
        <w:rPr>
          <w:w w:val="105"/>
        </w:rPr>
        <w:t>a</w:t>
      </w:r>
      <w:r>
        <w:rPr>
          <w:spacing w:val="20"/>
          <w:w w:val="105"/>
        </w:rPr>
        <w:t> </w:t>
      </w:r>
      <w:r>
        <w:rPr>
          <w:w w:val="105"/>
        </w:rPr>
        <w:t>delegated</w:t>
      </w:r>
      <w:r>
        <w:rPr>
          <w:spacing w:val="20"/>
          <w:w w:val="105"/>
        </w:rPr>
        <w:t> </w:t>
      </w:r>
      <w:r>
        <w:rPr>
          <w:w w:val="105"/>
        </w:rPr>
        <w:t>pool</w:t>
      </w:r>
      <w:r>
        <w:rPr>
          <w:spacing w:val="20"/>
          <w:w w:val="105"/>
        </w:rPr>
        <w:t> </w:t>
      </w:r>
      <w:r>
        <w:rPr>
          <w:w w:val="105"/>
        </w:rPr>
        <w:t>of</w:t>
      </w:r>
      <w:r>
        <w:rPr>
          <w:spacing w:val="20"/>
          <w:w w:val="105"/>
        </w:rPr>
        <w:t> </w:t>
      </w:r>
      <w:r>
        <w:rPr>
          <w:w w:val="105"/>
        </w:rPr>
        <w:t>equity</w:t>
      </w:r>
      <w:r>
        <w:rPr>
          <w:spacing w:val="20"/>
          <w:w w:val="105"/>
        </w:rPr>
        <w:t> </w:t>
      </w:r>
      <w:r>
        <w:rPr>
          <w:w w:val="105"/>
        </w:rPr>
        <w:t>to</w:t>
      </w:r>
      <w:r>
        <w:rPr>
          <w:spacing w:val="20"/>
          <w:w w:val="105"/>
        </w:rPr>
        <w:t> </w:t>
      </w:r>
      <w:r>
        <w:rPr>
          <w:w w:val="105"/>
        </w:rPr>
        <w:t>be</w:t>
      </w:r>
      <w:r>
        <w:rPr>
          <w:spacing w:val="20"/>
          <w:w w:val="105"/>
        </w:rPr>
        <w:t> </w:t>
      </w:r>
      <w:r>
        <w:rPr>
          <w:w w:val="105"/>
        </w:rPr>
        <w:t>granted</w:t>
      </w:r>
      <w:r>
        <w:rPr>
          <w:spacing w:val="20"/>
          <w:w w:val="105"/>
        </w:rPr>
        <w:t> </w:t>
      </w:r>
      <w:r>
        <w:rPr>
          <w:w w:val="105"/>
        </w:rPr>
        <w:t>by</w:t>
      </w:r>
      <w:r>
        <w:rPr>
          <w:spacing w:val="20"/>
          <w:w w:val="105"/>
        </w:rPr>
        <w:t> </w:t>
      </w:r>
      <w:r>
        <w:rPr>
          <w:w w:val="105"/>
        </w:rPr>
        <w:t>the</w:t>
      </w:r>
      <w:r>
        <w:rPr>
          <w:spacing w:val="20"/>
          <w:w w:val="105"/>
        </w:rPr>
        <w:t> </w:t>
      </w:r>
      <w:r>
        <w:rPr>
          <w:w w:val="105"/>
        </w:rPr>
        <w:t>CEO</w:t>
      </w:r>
      <w:r>
        <w:rPr>
          <w:spacing w:val="20"/>
          <w:w w:val="105"/>
        </w:rPr>
        <w:t> </w:t>
      </w:r>
      <w:r>
        <w:rPr>
          <w:w w:val="105"/>
        </w:rPr>
        <w:t>to</w:t>
      </w:r>
      <w:r>
        <w:rPr>
          <w:spacing w:val="20"/>
          <w:w w:val="105"/>
        </w:rPr>
        <w:t> </w:t>
      </w:r>
      <w:r>
        <w:rPr>
          <w:w w:val="105"/>
        </w:rPr>
        <w:t>employees</w:t>
      </w:r>
      <w:r>
        <w:rPr>
          <w:spacing w:val="20"/>
          <w:w w:val="105"/>
        </w:rPr>
        <w:t> </w:t>
      </w:r>
      <w:r>
        <w:rPr>
          <w:w w:val="105"/>
        </w:rPr>
        <w:t>who </w:t>
      </w:r>
      <w:r>
        <w:rPr>
          <w:spacing w:val="-4"/>
          <w:w w:val="105"/>
        </w:rPr>
        <w:t>are</w:t>
      </w:r>
    </w:p>
    <w:p>
      <w:pPr>
        <w:spacing w:after="0" w:line="249" w:lineRule="auto"/>
        <w:sectPr>
          <w:type w:val="continuous"/>
          <w:pgSz w:w="12240" w:h="15840"/>
          <w:pgMar w:header="529" w:footer="1092" w:top="600" w:bottom="960" w:left="480" w:right="460"/>
        </w:sectPr>
      </w:pPr>
    </w:p>
    <w:p>
      <w:pPr>
        <w:pStyle w:val="BodyText"/>
        <w:rPr>
          <w:sz w:val="20"/>
        </w:rPr>
      </w:pPr>
      <w:r>
        <w:rPr/>
        <w:pict>
          <v:group style="position:absolute;margin-left:28.999998pt;margin-top:741.271423pt;width:555pt;height:1.4pt;mso-position-horizontal-relative:page;mso-position-vertical-relative:page;z-index:15776256" id="docshapegroup334" coordorigin="580,14825" coordsize="11100,28">
            <v:rect style="position:absolute;left:580;top:14825;width:11100;height:14" id="docshape335" filled="true" fillcolor="#999999" stroked="false">
              <v:fill type="solid"/>
            </v:rect>
            <v:shape style="position:absolute;left:579;top:14825;width:11100;height:28" id="docshape336" coordorigin="580,14825" coordsize="11100,28" path="m11680,14825l11666,14839,580,14839,580,14853,11666,14853,11680,14853,11680,14839,11680,14825xe" filled="true" fillcolor="#ededed" stroked="false">
              <v:path arrowok="t"/>
              <v:fill type="solid"/>
            </v:shape>
            <v:shape style="position:absolute;left:580;top:14825;width:14;height:28" id="docshape337" coordorigin="580,14825" coordsize="14,28" path="m580,14853l580,14825,594,14825,594,14839,580,14853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49" w:lineRule="auto" w:before="98"/>
        <w:ind w:left="1400" w:right="1551"/>
      </w:pPr>
      <w:r>
        <w:rPr>
          <w:w w:val="105"/>
        </w:rPr>
        <w:t>not in the group approved by the Compensation Committee. Grants may be made to selected newly hired individuals throughout the year on an off-cycle basis coincident with the first regularly scheduled quarterly</w:t>
      </w:r>
      <w:r>
        <w:rPr>
          <w:spacing w:val="40"/>
          <w:w w:val="105"/>
        </w:rPr>
        <w:t> </w:t>
      </w:r>
      <w:r>
        <w:rPr>
          <w:w w:val="105"/>
        </w:rPr>
        <w:t>meeting</w:t>
      </w:r>
      <w:r>
        <w:rPr>
          <w:spacing w:val="27"/>
          <w:w w:val="105"/>
        </w:rPr>
        <w:t> </w:t>
      </w:r>
      <w:r>
        <w:rPr>
          <w:w w:val="105"/>
        </w:rPr>
        <w:t>of</w:t>
      </w:r>
      <w:r>
        <w:rPr>
          <w:spacing w:val="27"/>
          <w:w w:val="105"/>
        </w:rPr>
        <w:t> </w:t>
      </w:r>
      <w:r>
        <w:rPr>
          <w:w w:val="105"/>
        </w:rPr>
        <w:t>the</w:t>
      </w:r>
      <w:r>
        <w:rPr>
          <w:spacing w:val="27"/>
          <w:w w:val="105"/>
        </w:rPr>
        <w:t> </w:t>
      </w:r>
      <w:r>
        <w:rPr>
          <w:w w:val="105"/>
        </w:rPr>
        <w:t>Compensation</w:t>
      </w:r>
      <w:r>
        <w:rPr>
          <w:spacing w:val="27"/>
          <w:w w:val="105"/>
        </w:rPr>
        <w:t> </w:t>
      </w:r>
      <w:r>
        <w:rPr>
          <w:w w:val="105"/>
        </w:rPr>
        <w:t>Committee</w:t>
      </w:r>
      <w:r>
        <w:rPr>
          <w:spacing w:val="27"/>
          <w:w w:val="105"/>
        </w:rPr>
        <w:t> </w:t>
      </w:r>
      <w:r>
        <w:rPr>
          <w:w w:val="105"/>
        </w:rPr>
        <w:t>following</w:t>
      </w:r>
      <w:r>
        <w:rPr>
          <w:spacing w:val="27"/>
          <w:w w:val="105"/>
        </w:rPr>
        <w:t> </w:t>
      </w:r>
      <w:r>
        <w:rPr>
          <w:w w:val="105"/>
        </w:rPr>
        <w:t>their</w:t>
      </w:r>
      <w:r>
        <w:rPr>
          <w:spacing w:val="27"/>
          <w:w w:val="105"/>
        </w:rPr>
        <w:t> </w:t>
      </w:r>
      <w:r>
        <w:rPr>
          <w:w w:val="105"/>
        </w:rPr>
        <w:t>date</w:t>
      </w:r>
      <w:r>
        <w:rPr>
          <w:spacing w:val="27"/>
          <w:w w:val="105"/>
        </w:rPr>
        <w:t> </w:t>
      </w:r>
      <w:r>
        <w:rPr>
          <w:w w:val="105"/>
        </w:rPr>
        <w:t>of</w:t>
      </w:r>
      <w:r>
        <w:rPr>
          <w:spacing w:val="27"/>
          <w:w w:val="105"/>
        </w:rPr>
        <w:t> </w:t>
      </w:r>
      <w:r>
        <w:rPr>
          <w:w w:val="105"/>
        </w:rPr>
        <w:t>hire.</w:t>
      </w:r>
      <w:r>
        <w:rPr>
          <w:spacing w:val="27"/>
          <w:w w:val="105"/>
        </w:rPr>
        <w:t> </w:t>
      </w:r>
      <w:r>
        <w:rPr>
          <w:w w:val="105"/>
        </w:rPr>
        <w:t>Special</w:t>
      </w:r>
      <w:r>
        <w:rPr>
          <w:spacing w:val="27"/>
          <w:w w:val="105"/>
        </w:rPr>
        <w:t> </w:t>
      </w:r>
      <w:r>
        <w:rPr>
          <w:w w:val="105"/>
        </w:rPr>
        <w:t>grants</w:t>
      </w:r>
      <w:r>
        <w:rPr>
          <w:spacing w:val="27"/>
          <w:w w:val="105"/>
        </w:rPr>
        <w:t> </w:t>
      </w:r>
      <w:r>
        <w:rPr>
          <w:w w:val="105"/>
        </w:rPr>
        <w:t>to</w:t>
      </w:r>
      <w:r>
        <w:rPr>
          <w:spacing w:val="27"/>
          <w:w w:val="105"/>
        </w:rPr>
        <w:t> </w:t>
      </w:r>
      <w:r>
        <w:rPr>
          <w:w w:val="105"/>
        </w:rPr>
        <w:t>continuing employees, such as for promotions or retention purposes, are typically approved coincident with the first</w:t>
      </w:r>
      <w:r>
        <w:rPr>
          <w:spacing w:val="40"/>
          <w:w w:val="105"/>
        </w:rPr>
        <w:t> </w:t>
      </w:r>
      <w:r>
        <w:rPr>
          <w:w w:val="105"/>
        </w:rPr>
        <w:t>regularly scheduled quarterly Compensation Committee meeting following the recommendation to make a special grant.</w:t>
      </w:r>
    </w:p>
    <w:p>
      <w:pPr>
        <w:pStyle w:val="BodyText"/>
        <w:spacing w:line="247" w:lineRule="auto" w:before="149"/>
        <w:ind w:left="1400" w:right="1465" w:firstLine="372"/>
      </w:pPr>
      <w:r>
        <w:rPr>
          <w:w w:val="105"/>
        </w:rPr>
        <w:t>The date of grant of an equity award had historically been the date approved by the Compensation Committee except in instances where our trading “blackout” was in effect or if our management knew of</w:t>
      </w:r>
      <w:r>
        <w:rPr>
          <w:spacing w:val="40"/>
          <w:w w:val="105"/>
        </w:rPr>
        <w:t> </w:t>
      </w:r>
      <w:r>
        <w:rPr>
          <w:w w:val="105"/>
        </w:rPr>
        <w:t>material, non-public information about the Company. Those equity awards were granted effective as of the close</w:t>
      </w:r>
      <w:r>
        <w:rPr>
          <w:spacing w:val="21"/>
          <w:w w:val="105"/>
        </w:rPr>
        <w:t> </w:t>
      </w:r>
      <w:r>
        <w:rPr>
          <w:w w:val="105"/>
        </w:rPr>
        <w:t>of</w:t>
      </w:r>
      <w:r>
        <w:rPr>
          <w:spacing w:val="21"/>
          <w:w w:val="105"/>
        </w:rPr>
        <w:t> </w:t>
      </w:r>
      <w:r>
        <w:rPr>
          <w:w w:val="105"/>
        </w:rPr>
        <w:t>the</w:t>
      </w:r>
      <w:r>
        <w:rPr>
          <w:spacing w:val="21"/>
          <w:w w:val="105"/>
        </w:rPr>
        <w:t> </w:t>
      </w:r>
      <w:r>
        <w:rPr>
          <w:w w:val="105"/>
        </w:rPr>
        <w:t>business</w:t>
      </w:r>
      <w:r>
        <w:rPr>
          <w:spacing w:val="21"/>
          <w:w w:val="105"/>
        </w:rPr>
        <w:t> </w:t>
      </w:r>
      <w:r>
        <w:rPr>
          <w:w w:val="105"/>
        </w:rPr>
        <w:t>day</w:t>
      </w:r>
      <w:r>
        <w:rPr>
          <w:spacing w:val="21"/>
          <w:w w:val="105"/>
        </w:rPr>
        <w:t> </w:t>
      </w:r>
      <w:r>
        <w:rPr>
          <w:w w:val="105"/>
        </w:rPr>
        <w:t>after</w:t>
      </w:r>
      <w:r>
        <w:rPr>
          <w:spacing w:val="21"/>
          <w:w w:val="105"/>
        </w:rPr>
        <w:t> </w:t>
      </w:r>
      <w:r>
        <w:rPr>
          <w:w w:val="105"/>
        </w:rPr>
        <w:t>the</w:t>
      </w:r>
      <w:r>
        <w:rPr>
          <w:spacing w:val="21"/>
          <w:w w:val="105"/>
        </w:rPr>
        <w:t> </w:t>
      </w:r>
      <w:r>
        <w:rPr>
          <w:w w:val="105"/>
        </w:rPr>
        <w:t>“blackout”</w:t>
      </w:r>
      <w:r>
        <w:rPr>
          <w:spacing w:val="21"/>
          <w:w w:val="105"/>
        </w:rPr>
        <w:t> </w:t>
      </w:r>
      <w:r>
        <w:rPr>
          <w:w w:val="105"/>
        </w:rPr>
        <w:t>expired,</w:t>
      </w:r>
      <w:r>
        <w:rPr>
          <w:spacing w:val="21"/>
          <w:w w:val="105"/>
        </w:rPr>
        <w:t> </w:t>
      </w:r>
      <w:r>
        <w:rPr>
          <w:w w:val="105"/>
        </w:rPr>
        <w:t>or</w:t>
      </w:r>
      <w:r>
        <w:rPr>
          <w:spacing w:val="21"/>
          <w:w w:val="105"/>
        </w:rPr>
        <w:t> </w:t>
      </w:r>
      <w:r>
        <w:rPr>
          <w:w w:val="105"/>
        </w:rPr>
        <w:t>the</w:t>
      </w:r>
      <w:r>
        <w:rPr>
          <w:spacing w:val="21"/>
          <w:w w:val="105"/>
        </w:rPr>
        <w:t> </w:t>
      </w:r>
      <w:r>
        <w:rPr>
          <w:w w:val="105"/>
        </w:rPr>
        <w:t>close</w:t>
      </w:r>
      <w:r>
        <w:rPr>
          <w:spacing w:val="21"/>
          <w:w w:val="105"/>
        </w:rPr>
        <w:t> </w:t>
      </w:r>
      <w:r>
        <w:rPr>
          <w:w w:val="105"/>
        </w:rPr>
        <w:t>of</w:t>
      </w:r>
      <w:r>
        <w:rPr>
          <w:spacing w:val="21"/>
          <w:w w:val="105"/>
        </w:rPr>
        <w:t> </w:t>
      </w:r>
      <w:r>
        <w:rPr>
          <w:w w:val="105"/>
        </w:rPr>
        <w:t>the</w:t>
      </w:r>
      <w:r>
        <w:rPr>
          <w:spacing w:val="21"/>
          <w:w w:val="105"/>
        </w:rPr>
        <w:t> </w:t>
      </w:r>
      <w:r>
        <w:rPr>
          <w:w w:val="105"/>
        </w:rPr>
        <w:t>second</w:t>
      </w:r>
      <w:r>
        <w:rPr>
          <w:spacing w:val="21"/>
          <w:w w:val="105"/>
        </w:rPr>
        <w:t> </w:t>
      </w:r>
      <w:r>
        <w:rPr>
          <w:w w:val="105"/>
        </w:rPr>
        <w:t>business</w:t>
      </w:r>
      <w:r>
        <w:rPr>
          <w:spacing w:val="21"/>
          <w:w w:val="105"/>
        </w:rPr>
        <w:t> </w:t>
      </w:r>
      <w:r>
        <w:rPr>
          <w:w w:val="105"/>
        </w:rPr>
        <w:t>day</w:t>
      </w:r>
      <w:r>
        <w:rPr>
          <w:spacing w:val="21"/>
          <w:w w:val="105"/>
        </w:rPr>
        <w:t> </w:t>
      </w:r>
      <w:r>
        <w:rPr>
          <w:w w:val="105"/>
        </w:rPr>
        <w:t>after</w:t>
      </w:r>
      <w:r>
        <w:rPr>
          <w:spacing w:val="21"/>
          <w:w w:val="105"/>
        </w:rPr>
        <w:t> </w:t>
      </w:r>
      <w:r>
        <w:rPr>
          <w:w w:val="105"/>
        </w:rPr>
        <w:t>the public</w:t>
      </w:r>
      <w:r>
        <w:rPr>
          <w:spacing w:val="31"/>
          <w:w w:val="105"/>
        </w:rPr>
        <w:t> </w:t>
      </w:r>
      <w:r>
        <w:rPr>
          <w:w w:val="105"/>
        </w:rPr>
        <w:t>release</w:t>
      </w:r>
      <w:r>
        <w:rPr>
          <w:spacing w:val="31"/>
          <w:w w:val="105"/>
        </w:rPr>
        <w:t> </w:t>
      </w:r>
      <w:r>
        <w:rPr>
          <w:w w:val="105"/>
        </w:rPr>
        <w:t>of</w:t>
      </w:r>
      <w:r>
        <w:rPr>
          <w:spacing w:val="31"/>
          <w:w w:val="105"/>
        </w:rPr>
        <w:t> </w:t>
      </w:r>
      <w:r>
        <w:rPr>
          <w:w w:val="105"/>
        </w:rPr>
        <w:t>the</w:t>
      </w:r>
      <w:r>
        <w:rPr>
          <w:spacing w:val="31"/>
          <w:w w:val="105"/>
        </w:rPr>
        <w:t> </w:t>
      </w:r>
      <w:r>
        <w:rPr>
          <w:w w:val="105"/>
        </w:rPr>
        <w:t>material,</w:t>
      </w:r>
      <w:r>
        <w:rPr>
          <w:spacing w:val="31"/>
          <w:w w:val="105"/>
        </w:rPr>
        <w:t> </w:t>
      </w:r>
      <w:r>
        <w:rPr>
          <w:w w:val="105"/>
        </w:rPr>
        <w:t>non-public</w:t>
      </w:r>
      <w:r>
        <w:rPr>
          <w:spacing w:val="31"/>
          <w:w w:val="105"/>
        </w:rPr>
        <w:t> </w:t>
      </w:r>
      <w:r>
        <w:rPr>
          <w:w w:val="105"/>
        </w:rPr>
        <w:t>information,</w:t>
      </w:r>
      <w:r>
        <w:rPr>
          <w:spacing w:val="31"/>
          <w:w w:val="105"/>
        </w:rPr>
        <w:t> </w:t>
      </w:r>
      <w:r>
        <w:rPr>
          <w:w w:val="105"/>
        </w:rPr>
        <w:t>as</w:t>
      </w:r>
      <w:r>
        <w:rPr>
          <w:spacing w:val="31"/>
          <w:w w:val="105"/>
        </w:rPr>
        <w:t> </w:t>
      </w:r>
      <w:r>
        <w:rPr>
          <w:w w:val="105"/>
        </w:rPr>
        <w:t>applicable.</w:t>
      </w:r>
      <w:r>
        <w:rPr>
          <w:spacing w:val="31"/>
          <w:w w:val="105"/>
        </w:rPr>
        <w:t> </w:t>
      </w:r>
      <w:r>
        <w:rPr>
          <w:w w:val="105"/>
        </w:rPr>
        <w:t>Our</w:t>
      </w:r>
      <w:r>
        <w:rPr>
          <w:spacing w:val="31"/>
          <w:w w:val="105"/>
        </w:rPr>
        <w:t> </w:t>
      </w:r>
      <w:r>
        <w:rPr>
          <w:w w:val="105"/>
        </w:rPr>
        <w:t>standard</w:t>
      </w:r>
      <w:r>
        <w:rPr>
          <w:spacing w:val="31"/>
          <w:w w:val="105"/>
        </w:rPr>
        <w:t> </w:t>
      </w:r>
      <w:r>
        <w:rPr>
          <w:w w:val="105"/>
        </w:rPr>
        <w:t>quarterly</w:t>
      </w:r>
      <w:r>
        <w:rPr>
          <w:spacing w:val="31"/>
          <w:w w:val="105"/>
        </w:rPr>
        <w:t> </w:t>
      </w:r>
      <w:r>
        <w:rPr>
          <w:w w:val="105"/>
        </w:rPr>
        <w:t>“blackout” period begins two weeks prior to the end of each fiscal quarter and ends two full business days after we</w:t>
      </w:r>
      <w:r>
        <w:rPr>
          <w:spacing w:val="40"/>
          <w:w w:val="105"/>
        </w:rPr>
        <w:t> </w:t>
      </w:r>
      <w:r>
        <w:rPr>
          <w:w w:val="105"/>
        </w:rPr>
        <w:t>publicly release our quarterly financial and operational results for the quarter. However, in September 2020,</w:t>
      </w:r>
      <w:r>
        <w:rPr>
          <w:spacing w:val="40"/>
          <w:w w:val="105"/>
        </w:rPr>
        <w:t> </w:t>
      </w:r>
      <w:r>
        <w:rPr>
          <w:w w:val="105"/>
        </w:rPr>
        <w:t>with</w:t>
      </w:r>
      <w:r>
        <w:rPr>
          <w:spacing w:val="20"/>
          <w:w w:val="105"/>
        </w:rPr>
        <w:t> </w:t>
      </w:r>
      <w:r>
        <w:rPr>
          <w:w w:val="105"/>
        </w:rPr>
        <w:t>the</w:t>
      </w:r>
      <w:r>
        <w:rPr>
          <w:spacing w:val="20"/>
          <w:w w:val="105"/>
        </w:rPr>
        <w:t> </w:t>
      </w:r>
      <w:r>
        <w:rPr>
          <w:w w:val="105"/>
        </w:rPr>
        <w:t>intent</w:t>
      </w:r>
      <w:r>
        <w:rPr>
          <w:spacing w:val="20"/>
          <w:w w:val="105"/>
        </w:rPr>
        <w:t> </w:t>
      </w:r>
      <w:r>
        <w:rPr>
          <w:w w:val="105"/>
        </w:rPr>
        <w:t>of</w:t>
      </w:r>
      <w:r>
        <w:rPr>
          <w:spacing w:val="20"/>
          <w:w w:val="105"/>
        </w:rPr>
        <w:t> </w:t>
      </w:r>
      <w:r>
        <w:rPr>
          <w:w w:val="105"/>
        </w:rPr>
        <w:t>simplifying</w:t>
      </w:r>
      <w:r>
        <w:rPr>
          <w:spacing w:val="20"/>
          <w:w w:val="105"/>
        </w:rPr>
        <w:t> </w:t>
      </w:r>
      <w:r>
        <w:rPr>
          <w:w w:val="105"/>
        </w:rPr>
        <w:t>the</w:t>
      </w:r>
      <w:r>
        <w:rPr>
          <w:spacing w:val="20"/>
          <w:w w:val="105"/>
        </w:rPr>
        <w:t> </w:t>
      </w:r>
      <w:r>
        <w:rPr>
          <w:w w:val="105"/>
        </w:rPr>
        <w:t>grant</w:t>
      </w:r>
      <w:r>
        <w:rPr>
          <w:spacing w:val="20"/>
          <w:w w:val="105"/>
        </w:rPr>
        <w:t> </w:t>
      </w:r>
      <w:r>
        <w:rPr>
          <w:w w:val="105"/>
        </w:rPr>
        <w:t>process</w:t>
      </w:r>
      <w:r>
        <w:rPr>
          <w:spacing w:val="20"/>
          <w:w w:val="105"/>
        </w:rPr>
        <w:t> </w:t>
      </w:r>
      <w:r>
        <w:rPr>
          <w:w w:val="105"/>
        </w:rPr>
        <w:t>while</w:t>
      </w:r>
      <w:r>
        <w:rPr>
          <w:spacing w:val="20"/>
          <w:w w:val="105"/>
        </w:rPr>
        <w:t> </w:t>
      </w:r>
      <w:r>
        <w:rPr>
          <w:w w:val="105"/>
        </w:rPr>
        <w:t>minimizing</w:t>
      </w:r>
      <w:r>
        <w:rPr>
          <w:spacing w:val="20"/>
          <w:w w:val="105"/>
        </w:rPr>
        <w:t> </w:t>
      </w:r>
      <w:r>
        <w:rPr>
          <w:w w:val="105"/>
        </w:rPr>
        <w:t>the</w:t>
      </w:r>
      <w:r>
        <w:rPr>
          <w:spacing w:val="20"/>
          <w:w w:val="105"/>
        </w:rPr>
        <w:t> </w:t>
      </w:r>
      <w:r>
        <w:rPr>
          <w:w w:val="105"/>
        </w:rPr>
        <w:t>potential</w:t>
      </w:r>
      <w:r>
        <w:rPr>
          <w:spacing w:val="20"/>
          <w:w w:val="105"/>
        </w:rPr>
        <w:t> </w:t>
      </w:r>
      <w:r>
        <w:rPr>
          <w:w w:val="105"/>
        </w:rPr>
        <w:t>for</w:t>
      </w:r>
      <w:r>
        <w:rPr>
          <w:spacing w:val="20"/>
          <w:w w:val="105"/>
        </w:rPr>
        <w:t> </w:t>
      </w:r>
      <w:r>
        <w:rPr>
          <w:w w:val="105"/>
        </w:rPr>
        <w:t>grants</w:t>
      </w:r>
      <w:r>
        <w:rPr>
          <w:spacing w:val="20"/>
          <w:w w:val="105"/>
        </w:rPr>
        <w:t> </w:t>
      </w:r>
      <w:r>
        <w:rPr>
          <w:w w:val="105"/>
        </w:rPr>
        <w:t>being</w:t>
      </w:r>
      <w:r>
        <w:rPr>
          <w:spacing w:val="20"/>
          <w:w w:val="105"/>
        </w:rPr>
        <w:t> </w:t>
      </w:r>
      <w:r>
        <w:rPr>
          <w:w w:val="105"/>
        </w:rPr>
        <w:t>made</w:t>
      </w:r>
      <w:r>
        <w:rPr>
          <w:spacing w:val="20"/>
          <w:w w:val="105"/>
        </w:rPr>
        <w:t> </w:t>
      </w:r>
      <w:r>
        <w:rPr>
          <w:w w:val="105"/>
        </w:rPr>
        <w:t>when</w:t>
      </w:r>
    </w:p>
    <w:p>
      <w:pPr>
        <w:pStyle w:val="BodyText"/>
        <w:spacing w:line="201" w:lineRule="auto" w:before="41"/>
        <w:ind w:left="1400" w:right="1464"/>
      </w:pPr>
      <w:r>
        <w:rPr>
          <w:w w:val="105"/>
        </w:rPr>
        <w:t>management</w:t>
      </w:r>
      <w:r>
        <w:rPr>
          <w:spacing w:val="19"/>
          <w:w w:val="105"/>
        </w:rPr>
        <w:t> </w:t>
      </w:r>
      <w:r>
        <w:rPr>
          <w:w w:val="105"/>
        </w:rPr>
        <w:t>could</w:t>
      </w:r>
      <w:r>
        <w:rPr>
          <w:spacing w:val="19"/>
          <w:w w:val="105"/>
        </w:rPr>
        <w:t> </w:t>
      </w:r>
      <w:r>
        <w:rPr>
          <w:w w:val="105"/>
        </w:rPr>
        <w:t>possibly</w:t>
      </w:r>
      <w:r>
        <w:rPr>
          <w:spacing w:val="19"/>
          <w:w w:val="105"/>
        </w:rPr>
        <w:t> </w:t>
      </w:r>
      <w:r>
        <w:rPr>
          <w:w w:val="105"/>
        </w:rPr>
        <w:t>possess</w:t>
      </w:r>
      <w:r>
        <w:rPr>
          <w:spacing w:val="19"/>
          <w:w w:val="105"/>
        </w:rPr>
        <w:t> </w:t>
      </w:r>
      <w:r>
        <w:rPr>
          <w:w w:val="105"/>
        </w:rPr>
        <w:t>material</w:t>
      </w:r>
      <w:r>
        <w:rPr>
          <w:spacing w:val="19"/>
          <w:w w:val="105"/>
        </w:rPr>
        <w:t> </w:t>
      </w:r>
      <w:r>
        <w:rPr>
          <w:w w:val="105"/>
        </w:rPr>
        <w:t>inside</w:t>
      </w:r>
      <w:r>
        <w:rPr>
          <w:spacing w:val="19"/>
          <w:w w:val="105"/>
        </w:rPr>
        <w:t> </w:t>
      </w:r>
      <w:r>
        <w:rPr>
          <w:w w:val="105"/>
        </w:rPr>
        <w:t>information,</w:t>
      </w:r>
      <w:r>
        <w:rPr>
          <w:spacing w:val="19"/>
          <w:w w:val="105"/>
        </w:rPr>
        <w:t> </w:t>
      </w:r>
      <w:r>
        <w:rPr>
          <w:w w:val="105"/>
        </w:rPr>
        <w:t>the</w:t>
      </w:r>
      <w:r>
        <w:rPr>
          <w:spacing w:val="19"/>
          <w:w w:val="105"/>
        </w:rPr>
        <w:t> </w:t>
      </w:r>
      <w:r>
        <w:rPr>
          <w:w w:val="105"/>
        </w:rPr>
        <w:t>Committee</w:t>
      </w:r>
      <w:r>
        <w:rPr>
          <w:spacing w:val="19"/>
          <w:w w:val="105"/>
        </w:rPr>
        <w:t> </w:t>
      </w:r>
      <w:r>
        <w:rPr>
          <w:w w:val="105"/>
        </w:rPr>
        <w:t>approved</w:t>
      </w:r>
      <w:r>
        <w:rPr>
          <w:spacing w:val="19"/>
          <w:w w:val="105"/>
        </w:rPr>
        <w:t> </w:t>
      </w:r>
      <w:r>
        <w:rPr>
          <w:w w:val="105"/>
        </w:rPr>
        <w:t>fixed</w:t>
      </w:r>
      <w:r>
        <w:rPr>
          <w:spacing w:val="19"/>
          <w:w w:val="105"/>
        </w:rPr>
        <w:t> </w:t>
      </w:r>
      <w:r>
        <w:rPr>
          <w:w w:val="105"/>
        </w:rPr>
        <w:t>grant</w:t>
      </w:r>
      <w:r>
        <w:rPr>
          <w:spacing w:val="19"/>
          <w:w w:val="105"/>
        </w:rPr>
        <w:t> </w:t>
      </w:r>
      <w:r>
        <w:rPr>
          <w:w w:val="105"/>
        </w:rPr>
        <w:t>dates of the 15</w:t>
      </w:r>
      <w:r>
        <w:rPr>
          <w:w w:val="105"/>
          <w:position w:val="8"/>
          <w:sz w:val="14"/>
        </w:rPr>
        <w:t>th</w:t>
      </w:r>
      <w:r>
        <w:rPr>
          <w:spacing w:val="30"/>
          <w:w w:val="105"/>
          <w:position w:val="8"/>
          <w:sz w:val="14"/>
        </w:rPr>
        <w:t> </w:t>
      </w:r>
      <w:r>
        <w:rPr>
          <w:w w:val="105"/>
        </w:rPr>
        <w:t>of February, May, August or November for subsequent equity grants. The November 15 fixed</w:t>
      </w:r>
    </w:p>
    <w:p>
      <w:pPr>
        <w:pStyle w:val="BodyText"/>
        <w:spacing w:line="259" w:lineRule="auto" w:before="16"/>
        <w:ind w:left="1400" w:right="1551"/>
      </w:pPr>
      <w:r>
        <w:rPr>
          <w:w w:val="105"/>
        </w:rPr>
        <w:t>grant date was later modified to December 10, to ensure that the grant date would follow the filing of our</w:t>
      </w:r>
      <w:r>
        <w:rPr>
          <w:spacing w:val="40"/>
          <w:w w:val="105"/>
        </w:rPr>
        <w:t> </w:t>
      </w:r>
      <w:r>
        <w:rPr>
          <w:w w:val="105"/>
        </w:rPr>
        <w:t>Annual Report on Form 10-K.</w:t>
      </w:r>
    </w:p>
    <w:p>
      <w:pPr>
        <w:pStyle w:val="BodyText"/>
        <w:spacing w:line="242" w:lineRule="auto" w:before="140"/>
        <w:ind w:left="1400" w:right="1489" w:firstLine="372"/>
        <w:jc w:val="both"/>
      </w:pPr>
      <w:r>
        <w:rPr>
          <w:w w:val="105"/>
        </w:rPr>
        <w:t>The exercise price of our stock options is generally based on the closing price of our common stock on</w:t>
      </w:r>
      <w:r>
        <w:rPr>
          <w:spacing w:val="40"/>
          <w:w w:val="105"/>
        </w:rPr>
        <w:t> </w:t>
      </w:r>
      <w:r>
        <w:rPr>
          <w:w w:val="105"/>
        </w:rPr>
        <w:t>the</w:t>
      </w:r>
      <w:r>
        <w:rPr>
          <w:spacing w:val="15"/>
          <w:w w:val="105"/>
        </w:rPr>
        <w:t> </w:t>
      </w:r>
      <w:r>
        <w:rPr>
          <w:w w:val="105"/>
        </w:rPr>
        <w:t>Nasdaq</w:t>
      </w:r>
      <w:r>
        <w:rPr>
          <w:spacing w:val="15"/>
          <w:w w:val="105"/>
        </w:rPr>
        <w:t> </w:t>
      </w:r>
      <w:r>
        <w:rPr>
          <w:w w:val="105"/>
        </w:rPr>
        <w:t>exchange</w:t>
      </w:r>
      <w:r>
        <w:rPr>
          <w:spacing w:val="15"/>
          <w:w w:val="105"/>
        </w:rPr>
        <w:t> </w:t>
      </w:r>
      <w:r>
        <w:rPr>
          <w:w w:val="105"/>
        </w:rPr>
        <w:t>on</w:t>
      </w:r>
      <w:r>
        <w:rPr>
          <w:spacing w:val="15"/>
          <w:w w:val="105"/>
        </w:rPr>
        <w:t> </w:t>
      </w:r>
      <w:r>
        <w:rPr>
          <w:w w:val="105"/>
        </w:rPr>
        <w:t>the</w:t>
      </w:r>
      <w:r>
        <w:rPr>
          <w:spacing w:val="15"/>
          <w:w w:val="105"/>
        </w:rPr>
        <w:t> </w:t>
      </w:r>
      <w:r>
        <w:rPr>
          <w:w w:val="105"/>
        </w:rPr>
        <w:t>date</w:t>
      </w:r>
      <w:r>
        <w:rPr>
          <w:spacing w:val="15"/>
          <w:w w:val="105"/>
        </w:rPr>
        <w:t> </w:t>
      </w:r>
      <w:r>
        <w:rPr>
          <w:w w:val="105"/>
        </w:rPr>
        <w:t>of</w:t>
      </w:r>
      <w:r>
        <w:rPr>
          <w:spacing w:val="15"/>
          <w:w w:val="105"/>
        </w:rPr>
        <w:t> </w:t>
      </w:r>
      <w:r>
        <w:rPr>
          <w:w w:val="105"/>
        </w:rPr>
        <w:t>grant. The</w:t>
      </w:r>
      <w:r>
        <w:rPr>
          <w:spacing w:val="15"/>
          <w:w w:val="105"/>
        </w:rPr>
        <w:t> </w:t>
      </w:r>
      <w:r>
        <w:rPr>
          <w:w w:val="105"/>
        </w:rPr>
        <w:t>2017</w:t>
      </w:r>
      <w:r>
        <w:rPr>
          <w:spacing w:val="15"/>
          <w:w w:val="105"/>
        </w:rPr>
        <w:t> </w:t>
      </w:r>
      <w:r>
        <w:rPr>
          <w:w w:val="105"/>
        </w:rPr>
        <w:t>Stock</w:t>
      </w:r>
      <w:r>
        <w:rPr>
          <w:spacing w:val="15"/>
          <w:w w:val="105"/>
        </w:rPr>
        <w:t> </w:t>
      </w:r>
      <w:r>
        <w:rPr>
          <w:w w:val="105"/>
        </w:rPr>
        <w:t>Plan</w:t>
      </w:r>
      <w:r>
        <w:rPr>
          <w:spacing w:val="15"/>
          <w:w w:val="105"/>
        </w:rPr>
        <w:t> </w:t>
      </w:r>
      <w:r>
        <w:rPr>
          <w:w w:val="105"/>
        </w:rPr>
        <w:t>and</w:t>
      </w:r>
      <w:r>
        <w:rPr>
          <w:spacing w:val="15"/>
          <w:w w:val="105"/>
        </w:rPr>
        <w:t> </w:t>
      </w:r>
      <w:r>
        <w:rPr>
          <w:w w:val="105"/>
        </w:rPr>
        <w:t>the</w:t>
      </w:r>
      <w:r>
        <w:rPr>
          <w:spacing w:val="15"/>
          <w:w w:val="105"/>
        </w:rPr>
        <w:t> </w:t>
      </w:r>
      <w:r>
        <w:rPr>
          <w:w w:val="105"/>
        </w:rPr>
        <w:t>2020</w:t>
      </w:r>
      <w:r>
        <w:rPr>
          <w:spacing w:val="15"/>
          <w:w w:val="105"/>
        </w:rPr>
        <w:t> </w:t>
      </w:r>
      <w:r>
        <w:rPr>
          <w:w w:val="105"/>
        </w:rPr>
        <w:t>Stock</w:t>
      </w:r>
      <w:r>
        <w:rPr>
          <w:spacing w:val="15"/>
          <w:w w:val="105"/>
        </w:rPr>
        <w:t> </w:t>
      </w:r>
      <w:r>
        <w:rPr>
          <w:w w:val="105"/>
        </w:rPr>
        <w:t>Plan</w:t>
      </w:r>
      <w:r>
        <w:rPr>
          <w:spacing w:val="15"/>
          <w:w w:val="105"/>
        </w:rPr>
        <w:t> </w:t>
      </w:r>
      <w:r>
        <w:rPr>
          <w:w w:val="105"/>
        </w:rPr>
        <w:t>explicitly</w:t>
      </w:r>
      <w:r>
        <w:rPr>
          <w:spacing w:val="15"/>
          <w:w w:val="105"/>
        </w:rPr>
        <w:t> </w:t>
      </w:r>
      <w:r>
        <w:rPr>
          <w:w w:val="105"/>
        </w:rPr>
        <w:t>prohibit the</w:t>
      </w:r>
      <w:r>
        <w:rPr>
          <w:spacing w:val="27"/>
          <w:w w:val="105"/>
        </w:rPr>
        <w:t> </w:t>
      </w:r>
      <w:r>
        <w:rPr>
          <w:w w:val="105"/>
        </w:rPr>
        <w:t>repricing</w:t>
      </w:r>
      <w:r>
        <w:rPr>
          <w:spacing w:val="27"/>
          <w:w w:val="105"/>
        </w:rPr>
        <w:t> </w:t>
      </w:r>
      <w:r>
        <w:rPr>
          <w:w w:val="105"/>
        </w:rPr>
        <w:t>of</w:t>
      </w:r>
      <w:r>
        <w:rPr>
          <w:spacing w:val="27"/>
          <w:w w:val="105"/>
        </w:rPr>
        <w:t> </w:t>
      </w:r>
      <w:r>
        <w:rPr>
          <w:w w:val="105"/>
        </w:rPr>
        <w:t>stock</w:t>
      </w:r>
      <w:r>
        <w:rPr>
          <w:spacing w:val="27"/>
          <w:w w:val="105"/>
        </w:rPr>
        <w:t> </w:t>
      </w:r>
      <w:r>
        <w:rPr>
          <w:w w:val="105"/>
        </w:rPr>
        <w:t>options</w:t>
      </w:r>
      <w:r>
        <w:rPr>
          <w:spacing w:val="27"/>
          <w:w w:val="105"/>
        </w:rPr>
        <w:t> </w:t>
      </w:r>
      <w:r>
        <w:rPr>
          <w:w w:val="105"/>
        </w:rPr>
        <w:t>without</w:t>
      </w:r>
      <w:r>
        <w:rPr>
          <w:spacing w:val="27"/>
          <w:w w:val="105"/>
        </w:rPr>
        <w:t> </w:t>
      </w:r>
      <w:r>
        <w:rPr>
          <w:w w:val="105"/>
        </w:rPr>
        <w:t>prior</w:t>
      </w:r>
      <w:r>
        <w:rPr>
          <w:spacing w:val="27"/>
          <w:w w:val="105"/>
        </w:rPr>
        <w:t> </w:t>
      </w:r>
      <w:r>
        <w:rPr>
          <w:w w:val="105"/>
        </w:rPr>
        <w:t>stockholder</w:t>
      </w:r>
      <w:r>
        <w:rPr>
          <w:spacing w:val="27"/>
          <w:w w:val="105"/>
        </w:rPr>
        <w:t> </w:t>
      </w:r>
      <w:r>
        <w:rPr>
          <w:w w:val="105"/>
        </w:rPr>
        <w:t>approval</w:t>
      </w:r>
      <w:r>
        <w:rPr>
          <w:spacing w:val="27"/>
          <w:w w:val="105"/>
        </w:rPr>
        <w:t> </w:t>
      </w:r>
      <w:r>
        <w:rPr>
          <w:w w:val="105"/>
        </w:rPr>
        <w:t>and</w:t>
      </w:r>
      <w:r>
        <w:rPr>
          <w:spacing w:val="27"/>
          <w:w w:val="105"/>
        </w:rPr>
        <w:t> </w:t>
      </w:r>
      <w:r>
        <w:rPr>
          <w:w w:val="105"/>
        </w:rPr>
        <w:t>grant</w:t>
      </w:r>
      <w:r>
        <w:rPr>
          <w:spacing w:val="27"/>
          <w:w w:val="105"/>
        </w:rPr>
        <w:t> </w:t>
      </w:r>
      <w:r>
        <w:rPr>
          <w:w w:val="105"/>
        </w:rPr>
        <w:t>of</w:t>
      </w:r>
      <w:r>
        <w:rPr>
          <w:spacing w:val="27"/>
          <w:w w:val="105"/>
        </w:rPr>
        <w:t> </w:t>
      </w:r>
      <w:r>
        <w:rPr>
          <w:w w:val="105"/>
        </w:rPr>
        <w:t>discount</w:t>
      </w:r>
      <w:r>
        <w:rPr>
          <w:spacing w:val="27"/>
          <w:w w:val="105"/>
        </w:rPr>
        <w:t> </w:t>
      </w:r>
      <w:r>
        <w:rPr>
          <w:w w:val="105"/>
        </w:rPr>
        <w:t>options.</w:t>
      </w:r>
    </w:p>
    <w:p>
      <w:pPr>
        <w:pStyle w:val="BodyText"/>
        <w:spacing w:line="249" w:lineRule="auto" w:before="156"/>
        <w:ind w:left="1400" w:right="1505" w:firstLine="372"/>
      </w:pPr>
      <w:r>
        <w:rPr>
          <w:b/>
          <w:w w:val="105"/>
        </w:rPr>
        <w:t>Compensation</w:t>
      </w:r>
      <w:r>
        <w:rPr>
          <w:b/>
          <w:spacing w:val="-8"/>
          <w:w w:val="105"/>
        </w:rPr>
        <w:t> </w:t>
      </w:r>
      <w:r>
        <w:rPr>
          <w:b/>
          <w:w w:val="105"/>
        </w:rPr>
        <w:t>Risk</w:t>
      </w:r>
      <w:r>
        <w:rPr>
          <w:b/>
          <w:spacing w:val="-8"/>
          <w:w w:val="105"/>
        </w:rPr>
        <w:t> </w:t>
      </w:r>
      <w:r>
        <w:rPr>
          <w:b/>
          <w:w w:val="105"/>
        </w:rPr>
        <w:t>Management.</w:t>
      </w:r>
      <w:r>
        <w:rPr>
          <w:b/>
          <w:spacing w:val="80"/>
          <w:w w:val="105"/>
        </w:rPr>
        <w:t> </w:t>
      </w:r>
      <w:r>
        <w:rPr>
          <w:w w:val="105"/>
        </w:rPr>
        <w:t>The Compensation Committee’s annual review and approval of our compensation philosophy and strategy includes the review of compensation related risk. In fiscal year 2022,</w:t>
      </w:r>
      <w:r>
        <w:rPr>
          <w:spacing w:val="80"/>
          <w:w w:val="105"/>
        </w:rPr>
        <w:t> </w:t>
      </w:r>
      <w:r>
        <w:rPr>
          <w:w w:val="105"/>
        </w:rPr>
        <w:t>the Compensation Committee’s consultant reviewed our compensation programs for employees and</w:t>
      </w:r>
      <w:r>
        <w:rPr>
          <w:spacing w:val="40"/>
          <w:w w:val="105"/>
        </w:rPr>
        <w:t> </w:t>
      </w:r>
      <w:r>
        <w:rPr>
          <w:w w:val="105"/>
        </w:rPr>
        <w:t>executives,</w:t>
      </w:r>
      <w:r>
        <w:rPr>
          <w:spacing w:val="28"/>
          <w:w w:val="105"/>
        </w:rPr>
        <w:t> </w:t>
      </w:r>
      <w:r>
        <w:rPr>
          <w:w w:val="105"/>
        </w:rPr>
        <w:t>including</w:t>
      </w:r>
      <w:r>
        <w:rPr>
          <w:spacing w:val="28"/>
          <w:w w:val="105"/>
        </w:rPr>
        <w:t> </w:t>
      </w:r>
      <w:r>
        <w:rPr>
          <w:w w:val="105"/>
        </w:rPr>
        <w:t>our</w:t>
      </w:r>
      <w:r>
        <w:rPr>
          <w:spacing w:val="28"/>
          <w:w w:val="105"/>
        </w:rPr>
        <w:t> </w:t>
      </w:r>
      <w:r>
        <w:rPr>
          <w:w w:val="105"/>
        </w:rPr>
        <w:t>annual</w:t>
      </w:r>
      <w:r>
        <w:rPr>
          <w:spacing w:val="28"/>
          <w:w w:val="105"/>
        </w:rPr>
        <w:t> </w:t>
      </w:r>
      <w:r>
        <w:rPr>
          <w:w w:val="105"/>
        </w:rPr>
        <w:t>cash</w:t>
      </w:r>
      <w:r>
        <w:rPr>
          <w:spacing w:val="28"/>
          <w:w w:val="105"/>
        </w:rPr>
        <w:t> </w:t>
      </w:r>
      <w:r>
        <w:rPr>
          <w:w w:val="105"/>
        </w:rPr>
        <w:t>incentive</w:t>
      </w:r>
      <w:r>
        <w:rPr>
          <w:spacing w:val="28"/>
          <w:w w:val="105"/>
        </w:rPr>
        <w:t> </w:t>
      </w:r>
      <w:r>
        <w:rPr>
          <w:w w:val="105"/>
        </w:rPr>
        <w:t>plans</w:t>
      </w:r>
      <w:r>
        <w:rPr>
          <w:spacing w:val="28"/>
          <w:w w:val="105"/>
        </w:rPr>
        <w:t> </w:t>
      </w:r>
      <w:r>
        <w:rPr>
          <w:w w:val="105"/>
        </w:rPr>
        <w:t>and</w:t>
      </w:r>
      <w:r>
        <w:rPr>
          <w:spacing w:val="28"/>
          <w:w w:val="105"/>
        </w:rPr>
        <w:t> </w:t>
      </w:r>
      <w:r>
        <w:rPr>
          <w:w w:val="105"/>
        </w:rPr>
        <w:t>long</w:t>
      </w:r>
      <w:r>
        <w:rPr>
          <w:spacing w:val="28"/>
          <w:w w:val="105"/>
        </w:rPr>
        <w:t> </w:t>
      </w:r>
      <w:r>
        <w:rPr>
          <w:w w:val="105"/>
        </w:rPr>
        <w:t>term,</w:t>
      </w:r>
      <w:r>
        <w:rPr>
          <w:spacing w:val="28"/>
          <w:w w:val="105"/>
        </w:rPr>
        <w:t> </w:t>
      </w:r>
      <w:r>
        <w:rPr>
          <w:w w:val="105"/>
        </w:rPr>
        <w:t>equity-based</w:t>
      </w:r>
      <w:r>
        <w:rPr>
          <w:spacing w:val="28"/>
          <w:w w:val="105"/>
        </w:rPr>
        <w:t> </w:t>
      </w:r>
      <w:r>
        <w:rPr>
          <w:w w:val="105"/>
        </w:rPr>
        <w:t>incentive</w:t>
      </w:r>
      <w:r>
        <w:rPr>
          <w:spacing w:val="28"/>
          <w:w w:val="105"/>
        </w:rPr>
        <w:t> </w:t>
      </w:r>
      <w:r>
        <w:rPr>
          <w:w w:val="105"/>
        </w:rPr>
        <w:t>awards,</w:t>
      </w:r>
      <w:r>
        <w:rPr>
          <w:spacing w:val="28"/>
          <w:w w:val="105"/>
        </w:rPr>
        <w:t> </w:t>
      </w:r>
      <w:r>
        <w:rPr>
          <w:w w:val="105"/>
        </w:rPr>
        <w:t>and does not believe that such compensation programs create risks that are reasonably likely to have a material</w:t>
      </w:r>
      <w:r>
        <w:rPr>
          <w:spacing w:val="40"/>
          <w:w w:val="105"/>
        </w:rPr>
        <w:t> </w:t>
      </w:r>
      <w:r>
        <w:rPr>
          <w:w w:val="105"/>
        </w:rPr>
        <w:t>adverse effect on the Company.</w:t>
      </w:r>
    </w:p>
    <w:p>
      <w:pPr>
        <w:pStyle w:val="BodyText"/>
        <w:spacing w:line="242" w:lineRule="auto" w:before="148"/>
        <w:ind w:left="1400" w:right="1733" w:firstLine="372"/>
      </w:pPr>
      <w:r>
        <w:rPr>
          <w:w w:val="105"/>
        </w:rPr>
        <w:t>The Compensation Committee’s consultant reported that our compensation programs are designed using an appropriate pay philosophy, peer group, and benchmarking to support business objectives with meaningful risk mitigation, oversight, and discretion by the Compensation Committee.</w:t>
      </w:r>
    </w:p>
    <w:p>
      <w:pPr>
        <w:pStyle w:val="BodyText"/>
        <w:spacing w:line="259" w:lineRule="auto" w:before="156"/>
        <w:ind w:left="1400" w:right="1446" w:firstLine="372"/>
        <w:jc w:val="both"/>
      </w:pPr>
      <w:r>
        <w:rPr>
          <w:w w:val="105"/>
        </w:rPr>
        <w:t>The report also determined that our principal sales incentive plan is based on measurable and verifiable goals</w:t>
      </w:r>
      <w:r>
        <w:rPr>
          <w:spacing w:val="16"/>
          <w:w w:val="105"/>
        </w:rPr>
        <w:t> </w:t>
      </w:r>
      <w:r>
        <w:rPr>
          <w:w w:val="105"/>
        </w:rPr>
        <w:t>for</w:t>
      </w:r>
      <w:r>
        <w:rPr>
          <w:spacing w:val="16"/>
          <w:w w:val="105"/>
        </w:rPr>
        <w:t> </w:t>
      </w:r>
      <w:r>
        <w:rPr>
          <w:w w:val="105"/>
        </w:rPr>
        <w:t>our</w:t>
      </w:r>
      <w:r>
        <w:rPr>
          <w:spacing w:val="16"/>
          <w:w w:val="105"/>
        </w:rPr>
        <w:t> </w:t>
      </w:r>
      <w:r>
        <w:rPr>
          <w:w w:val="105"/>
        </w:rPr>
        <w:t>bonus</w:t>
      </w:r>
      <w:r>
        <w:rPr>
          <w:spacing w:val="16"/>
          <w:w w:val="105"/>
        </w:rPr>
        <w:t> </w:t>
      </w:r>
      <w:r>
        <w:rPr>
          <w:w w:val="105"/>
        </w:rPr>
        <w:t>plan</w:t>
      </w:r>
      <w:r>
        <w:rPr>
          <w:spacing w:val="16"/>
          <w:w w:val="105"/>
        </w:rPr>
        <w:t> </w:t>
      </w:r>
      <w:r>
        <w:rPr>
          <w:w w:val="105"/>
        </w:rPr>
        <w:t>for</w:t>
      </w:r>
      <w:r>
        <w:rPr>
          <w:spacing w:val="16"/>
          <w:w w:val="105"/>
        </w:rPr>
        <w:t> </w:t>
      </w:r>
      <w:r>
        <w:rPr>
          <w:w w:val="105"/>
        </w:rPr>
        <w:t>executives.</w:t>
      </w:r>
      <w:r>
        <w:rPr>
          <w:spacing w:val="16"/>
          <w:w w:val="105"/>
        </w:rPr>
        <w:t> </w:t>
      </w:r>
      <w:r>
        <w:rPr>
          <w:w w:val="105"/>
        </w:rPr>
        <w:t>In</w:t>
      </w:r>
      <w:r>
        <w:rPr>
          <w:spacing w:val="16"/>
          <w:w w:val="105"/>
        </w:rPr>
        <w:t> </w:t>
      </w:r>
      <w:r>
        <w:rPr>
          <w:w w:val="105"/>
        </w:rPr>
        <w:t>addition,</w:t>
      </w:r>
      <w:r>
        <w:rPr>
          <w:spacing w:val="16"/>
          <w:w w:val="105"/>
        </w:rPr>
        <w:t> </w:t>
      </w:r>
      <w:r>
        <w:rPr>
          <w:w w:val="105"/>
        </w:rPr>
        <w:t>total</w:t>
      </w:r>
      <w:r>
        <w:rPr>
          <w:spacing w:val="16"/>
          <w:w w:val="105"/>
        </w:rPr>
        <w:t> </w:t>
      </w:r>
      <w:r>
        <w:rPr>
          <w:w w:val="105"/>
        </w:rPr>
        <w:t>target</w:t>
      </w:r>
      <w:r>
        <w:rPr>
          <w:spacing w:val="16"/>
          <w:w w:val="105"/>
        </w:rPr>
        <w:t> </w:t>
      </w:r>
      <w:r>
        <w:rPr>
          <w:w w:val="105"/>
        </w:rPr>
        <w:t>incentive</w:t>
      </w:r>
      <w:r>
        <w:rPr>
          <w:spacing w:val="16"/>
          <w:w w:val="105"/>
        </w:rPr>
        <w:t> </w:t>
      </w:r>
      <w:r>
        <w:rPr>
          <w:w w:val="105"/>
        </w:rPr>
        <w:t>compensation</w:t>
      </w:r>
      <w:r>
        <w:rPr>
          <w:spacing w:val="16"/>
          <w:w w:val="105"/>
        </w:rPr>
        <w:t> </w:t>
      </w:r>
      <w:r>
        <w:rPr>
          <w:w w:val="105"/>
        </w:rPr>
        <w:t>for</w:t>
      </w:r>
      <w:r>
        <w:rPr>
          <w:spacing w:val="16"/>
          <w:w w:val="105"/>
        </w:rPr>
        <w:t> </w:t>
      </w:r>
      <w:r>
        <w:rPr>
          <w:w w:val="105"/>
        </w:rPr>
        <w:t>all</w:t>
      </w:r>
      <w:r>
        <w:rPr>
          <w:spacing w:val="16"/>
          <w:w w:val="105"/>
        </w:rPr>
        <w:t> </w:t>
      </w:r>
      <w:r>
        <w:rPr>
          <w:w w:val="105"/>
        </w:rPr>
        <w:t>employees</w:t>
      </w:r>
      <w:r>
        <w:rPr>
          <w:spacing w:val="16"/>
          <w:w w:val="105"/>
        </w:rPr>
        <w:t> </w:t>
      </w:r>
      <w:r>
        <w:rPr>
          <w:w w:val="105"/>
        </w:rPr>
        <w:t>is a</w:t>
      </w:r>
      <w:r>
        <w:rPr>
          <w:spacing w:val="25"/>
          <w:w w:val="105"/>
        </w:rPr>
        <w:t> </w:t>
      </w:r>
      <w:r>
        <w:rPr>
          <w:w w:val="105"/>
        </w:rPr>
        <w:t>small</w:t>
      </w:r>
      <w:r>
        <w:rPr>
          <w:spacing w:val="25"/>
          <w:w w:val="105"/>
        </w:rPr>
        <w:t> </w:t>
      </w:r>
      <w:r>
        <w:rPr>
          <w:w w:val="105"/>
        </w:rPr>
        <w:t>percentage</w:t>
      </w:r>
      <w:r>
        <w:rPr>
          <w:spacing w:val="25"/>
          <w:w w:val="105"/>
        </w:rPr>
        <w:t> </w:t>
      </w:r>
      <w:r>
        <w:rPr>
          <w:w w:val="105"/>
        </w:rPr>
        <w:t>of</w:t>
      </w:r>
      <w:r>
        <w:rPr>
          <w:spacing w:val="25"/>
          <w:w w:val="105"/>
        </w:rPr>
        <w:t> </w:t>
      </w:r>
      <w:r>
        <w:rPr>
          <w:w w:val="105"/>
        </w:rPr>
        <w:t>total</w:t>
      </w:r>
      <w:r>
        <w:rPr>
          <w:spacing w:val="25"/>
          <w:w w:val="105"/>
        </w:rPr>
        <w:t> </w:t>
      </w:r>
      <w:r>
        <w:rPr>
          <w:w w:val="105"/>
        </w:rPr>
        <w:t>sales</w:t>
      </w:r>
      <w:r>
        <w:rPr>
          <w:spacing w:val="25"/>
          <w:w w:val="105"/>
        </w:rPr>
        <w:t> </w:t>
      </w:r>
      <w:r>
        <w:rPr>
          <w:w w:val="105"/>
        </w:rPr>
        <w:t>and</w:t>
      </w:r>
      <w:r>
        <w:rPr>
          <w:spacing w:val="25"/>
          <w:w w:val="105"/>
        </w:rPr>
        <w:t> </w:t>
      </w:r>
      <w:r>
        <w:rPr>
          <w:w w:val="105"/>
        </w:rPr>
        <w:t>revenue,</w:t>
      </w:r>
      <w:r>
        <w:rPr>
          <w:spacing w:val="25"/>
          <w:w w:val="105"/>
        </w:rPr>
        <w:t> </w:t>
      </w:r>
      <w:r>
        <w:rPr>
          <w:w w:val="105"/>
        </w:rPr>
        <w:t>and</w:t>
      </w:r>
      <w:r>
        <w:rPr>
          <w:spacing w:val="25"/>
          <w:w w:val="105"/>
        </w:rPr>
        <w:t> </w:t>
      </w:r>
      <w:r>
        <w:rPr>
          <w:w w:val="105"/>
        </w:rPr>
        <w:t>incentive</w:t>
      </w:r>
      <w:r>
        <w:rPr>
          <w:spacing w:val="25"/>
          <w:w w:val="105"/>
        </w:rPr>
        <w:t> </w:t>
      </w:r>
      <w:r>
        <w:rPr>
          <w:w w:val="105"/>
        </w:rPr>
        <w:t>opportunities</w:t>
      </w:r>
      <w:r>
        <w:rPr>
          <w:spacing w:val="25"/>
          <w:w w:val="105"/>
        </w:rPr>
        <w:t> </w:t>
      </w:r>
      <w:r>
        <w:rPr>
          <w:w w:val="105"/>
        </w:rPr>
        <w:t>under</w:t>
      </w:r>
      <w:r>
        <w:rPr>
          <w:spacing w:val="25"/>
          <w:w w:val="105"/>
        </w:rPr>
        <w:t> </w:t>
      </w:r>
      <w:r>
        <w:rPr>
          <w:w w:val="105"/>
        </w:rPr>
        <w:t>these</w:t>
      </w:r>
      <w:r>
        <w:rPr>
          <w:spacing w:val="25"/>
          <w:w w:val="105"/>
        </w:rPr>
        <w:t> </w:t>
      </w:r>
      <w:r>
        <w:rPr>
          <w:w w:val="105"/>
        </w:rPr>
        <w:t>plans</w:t>
      </w:r>
      <w:r>
        <w:rPr>
          <w:spacing w:val="25"/>
          <w:w w:val="105"/>
        </w:rPr>
        <w:t> </w:t>
      </w:r>
      <w:r>
        <w:rPr>
          <w:w w:val="105"/>
        </w:rPr>
        <w:t>are</w:t>
      </w:r>
      <w:r>
        <w:rPr>
          <w:spacing w:val="25"/>
          <w:w w:val="105"/>
        </w:rPr>
        <w:t> </w:t>
      </w:r>
      <w:r>
        <w:rPr>
          <w:w w:val="105"/>
        </w:rPr>
        <w:t>capped.</w:t>
      </w:r>
    </w:p>
    <w:p>
      <w:pPr>
        <w:pStyle w:val="BodyText"/>
        <w:ind w:left="1400"/>
        <w:jc w:val="both"/>
      </w:pPr>
      <w:r>
        <w:rPr>
          <w:w w:val="105"/>
        </w:rPr>
        <w:t>Management</w:t>
      </w:r>
      <w:r>
        <w:rPr>
          <w:spacing w:val="13"/>
          <w:w w:val="105"/>
        </w:rPr>
        <w:t> </w:t>
      </w:r>
      <w:r>
        <w:rPr>
          <w:w w:val="105"/>
        </w:rPr>
        <w:t>also</w:t>
      </w:r>
      <w:r>
        <w:rPr>
          <w:spacing w:val="14"/>
          <w:w w:val="105"/>
        </w:rPr>
        <w:t> </w:t>
      </w:r>
      <w:r>
        <w:rPr>
          <w:w w:val="105"/>
        </w:rPr>
        <w:t>retains</w:t>
      </w:r>
      <w:r>
        <w:rPr>
          <w:spacing w:val="14"/>
          <w:w w:val="105"/>
        </w:rPr>
        <w:t> </w:t>
      </w:r>
      <w:r>
        <w:rPr>
          <w:w w:val="105"/>
        </w:rPr>
        <w:t>discretion</w:t>
      </w:r>
      <w:r>
        <w:rPr>
          <w:spacing w:val="14"/>
          <w:w w:val="105"/>
        </w:rPr>
        <w:t> </w:t>
      </w:r>
      <w:r>
        <w:rPr>
          <w:w w:val="105"/>
        </w:rPr>
        <w:t>to</w:t>
      </w:r>
      <w:r>
        <w:rPr>
          <w:spacing w:val="13"/>
          <w:w w:val="105"/>
        </w:rPr>
        <w:t> </w:t>
      </w:r>
      <w:r>
        <w:rPr>
          <w:w w:val="105"/>
        </w:rPr>
        <w:t>reduce</w:t>
      </w:r>
      <w:r>
        <w:rPr>
          <w:spacing w:val="14"/>
          <w:w w:val="105"/>
        </w:rPr>
        <w:t> </w:t>
      </w:r>
      <w:r>
        <w:rPr>
          <w:w w:val="105"/>
        </w:rPr>
        <w:t>incentive</w:t>
      </w:r>
      <w:r>
        <w:rPr>
          <w:spacing w:val="14"/>
          <w:w w:val="105"/>
        </w:rPr>
        <w:t> </w:t>
      </w:r>
      <w:r>
        <w:rPr>
          <w:spacing w:val="-2"/>
          <w:w w:val="105"/>
        </w:rPr>
        <w:t>amounts.</w:t>
      </w:r>
    </w:p>
    <w:p>
      <w:pPr>
        <w:pStyle w:val="BodyText"/>
        <w:spacing w:line="259" w:lineRule="auto" w:before="170"/>
        <w:ind w:left="1400" w:right="1551" w:firstLine="372"/>
      </w:pPr>
      <w:r>
        <w:rPr>
          <w:w w:val="105"/>
        </w:rPr>
        <w:t>The Compensation Committee believes that the following risk oversight and compensation design features described in greater detail above in this Compensation Discussion and Analysis section safeguard against excessive risk taking:</w:t>
      </w:r>
    </w:p>
    <w:p>
      <w:pPr>
        <w:pStyle w:val="ListParagraph"/>
        <w:numPr>
          <w:ilvl w:val="0"/>
          <w:numId w:val="29"/>
        </w:numPr>
        <w:tabs>
          <w:tab w:pos="1960" w:val="left" w:leader="none"/>
        </w:tabs>
        <w:spacing w:line="240" w:lineRule="auto" w:before="113" w:after="0"/>
        <w:ind w:left="1959" w:right="0" w:hanging="188"/>
        <w:jc w:val="left"/>
        <w:rPr>
          <w:sz w:val="18"/>
        </w:rPr>
      </w:pPr>
      <w:r>
        <w:rPr>
          <w:w w:val="105"/>
          <w:sz w:val="18"/>
        </w:rPr>
        <w:t>Stock</w:t>
      </w:r>
      <w:r>
        <w:rPr>
          <w:spacing w:val="13"/>
          <w:w w:val="105"/>
          <w:sz w:val="18"/>
        </w:rPr>
        <w:t> </w:t>
      </w:r>
      <w:r>
        <w:rPr>
          <w:w w:val="105"/>
          <w:sz w:val="18"/>
        </w:rPr>
        <w:t>ownership</w:t>
      </w:r>
      <w:r>
        <w:rPr>
          <w:spacing w:val="13"/>
          <w:w w:val="105"/>
          <w:sz w:val="18"/>
        </w:rPr>
        <w:t> </w:t>
      </w:r>
      <w:r>
        <w:rPr>
          <w:spacing w:val="-2"/>
          <w:w w:val="105"/>
          <w:sz w:val="18"/>
        </w:rPr>
        <w:t>requirements,</w:t>
      </w:r>
    </w:p>
    <w:p>
      <w:pPr>
        <w:pStyle w:val="ListParagraph"/>
        <w:numPr>
          <w:ilvl w:val="0"/>
          <w:numId w:val="29"/>
        </w:numPr>
        <w:tabs>
          <w:tab w:pos="1960" w:val="left" w:leader="none"/>
        </w:tabs>
        <w:spacing w:line="240" w:lineRule="auto" w:before="128" w:after="0"/>
        <w:ind w:left="1959" w:right="0" w:hanging="188"/>
        <w:jc w:val="left"/>
        <w:rPr>
          <w:sz w:val="18"/>
        </w:rPr>
      </w:pPr>
      <w:r>
        <w:rPr>
          <w:w w:val="105"/>
          <w:sz w:val="18"/>
        </w:rPr>
        <w:t>Recoupment</w:t>
      </w:r>
      <w:r>
        <w:rPr>
          <w:spacing w:val="15"/>
          <w:w w:val="105"/>
          <w:sz w:val="18"/>
        </w:rPr>
        <w:t> </w:t>
      </w:r>
      <w:r>
        <w:rPr>
          <w:spacing w:val="-2"/>
          <w:w w:val="105"/>
          <w:sz w:val="18"/>
        </w:rPr>
        <w:t>policy,</w:t>
      </w:r>
    </w:p>
    <w:p>
      <w:pPr>
        <w:pStyle w:val="ListParagraph"/>
        <w:numPr>
          <w:ilvl w:val="0"/>
          <w:numId w:val="29"/>
        </w:numPr>
        <w:tabs>
          <w:tab w:pos="1960" w:val="left" w:leader="none"/>
        </w:tabs>
        <w:spacing w:line="259" w:lineRule="auto" w:before="129" w:after="0"/>
        <w:ind w:left="1959" w:right="1912" w:hanging="187"/>
        <w:jc w:val="left"/>
        <w:rPr>
          <w:sz w:val="18"/>
        </w:rPr>
      </w:pPr>
      <w:r>
        <w:rPr>
          <w:w w:val="105"/>
          <w:sz w:val="18"/>
        </w:rPr>
        <w:t>Prohibitions on executive officers and other employees subject to the quarterly blackout period engaging in any speculative transactions in Company securities, such as hedging,</w:t>
      </w:r>
    </w:p>
    <w:p>
      <w:pPr>
        <w:pStyle w:val="ListParagraph"/>
        <w:numPr>
          <w:ilvl w:val="0"/>
          <w:numId w:val="29"/>
        </w:numPr>
        <w:tabs>
          <w:tab w:pos="1960" w:val="left" w:leader="none"/>
        </w:tabs>
        <w:spacing w:line="259" w:lineRule="auto" w:before="112" w:after="0"/>
        <w:ind w:left="1959" w:right="1988" w:hanging="187"/>
        <w:jc w:val="left"/>
        <w:rPr>
          <w:sz w:val="18"/>
        </w:rPr>
      </w:pPr>
      <w:r>
        <w:rPr>
          <w:w w:val="105"/>
          <w:sz w:val="18"/>
        </w:rPr>
        <w:t>Prohibitions on executive officers from pledging Company securities in margin accounts or as collateral for a loan,</w:t>
      </w:r>
    </w:p>
    <w:p>
      <w:pPr>
        <w:pStyle w:val="ListParagraph"/>
        <w:numPr>
          <w:ilvl w:val="0"/>
          <w:numId w:val="29"/>
        </w:numPr>
        <w:tabs>
          <w:tab w:pos="1960" w:val="left" w:leader="none"/>
        </w:tabs>
        <w:spacing w:line="259" w:lineRule="auto" w:before="112" w:after="0"/>
        <w:ind w:left="1959" w:right="2181" w:hanging="187"/>
        <w:jc w:val="left"/>
        <w:rPr>
          <w:sz w:val="18"/>
        </w:rPr>
      </w:pPr>
      <w:r>
        <w:rPr>
          <w:w w:val="105"/>
          <w:sz w:val="18"/>
        </w:rPr>
        <w:t>Executive bonus payouts are based in large part on financial performance metrics that drive stockholder value, and</w:t>
      </w:r>
    </w:p>
    <w:p>
      <w:pPr>
        <w:pStyle w:val="ListParagraph"/>
        <w:numPr>
          <w:ilvl w:val="0"/>
          <w:numId w:val="29"/>
        </w:numPr>
        <w:tabs>
          <w:tab w:pos="1960" w:val="left" w:leader="none"/>
        </w:tabs>
        <w:spacing w:line="240" w:lineRule="auto" w:before="112" w:after="0"/>
        <w:ind w:left="1959" w:right="0" w:hanging="188"/>
        <w:jc w:val="left"/>
        <w:rPr>
          <w:sz w:val="18"/>
        </w:rPr>
      </w:pPr>
      <w:r>
        <w:rPr>
          <w:w w:val="105"/>
          <w:sz w:val="18"/>
        </w:rPr>
        <w:t>All</w:t>
      </w:r>
      <w:r>
        <w:rPr>
          <w:spacing w:val="13"/>
          <w:w w:val="105"/>
          <w:sz w:val="18"/>
        </w:rPr>
        <w:t> </w:t>
      </w:r>
      <w:r>
        <w:rPr>
          <w:w w:val="105"/>
          <w:sz w:val="18"/>
        </w:rPr>
        <w:t>equity</w:t>
      </w:r>
      <w:r>
        <w:rPr>
          <w:spacing w:val="13"/>
          <w:w w:val="105"/>
          <w:sz w:val="18"/>
        </w:rPr>
        <w:t> </w:t>
      </w:r>
      <w:r>
        <w:rPr>
          <w:w w:val="105"/>
          <w:sz w:val="18"/>
        </w:rPr>
        <w:t>awards</w:t>
      </w:r>
      <w:r>
        <w:rPr>
          <w:spacing w:val="13"/>
          <w:w w:val="105"/>
          <w:sz w:val="18"/>
        </w:rPr>
        <w:t> </w:t>
      </w:r>
      <w:r>
        <w:rPr>
          <w:w w:val="105"/>
          <w:sz w:val="18"/>
        </w:rPr>
        <w:t>have</w:t>
      </w:r>
      <w:r>
        <w:rPr>
          <w:spacing w:val="13"/>
          <w:w w:val="105"/>
          <w:sz w:val="18"/>
        </w:rPr>
        <w:t> </w:t>
      </w:r>
      <w:r>
        <w:rPr>
          <w:w w:val="105"/>
          <w:sz w:val="18"/>
        </w:rPr>
        <w:t>vesting</w:t>
      </w:r>
      <w:r>
        <w:rPr>
          <w:spacing w:val="14"/>
          <w:w w:val="105"/>
          <w:sz w:val="18"/>
        </w:rPr>
        <w:t> </w:t>
      </w:r>
      <w:r>
        <w:rPr>
          <w:w w:val="105"/>
          <w:sz w:val="18"/>
        </w:rPr>
        <w:t>requirements</w:t>
      </w:r>
      <w:r>
        <w:rPr>
          <w:spacing w:val="13"/>
          <w:w w:val="105"/>
          <w:sz w:val="18"/>
        </w:rPr>
        <w:t> </w:t>
      </w:r>
      <w:r>
        <w:rPr>
          <w:w w:val="105"/>
          <w:sz w:val="18"/>
        </w:rPr>
        <w:t>that</w:t>
      </w:r>
      <w:r>
        <w:rPr>
          <w:spacing w:val="13"/>
          <w:w w:val="105"/>
          <w:sz w:val="18"/>
        </w:rPr>
        <w:t> </w:t>
      </w:r>
      <w:r>
        <w:rPr>
          <w:w w:val="105"/>
          <w:sz w:val="18"/>
        </w:rPr>
        <w:t>align</w:t>
      </w:r>
      <w:r>
        <w:rPr>
          <w:spacing w:val="13"/>
          <w:w w:val="105"/>
          <w:sz w:val="18"/>
        </w:rPr>
        <w:t> </w:t>
      </w:r>
      <w:r>
        <w:rPr>
          <w:w w:val="105"/>
          <w:sz w:val="18"/>
        </w:rPr>
        <w:t>employees’</w:t>
      </w:r>
      <w:r>
        <w:rPr>
          <w:spacing w:val="-2"/>
          <w:w w:val="105"/>
          <w:sz w:val="18"/>
        </w:rPr>
        <w:t> </w:t>
      </w:r>
      <w:r>
        <w:rPr>
          <w:w w:val="105"/>
          <w:sz w:val="18"/>
        </w:rPr>
        <w:t>interests</w:t>
      </w:r>
      <w:r>
        <w:rPr>
          <w:spacing w:val="13"/>
          <w:w w:val="105"/>
          <w:sz w:val="18"/>
        </w:rPr>
        <w:t> </w:t>
      </w:r>
      <w:r>
        <w:rPr>
          <w:w w:val="105"/>
          <w:sz w:val="18"/>
        </w:rPr>
        <w:t>with</w:t>
      </w:r>
      <w:r>
        <w:rPr>
          <w:spacing w:val="13"/>
          <w:w w:val="105"/>
          <w:sz w:val="18"/>
        </w:rPr>
        <w:t> </w:t>
      </w:r>
      <w:r>
        <w:rPr>
          <w:spacing w:val="-2"/>
          <w:w w:val="105"/>
          <w:sz w:val="18"/>
        </w:rPr>
        <w:t>stockholders.</w:t>
      </w:r>
    </w:p>
    <w:p>
      <w:pPr>
        <w:pStyle w:val="BodyText"/>
        <w:spacing w:line="259" w:lineRule="auto" w:before="171"/>
        <w:ind w:left="1400" w:right="1551" w:firstLine="372"/>
      </w:pPr>
      <w:r>
        <w:rPr>
          <w:b/>
          <w:w w:val="105"/>
        </w:rPr>
        <w:t>Tax</w:t>
      </w:r>
      <w:r>
        <w:rPr>
          <w:b/>
          <w:spacing w:val="-4"/>
          <w:w w:val="105"/>
        </w:rPr>
        <w:t> </w:t>
      </w:r>
      <w:r>
        <w:rPr>
          <w:b/>
          <w:w w:val="105"/>
        </w:rPr>
        <w:t>Deductibility.</w:t>
      </w:r>
      <w:r>
        <w:rPr>
          <w:b/>
          <w:spacing w:val="80"/>
          <w:w w:val="105"/>
        </w:rPr>
        <w:t> </w:t>
      </w:r>
      <w:r>
        <w:rPr>
          <w:w w:val="105"/>
        </w:rPr>
        <w:t>Section 162(m) of the Code places a limit of $1 million on the amount of compensation</w:t>
      </w:r>
      <w:r>
        <w:rPr>
          <w:spacing w:val="12"/>
          <w:w w:val="105"/>
        </w:rPr>
        <w:t> </w:t>
      </w:r>
      <w:r>
        <w:rPr>
          <w:w w:val="105"/>
        </w:rPr>
        <w:t>that</w:t>
      </w:r>
      <w:r>
        <w:rPr>
          <w:spacing w:val="12"/>
          <w:w w:val="105"/>
        </w:rPr>
        <w:t> </w:t>
      </w:r>
      <w:r>
        <w:rPr>
          <w:w w:val="105"/>
        </w:rPr>
        <w:t>we</w:t>
      </w:r>
      <w:r>
        <w:rPr>
          <w:spacing w:val="12"/>
          <w:w w:val="105"/>
        </w:rPr>
        <w:t> </w:t>
      </w:r>
      <w:r>
        <w:rPr>
          <w:w w:val="105"/>
        </w:rPr>
        <w:t>may</w:t>
      </w:r>
      <w:r>
        <w:rPr>
          <w:spacing w:val="12"/>
          <w:w w:val="105"/>
        </w:rPr>
        <w:t> </w:t>
      </w:r>
      <w:r>
        <w:rPr>
          <w:w w:val="105"/>
        </w:rPr>
        <w:t>deduct</w:t>
      </w:r>
      <w:r>
        <w:rPr>
          <w:spacing w:val="12"/>
          <w:w w:val="105"/>
        </w:rPr>
        <w:t> </w:t>
      </w:r>
      <w:r>
        <w:rPr>
          <w:w w:val="105"/>
        </w:rPr>
        <w:t>as</w:t>
      </w:r>
      <w:r>
        <w:rPr>
          <w:spacing w:val="12"/>
          <w:w w:val="105"/>
        </w:rPr>
        <w:t> </w:t>
      </w:r>
      <w:r>
        <w:rPr>
          <w:w w:val="105"/>
        </w:rPr>
        <w:t>a</w:t>
      </w:r>
      <w:r>
        <w:rPr>
          <w:spacing w:val="12"/>
          <w:w w:val="105"/>
        </w:rPr>
        <w:t> </w:t>
      </w:r>
      <w:r>
        <w:rPr>
          <w:w w:val="105"/>
        </w:rPr>
        <w:t>business</w:t>
      </w:r>
      <w:r>
        <w:rPr>
          <w:spacing w:val="12"/>
          <w:w w:val="105"/>
        </w:rPr>
        <w:t> </w:t>
      </w:r>
      <w:r>
        <w:rPr>
          <w:w w:val="105"/>
        </w:rPr>
        <w:t>expense</w:t>
      </w:r>
      <w:r>
        <w:rPr>
          <w:spacing w:val="12"/>
          <w:w w:val="105"/>
        </w:rPr>
        <w:t> </w:t>
      </w:r>
      <w:r>
        <w:rPr>
          <w:w w:val="105"/>
        </w:rPr>
        <w:t>in</w:t>
      </w:r>
      <w:r>
        <w:rPr>
          <w:spacing w:val="12"/>
          <w:w w:val="105"/>
        </w:rPr>
        <w:t> </w:t>
      </w:r>
      <w:r>
        <w:rPr>
          <w:w w:val="105"/>
        </w:rPr>
        <w:t>any</w:t>
      </w:r>
      <w:r>
        <w:rPr>
          <w:spacing w:val="12"/>
          <w:w w:val="105"/>
        </w:rPr>
        <w:t> </w:t>
      </w:r>
      <w:r>
        <w:rPr>
          <w:w w:val="105"/>
        </w:rPr>
        <w:t>year</w:t>
      </w:r>
      <w:r>
        <w:rPr>
          <w:spacing w:val="12"/>
          <w:w w:val="105"/>
        </w:rPr>
        <w:t> </w:t>
      </w:r>
      <w:r>
        <w:rPr>
          <w:w w:val="105"/>
        </w:rPr>
        <w:t>with</w:t>
      </w:r>
      <w:r>
        <w:rPr>
          <w:spacing w:val="12"/>
          <w:w w:val="105"/>
        </w:rPr>
        <w:t> </w:t>
      </w:r>
      <w:r>
        <w:rPr>
          <w:w w:val="105"/>
        </w:rPr>
        <w:t>respect</w:t>
      </w:r>
      <w:r>
        <w:rPr>
          <w:spacing w:val="12"/>
          <w:w w:val="105"/>
        </w:rPr>
        <w:t> </w:t>
      </w:r>
      <w:r>
        <w:rPr>
          <w:w w:val="105"/>
        </w:rPr>
        <w:t>to</w:t>
      </w:r>
      <w:r>
        <w:rPr>
          <w:spacing w:val="12"/>
          <w:w w:val="105"/>
        </w:rPr>
        <w:t> </w:t>
      </w:r>
      <w:r>
        <w:rPr>
          <w:w w:val="105"/>
        </w:rPr>
        <w:t>certain</w:t>
      </w:r>
      <w:r>
        <w:rPr>
          <w:spacing w:val="12"/>
          <w:w w:val="105"/>
        </w:rPr>
        <w:t> </w:t>
      </w:r>
      <w:r>
        <w:rPr>
          <w:w w:val="105"/>
        </w:rPr>
        <w:t>of</w:t>
      </w:r>
      <w:r>
        <w:rPr>
          <w:spacing w:val="12"/>
          <w:w w:val="105"/>
        </w:rPr>
        <w:t> </w:t>
      </w:r>
      <w:r>
        <w:rPr>
          <w:w w:val="105"/>
        </w:rPr>
        <w:t>our</w:t>
      </w:r>
      <w:r>
        <w:rPr>
          <w:spacing w:val="12"/>
          <w:w w:val="105"/>
        </w:rPr>
        <w:t> </w:t>
      </w:r>
      <w:r>
        <w:rPr>
          <w:w w:val="105"/>
        </w:rPr>
        <w:t>most</w:t>
      </w:r>
    </w:p>
    <w:p>
      <w:pPr>
        <w:spacing w:after="0" w:line="259" w:lineRule="auto"/>
        <w:sectPr>
          <w:headerReference w:type="default" r:id="rId135"/>
          <w:footerReference w:type="default" r:id="rId136"/>
          <w:pgSz w:w="12240" w:h="15840"/>
          <w:pgMar w:header="529" w:footer="1442" w:top="720" w:bottom="1640" w:left="480" w:right="460"/>
        </w:sectPr>
      </w:pPr>
    </w:p>
    <w:p>
      <w:pPr>
        <w:pStyle w:val="BodyText"/>
        <w:rPr>
          <w:sz w:val="20"/>
        </w:rPr>
      </w:pPr>
      <w:r>
        <w:rPr/>
        <w:pict>
          <v:group style="position:absolute;margin-left:28.999998pt;margin-top:723.795227pt;width:555pt;height:1.4pt;mso-position-horizontal-relative:page;mso-position-vertical-relative:page;z-index:15776768" id="docshapegroup340" coordorigin="580,14476" coordsize="11100,28">
            <v:rect style="position:absolute;left:580;top:14475;width:11100;height:14" id="docshape341" filled="true" fillcolor="#999999" stroked="false">
              <v:fill type="solid"/>
            </v:rect>
            <v:shape style="position:absolute;left:579;top:14475;width:11100;height:28" id="docshape342" coordorigin="580,14476" coordsize="11100,28" path="m11680,14476l11666,14490,580,14490,580,14504,11666,14504,11680,14504,11680,14490,11680,14476xe" filled="true" fillcolor="#ededed" stroked="false">
              <v:path arrowok="t"/>
              <v:fill type="solid"/>
            </v:shape>
            <v:shape style="position:absolute;left:580;top:14475;width:14;height:28" id="docshape343" coordorigin="580,14476" coordsize="14,28" path="m580,14504l580,14476,594,14476,594,14490,580,14504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400" w:right="1680"/>
      </w:pPr>
      <w:r>
        <w:rPr>
          <w:w w:val="105"/>
        </w:rPr>
        <w:t>highly paid executive officers. While the Compensation Committee considers the deductibility of compensation as one factor in determining executive compensation, the Compensation Committee retains</w:t>
      </w:r>
      <w:r>
        <w:rPr>
          <w:spacing w:val="40"/>
          <w:w w:val="105"/>
        </w:rPr>
        <w:t> </w:t>
      </w:r>
      <w:r>
        <w:rPr>
          <w:w w:val="105"/>
        </w:rPr>
        <w:t>the discretion to award and pay compensation that is not deductible as it believes that it is in the best</w:t>
      </w:r>
      <w:r>
        <w:rPr>
          <w:spacing w:val="40"/>
          <w:w w:val="105"/>
        </w:rPr>
        <w:t> </w:t>
      </w:r>
      <w:r>
        <w:rPr>
          <w:w w:val="105"/>
        </w:rPr>
        <w:t>interests of our stockholders to maintain flexibility in our approach to executive compensation and to</w:t>
      </w:r>
      <w:r>
        <w:rPr>
          <w:spacing w:val="40"/>
          <w:w w:val="105"/>
        </w:rPr>
        <w:t> </w:t>
      </w:r>
      <w:r>
        <w:rPr>
          <w:w w:val="105"/>
        </w:rPr>
        <w:t>structure a program that we consider to be the most effective in attracting, motivating and retaining key</w:t>
      </w:r>
      <w:r>
        <w:rPr>
          <w:spacing w:val="40"/>
          <w:w w:val="105"/>
        </w:rPr>
        <w:t> </w:t>
      </w:r>
      <w:r>
        <w:rPr>
          <w:spacing w:val="-2"/>
          <w:w w:val="105"/>
        </w:rPr>
        <w:t>executives.</w:t>
      </w:r>
    </w:p>
    <w:p>
      <w:pPr>
        <w:pStyle w:val="BodyText"/>
        <w:spacing w:before="6"/>
        <w:rPr>
          <w:sz w:val="19"/>
        </w:rPr>
      </w:pPr>
    </w:p>
    <w:p>
      <w:pPr>
        <w:pStyle w:val="Heading2"/>
      </w:pPr>
      <w:bookmarkStart w:name="_TOC_250009" w:id="34"/>
      <w:r>
        <w:rPr>
          <w:spacing w:val="-2"/>
        </w:rPr>
        <w:t>Compensation</w:t>
      </w:r>
      <w:r>
        <w:rPr>
          <w:spacing w:val="6"/>
        </w:rPr>
        <w:t> </w:t>
      </w:r>
      <w:r>
        <w:rPr>
          <w:spacing w:val="-2"/>
        </w:rPr>
        <w:t>Committee</w:t>
      </w:r>
      <w:r>
        <w:rPr>
          <w:spacing w:val="6"/>
        </w:rPr>
        <w:t> </w:t>
      </w:r>
      <w:bookmarkEnd w:id="34"/>
      <w:r>
        <w:rPr>
          <w:spacing w:val="-2"/>
        </w:rPr>
        <w:t>Report</w:t>
      </w:r>
    </w:p>
    <w:p>
      <w:pPr>
        <w:pStyle w:val="BodyText"/>
        <w:spacing w:line="259" w:lineRule="auto" w:before="171"/>
        <w:ind w:left="1400" w:right="1699" w:firstLine="372"/>
      </w:pPr>
      <w:r>
        <w:rPr>
          <w:w w:val="105"/>
        </w:rPr>
        <w:t>The Compensation and Human Capital Management Committee (the “</w:t>
      </w:r>
      <w:r>
        <w:rPr>
          <w:b/>
          <w:w w:val="105"/>
        </w:rPr>
        <w:t>Compensation</w:t>
      </w:r>
      <w:r>
        <w:rPr>
          <w:b/>
          <w:spacing w:val="-11"/>
          <w:w w:val="105"/>
        </w:rPr>
        <w:t> </w:t>
      </w:r>
      <w:r>
        <w:rPr>
          <w:b/>
          <w:w w:val="105"/>
        </w:rPr>
        <w:t>Committee</w:t>
      </w:r>
      <w:r>
        <w:rPr>
          <w:w w:val="105"/>
        </w:rPr>
        <w:t>”) of the Board of Directors (the “</w:t>
      </w:r>
      <w:r>
        <w:rPr>
          <w:b/>
          <w:w w:val="105"/>
        </w:rPr>
        <w:t>Board</w:t>
      </w:r>
      <w:r>
        <w:rPr>
          <w:w w:val="105"/>
        </w:rPr>
        <w:t>”) of Varex Imaging Corporation (the “</w:t>
      </w:r>
      <w:r>
        <w:rPr>
          <w:b/>
          <w:w w:val="105"/>
        </w:rPr>
        <w:t>Company</w:t>
      </w:r>
      <w:r>
        <w:rPr>
          <w:w w:val="105"/>
        </w:rPr>
        <w:t>”) has reviewed and discussed with management the “Compensation Discussion and Analysis” section of the Proxy Statement</w:t>
      </w:r>
      <w:r>
        <w:rPr>
          <w:spacing w:val="40"/>
          <w:w w:val="105"/>
        </w:rPr>
        <w:t> </w:t>
      </w:r>
      <w:r>
        <w:rPr>
          <w:w w:val="105"/>
        </w:rPr>
        <w:t>for the 2023 Annual Meeting of Stockholders. Based on its review and discussions with management, the Compensation Committee recommended to the Board that the Compensation Discussion and Analysis be included in our Proxy Statement for the 2023 Annual Meeting of Stockholders and incorporated by</w:t>
      </w:r>
      <w:r>
        <w:rPr>
          <w:spacing w:val="40"/>
          <w:w w:val="105"/>
        </w:rPr>
        <w:t> </w:t>
      </w:r>
      <w:r>
        <w:rPr>
          <w:w w:val="105"/>
        </w:rPr>
        <w:t>reference in our Annual Report on Form 10-K for the fiscal year ended September 30, 2022.</w:t>
      </w:r>
    </w:p>
    <w:p>
      <w:pPr>
        <w:pStyle w:val="BodyText"/>
        <w:spacing w:before="6"/>
        <w:rPr>
          <w:sz w:val="19"/>
        </w:rPr>
      </w:pPr>
    </w:p>
    <w:p>
      <w:pPr>
        <w:spacing w:line="259" w:lineRule="auto" w:before="0"/>
        <w:ind w:left="1400" w:right="6648" w:firstLine="0"/>
        <w:jc w:val="left"/>
        <w:rPr>
          <w:i/>
          <w:sz w:val="18"/>
        </w:rPr>
      </w:pPr>
      <w:r>
        <w:rPr>
          <w:i/>
          <w:w w:val="105"/>
          <w:sz w:val="18"/>
        </w:rPr>
        <w:t>Walter</w:t>
      </w:r>
      <w:r>
        <w:rPr>
          <w:i/>
          <w:spacing w:val="-1"/>
          <w:w w:val="105"/>
          <w:sz w:val="18"/>
        </w:rPr>
        <w:t> </w:t>
      </w:r>
      <w:r>
        <w:rPr>
          <w:i/>
          <w:w w:val="105"/>
          <w:sz w:val="18"/>
        </w:rPr>
        <w:t>M</w:t>
      </w:r>
      <w:r>
        <w:rPr>
          <w:i/>
          <w:spacing w:val="-1"/>
          <w:w w:val="105"/>
          <w:sz w:val="18"/>
        </w:rPr>
        <w:t> </w:t>
      </w:r>
      <w:r>
        <w:rPr>
          <w:i/>
          <w:w w:val="105"/>
          <w:sz w:val="18"/>
        </w:rPr>
        <w:t>Rosebrough,</w:t>
      </w:r>
      <w:r>
        <w:rPr>
          <w:i/>
          <w:spacing w:val="-1"/>
          <w:w w:val="105"/>
          <w:sz w:val="18"/>
        </w:rPr>
        <w:t> </w:t>
      </w:r>
      <w:r>
        <w:rPr>
          <w:i/>
          <w:w w:val="105"/>
          <w:sz w:val="18"/>
        </w:rPr>
        <w:t>Jr.</w:t>
      </w:r>
      <w:r>
        <w:rPr>
          <w:i/>
          <w:spacing w:val="-1"/>
          <w:w w:val="105"/>
          <w:sz w:val="18"/>
        </w:rPr>
        <w:t> </w:t>
      </w:r>
      <w:r>
        <w:rPr>
          <w:i/>
          <w:w w:val="105"/>
          <w:sz w:val="18"/>
        </w:rPr>
        <w:t>(Chair)</w:t>
      </w:r>
      <w:r>
        <w:rPr>
          <w:i/>
          <w:w w:val="105"/>
          <w:sz w:val="18"/>
        </w:rPr>
        <w:t> Kathleen L. Bardwell</w:t>
      </w:r>
    </w:p>
    <w:p>
      <w:pPr>
        <w:spacing w:line="259" w:lineRule="auto" w:before="0"/>
        <w:ind w:left="1400" w:right="8199" w:firstLine="0"/>
        <w:jc w:val="left"/>
        <w:rPr>
          <w:i/>
          <w:sz w:val="18"/>
        </w:rPr>
      </w:pPr>
      <w:r>
        <w:rPr>
          <w:i/>
          <w:w w:val="105"/>
          <w:sz w:val="18"/>
        </w:rPr>
        <w:t>Timothy</w:t>
      </w:r>
      <w:r>
        <w:rPr>
          <w:i/>
          <w:spacing w:val="-3"/>
          <w:w w:val="105"/>
          <w:sz w:val="18"/>
        </w:rPr>
        <w:t> </w:t>
      </w:r>
      <w:r>
        <w:rPr>
          <w:i/>
          <w:w w:val="105"/>
          <w:sz w:val="18"/>
        </w:rPr>
        <w:t>E.</w:t>
      </w:r>
      <w:r>
        <w:rPr>
          <w:i/>
          <w:spacing w:val="-3"/>
          <w:w w:val="105"/>
          <w:sz w:val="18"/>
        </w:rPr>
        <w:t> </w:t>
      </w:r>
      <w:r>
        <w:rPr>
          <w:i/>
          <w:w w:val="105"/>
          <w:sz w:val="18"/>
        </w:rPr>
        <w:t>Guertin</w:t>
      </w:r>
      <w:r>
        <w:rPr>
          <w:i/>
          <w:w w:val="105"/>
          <w:sz w:val="18"/>
        </w:rPr>
        <w:t> Jay K. Kunkel</w:t>
      </w:r>
    </w:p>
    <w:p>
      <w:pPr>
        <w:spacing w:before="1"/>
        <w:ind w:left="1400" w:right="0" w:firstLine="0"/>
        <w:jc w:val="left"/>
        <w:rPr>
          <w:i/>
          <w:sz w:val="18"/>
        </w:rPr>
      </w:pPr>
      <w:r>
        <w:rPr>
          <w:i/>
          <w:sz w:val="18"/>
        </w:rPr>
        <w:t>Ruediger</w:t>
      </w:r>
      <w:r>
        <w:rPr>
          <w:i/>
          <w:spacing w:val="74"/>
          <w:w w:val="150"/>
          <w:sz w:val="18"/>
        </w:rPr>
        <w:t> </w:t>
      </w:r>
      <w:r>
        <w:rPr>
          <w:i/>
          <w:sz w:val="18"/>
        </w:rPr>
        <w:t>Naumann-</w:t>
      </w:r>
      <w:r>
        <w:rPr>
          <w:i/>
          <w:spacing w:val="-2"/>
          <w:sz w:val="18"/>
        </w:rPr>
        <w:t>Etienne</w:t>
      </w:r>
    </w:p>
    <w:p>
      <w:pPr>
        <w:spacing w:after="0"/>
        <w:jc w:val="left"/>
        <w:rPr>
          <w:sz w:val="18"/>
        </w:rPr>
        <w:sectPr>
          <w:headerReference w:type="default" r:id="rId137"/>
          <w:footerReference w:type="default" r:id="rId138"/>
          <w:pgSz w:w="12240" w:h="15840"/>
          <w:pgMar w:header="529" w:footer="1791" w:top="720" w:bottom="1980" w:left="480" w:right="460"/>
        </w:sectPr>
      </w:pPr>
    </w:p>
    <w:p>
      <w:pPr>
        <w:pStyle w:val="BodyText"/>
        <w:rPr>
          <w:i/>
          <w:sz w:val="20"/>
        </w:rPr>
      </w:pPr>
    </w:p>
    <w:p>
      <w:pPr>
        <w:pStyle w:val="BodyText"/>
        <w:rPr>
          <w:i/>
          <w:sz w:val="20"/>
        </w:rPr>
      </w:pPr>
    </w:p>
    <w:p>
      <w:pPr>
        <w:pStyle w:val="BodyText"/>
        <w:spacing w:before="2"/>
        <w:rPr>
          <w:i/>
          <w:sz w:val="27"/>
        </w:rPr>
      </w:pPr>
    </w:p>
    <w:p>
      <w:pPr>
        <w:pStyle w:val="Heading2"/>
        <w:spacing w:before="98"/>
      </w:pPr>
      <w:bookmarkStart w:name="_TOC_250008" w:id="35"/>
      <w:r>
        <w:rPr>
          <w:spacing w:val="-2"/>
        </w:rPr>
        <w:t>Summary</w:t>
      </w:r>
      <w:r>
        <w:rPr>
          <w:spacing w:val="7"/>
        </w:rPr>
        <w:t> </w:t>
      </w:r>
      <w:r>
        <w:rPr>
          <w:spacing w:val="-2"/>
        </w:rPr>
        <w:t>Compensation</w:t>
      </w:r>
      <w:r>
        <w:rPr>
          <w:spacing w:val="3"/>
        </w:rPr>
        <w:t> </w:t>
      </w:r>
      <w:bookmarkEnd w:id="35"/>
      <w:r>
        <w:rPr>
          <w:spacing w:val="-4"/>
        </w:rPr>
        <w:t>Table</w:t>
      </w:r>
    </w:p>
    <w:p>
      <w:pPr>
        <w:pStyle w:val="BodyText"/>
        <w:spacing w:line="259" w:lineRule="auto" w:before="171"/>
        <w:ind w:left="1400" w:right="1551" w:firstLine="372"/>
      </w:pPr>
      <w:r>
        <w:rPr>
          <w:w w:val="105"/>
        </w:rPr>
        <w:t>The following table sets forth certain information about the compensation of the NEOs for each of the</w:t>
      </w:r>
      <w:r>
        <w:rPr>
          <w:spacing w:val="40"/>
          <w:w w:val="105"/>
        </w:rPr>
        <w:t> </w:t>
      </w:r>
      <w:r>
        <w:rPr>
          <w:w w:val="105"/>
        </w:rPr>
        <w:t>last three fiscal years.</w:t>
      </w:r>
    </w:p>
    <w:p>
      <w:pPr>
        <w:pStyle w:val="BodyText"/>
        <w:spacing w:before="2"/>
        <w:rPr>
          <w:sz w:val="10"/>
        </w:rPr>
      </w:pPr>
    </w:p>
    <w:p>
      <w:pPr>
        <w:spacing w:after="0"/>
        <w:rPr>
          <w:sz w:val="10"/>
        </w:rPr>
        <w:sectPr>
          <w:headerReference w:type="default" r:id="rId139"/>
          <w:footerReference w:type="default" r:id="rId140"/>
          <w:pgSz w:w="12240" w:h="15840"/>
          <w:pgMar w:header="529" w:footer="1498" w:top="720" w:bottom="1680" w:left="480" w:right="460"/>
        </w:sectPr>
      </w:pPr>
    </w:p>
    <w:p>
      <w:pPr>
        <w:pStyle w:val="BodyText"/>
        <w:rPr>
          <w:sz w:val="16"/>
        </w:rPr>
      </w:pPr>
    </w:p>
    <w:p>
      <w:pPr>
        <w:pStyle w:val="BodyText"/>
        <w:rPr>
          <w:sz w:val="16"/>
        </w:rPr>
      </w:pPr>
    </w:p>
    <w:p>
      <w:pPr>
        <w:pStyle w:val="BodyText"/>
        <w:rPr>
          <w:sz w:val="16"/>
        </w:rPr>
      </w:pPr>
    </w:p>
    <w:p>
      <w:pPr>
        <w:pStyle w:val="BodyText"/>
        <w:spacing w:before="5"/>
      </w:pPr>
    </w:p>
    <w:p>
      <w:pPr>
        <w:spacing w:before="0"/>
        <w:ind w:left="607" w:right="0" w:firstLine="0"/>
        <w:jc w:val="left"/>
        <w:rPr>
          <w:b/>
          <w:sz w:val="15"/>
        </w:rPr>
      </w:pPr>
      <w:r>
        <w:rPr>
          <w:b/>
          <w:spacing w:val="-4"/>
          <w:sz w:val="15"/>
        </w:rPr>
        <w:t>Name</w:t>
      </w:r>
      <w:r>
        <w:rPr>
          <w:b/>
          <w:spacing w:val="-3"/>
          <w:sz w:val="15"/>
        </w:rPr>
        <w:t> </w:t>
      </w:r>
      <w:r>
        <w:rPr>
          <w:b/>
          <w:spacing w:val="-4"/>
          <w:sz w:val="15"/>
        </w:rPr>
        <w:t>and</w:t>
      </w:r>
      <w:r>
        <w:rPr>
          <w:b/>
          <w:spacing w:val="-3"/>
          <w:sz w:val="15"/>
        </w:rPr>
        <w:t> </w:t>
      </w:r>
      <w:r>
        <w:rPr>
          <w:b/>
          <w:spacing w:val="-4"/>
          <w:sz w:val="15"/>
        </w:rPr>
        <w:t>Principal</w:t>
      </w:r>
      <w:r>
        <w:rPr>
          <w:b/>
          <w:spacing w:val="-3"/>
          <w:sz w:val="15"/>
        </w:rPr>
        <w:t> </w:t>
      </w:r>
      <w:r>
        <w:rPr>
          <w:b/>
          <w:spacing w:val="-5"/>
          <w:sz w:val="15"/>
        </w:rPr>
        <w:t>Position</w:t>
      </w:r>
    </w:p>
    <w:p>
      <w:pPr>
        <w:spacing w:line="240" w:lineRule="auto" w:before="0"/>
        <w:rPr>
          <w:b/>
          <w:sz w:val="16"/>
        </w:rPr>
      </w:pPr>
      <w:r>
        <w:rPr/>
        <w:br w:type="column"/>
      </w:r>
      <w:r>
        <w:rPr>
          <w:b/>
          <w:sz w:val="16"/>
        </w:rPr>
      </w:r>
    </w:p>
    <w:p>
      <w:pPr>
        <w:pStyle w:val="BodyText"/>
        <w:rPr>
          <w:b/>
          <w:sz w:val="16"/>
        </w:rPr>
      </w:pPr>
    </w:p>
    <w:p>
      <w:pPr>
        <w:pStyle w:val="BodyText"/>
        <w:spacing w:before="2"/>
        <w:rPr>
          <w:b/>
          <w:sz w:val="20"/>
        </w:rPr>
      </w:pPr>
    </w:p>
    <w:p>
      <w:pPr>
        <w:spacing w:line="232" w:lineRule="auto" w:before="0"/>
        <w:ind w:left="569" w:right="0" w:hanging="35"/>
        <w:jc w:val="left"/>
        <w:rPr>
          <w:b/>
          <w:sz w:val="15"/>
        </w:rPr>
      </w:pPr>
      <w:r>
        <w:rPr>
          <w:b/>
          <w:spacing w:val="-6"/>
          <w:sz w:val="15"/>
        </w:rPr>
        <w:t>Fiscal</w:t>
      </w:r>
      <w:r>
        <w:rPr>
          <w:b/>
          <w:spacing w:val="40"/>
          <w:sz w:val="15"/>
        </w:rPr>
        <w:t> </w:t>
      </w:r>
      <w:r>
        <w:rPr>
          <w:b/>
          <w:spacing w:val="-4"/>
          <w:sz w:val="15"/>
        </w:rPr>
        <w:t>Year</w:t>
      </w:r>
    </w:p>
    <w:p>
      <w:pPr>
        <w:spacing w:line="240" w:lineRule="auto" w:before="0"/>
        <w:rPr>
          <w:b/>
          <w:sz w:val="16"/>
        </w:rPr>
      </w:pPr>
      <w:r>
        <w:rPr/>
        <w:br w:type="column"/>
      </w:r>
      <w:r>
        <w:rPr>
          <w:b/>
          <w:sz w:val="16"/>
        </w:rPr>
      </w:r>
    </w:p>
    <w:p>
      <w:pPr>
        <w:pStyle w:val="BodyText"/>
        <w:rPr>
          <w:b/>
          <w:sz w:val="16"/>
        </w:rPr>
      </w:pPr>
    </w:p>
    <w:p>
      <w:pPr>
        <w:pStyle w:val="BodyText"/>
        <w:spacing w:before="4"/>
        <w:rPr>
          <w:b/>
          <w:sz w:val="20"/>
        </w:rPr>
      </w:pPr>
    </w:p>
    <w:p>
      <w:pPr>
        <w:spacing w:line="230" w:lineRule="auto" w:before="0"/>
        <w:ind w:left="328" w:right="-1" w:hanging="65"/>
        <w:jc w:val="left"/>
        <w:rPr>
          <w:b/>
          <w:sz w:val="9"/>
        </w:rPr>
      </w:pPr>
      <w:r>
        <w:rPr>
          <w:b/>
          <w:spacing w:val="-6"/>
          <w:sz w:val="15"/>
        </w:rPr>
        <w:t>Salary</w:t>
      </w:r>
      <w:r>
        <w:rPr>
          <w:b/>
          <w:spacing w:val="40"/>
          <w:sz w:val="15"/>
        </w:rPr>
        <w:t> </w:t>
      </w:r>
      <w:r>
        <w:rPr>
          <w:b/>
          <w:spacing w:val="-2"/>
          <w:position w:val="-5"/>
          <w:sz w:val="15"/>
        </w:rPr>
        <w:t>($)</w:t>
      </w:r>
      <w:r>
        <w:rPr>
          <w:b/>
          <w:spacing w:val="-2"/>
          <w:sz w:val="9"/>
        </w:rPr>
        <w:t>(1)</w:t>
      </w:r>
    </w:p>
    <w:p>
      <w:pPr>
        <w:spacing w:line="240" w:lineRule="auto" w:before="0"/>
        <w:rPr>
          <w:b/>
          <w:sz w:val="16"/>
        </w:rPr>
      </w:pPr>
      <w:r>
        <w:rPr/>
        <w:br w:type="column"/>
      </w:r>
      <w:r>
        <w:rPr>
          <w:b/>
          <w:sz w:val="16"/>
        </w:rPr>
      </w:r>
    </w:p>
    <w:p>
      <w:pPr>
        <w:pStyle w:val="BodyText"/>
        <w:rPr>
          <w:b/>
          <w:sz w:val="16"/>
        </w:rPr>
      </w:pPr>
    </w:p>
    <w:p>
      <w:pPr>
        <w:pStyle w:val="BodyText"/>
        <w:spacing w:before="4"/>
        <w:rPr>
          <w:b/>
          <w:sz w:val="20"/>
        </w:rPr>
      </w:pPr>
    </w:p>
    <w:p>
      <w:pPr>
        <w:spacing w:line="230" w:lineRule="auto" w:before="0"/>
        <w:ind w:left="315" w:right="-4" w:hanging="59"/>
        <w:jc w:val="left"/>
        <w:rPr>
          <w:b/>
          <w:sz w:val="9"/>
        </w:rPr>
      </w:pPr>
      <w:r>
        <w:rPr>
          <w:b/>
          <w:spacing w:val="-6"/>
          <w:sz w:val="15"/>
        </w:rPr>
        <w:t>Bonus</w:t>
      </w:r>
      <w:r>
        <w:rPr>
          <w:b/>
          <w:spacing w:val="40"/>
          <w:sz w:val="15"/>
        </w:rPr>
        <w:t> </w:t>
      </w:r>
      <w:r>
        <w:rPr>
          <w:b/>
          <w:spacing w:val="-2"/>
          <w:position w:val="-5"/>
          <w:sz w:val="15"/>
        </w:rPr>
        <w:t>($)</w:t>
      </w:r>
      <w:r>
        <w:rPr>
          <w:b/>
          <w:spacing w:val="-2"/>
          <w:sz w:val="9"/>
        </w:rPr>
        <w:t>(2)</w:t>
      </w:r>
    </w:p>
    <w:p>
      <w:pPr>
        <w:spacing w:line="240" w:lineRule="auto" w:before="0"/>
        <w:rPr>
          <w:b/>
          <w:sz w:val="16"/>
        </w:rPr>
      </w:pPr>
      <w:r>
        <w:rPr/>
        <w:br w:type="column"/>
      </w:r>
      <w:r>
        <w:rPr>
          <w:b/>
          <w:sz w:val="16"/>
        </w:rPr>
      </w:r>
    </w:p>
    <w:p>
      <w:pPr>
        <w:pStyle w:val="BodyText"/>
        <w:spacing w:before="7"/>
        <w:rPr>
          <w:b/>
          <w:sz w:val="21"/>
        </w:rPr>
      </w:pPr>
    </w:p>
    <w:p>
      <w:pPr>
        <w:spacing w:line="232" w:lineRule="auto" w:before="0"/>
        <w:ind w:left="284" w:right="0" w:firstLine="0"/>
        <w:jc w:val="center"/>
        <w:rPr>
          <w:b/>
          <w:sz w:val="9"/>
        </w:rPr>
      </w:pPr>
      <w:r>
        <w:rPr>
          <w:b/>
          <w:spacing w:val="-2"/>
          <w:sz w:val="15"/>
        </w:rPr>
        <w:t>Stock</w:t>
      </w:r>
      <w:r>
        <w:rPr>
          <w:b/>
          <w:spacing w:val="40"/>
          <w:sz w:val="15"/>
        </w:rPr>
        <w:t> </w:t>
      </w:r>
      <w:r>
        <w:rPr>
          <w:b/>
          <w:spacing w:val="-8"/>
          <w:sz w:val="15"/>
        </w:rPr>
        <w:t>Awards</w:t>
      </w:r>
      <w:r>
        <w:rPr>
          <w:b/>
          <w:spacing w:val="40"/>
          <w:sz w:val="15"/>
        </w:rPr>
        <w:t> </w:t>
      </w:r>
      <w:r>
        <w:rPr>
          <w:b/>
          <w:spacing w:val="-2"/>
          <w:position w:val="-5"/>
          <w:sz w:val="15"/>
        </w:rPr>
        <w:t>($)</w:t>
      </w:r>
      <w:r>
        <w:rPr>
          <w:b/>
          <w:spacing w:val="-2"/>
          <w:sz w:val="9"/>
        </w:rPr>
        <w:t>(3)</w:t>
      </w:r>
    </w:p>
    <w:p>
      <w:pPr>
        <w:spacing w:line="240" w:lineRule="auto" w:before="0"/>
        <w:rPr>
          <w:b/>
          <w:sz w:val="16"/>
        </w:rPr>
      </w:pPr>
      <w:r>
        <w:rPr/>
        <w:br w:type="column"/>
      </w:r>
      <w:r>
        <w:rPr>
          <w:b/>
          <w:sz w:val="16"/>
        </w:rPr>
      </w:r>
    </w:p>
    <w:p>
      <w:pPr>
        <w:pStyle w:val="BodyText"/>
        <w:spacing w:before="7"/>
        <w:rPr>
          <w:b/>
          <w:sz w:val="21"/>
        </w:rPr>
      </w:pPr>
    </w:p>
    <w:p>
      <w:pPr>
        <w:spacing w:line="232" w:lineRule="auto" w:before="0"/>
        <w:ind w:left="386" w:right="0" w:hanging="1"/>
        <w:jc w:val="center"/>
        <w:rPr>
          <w:b/>
          <w:sz w:val="9"/>
        </w:rPr>
      </w:pPr>
      <w:r>
        <w:rPr>
          <w:b/>
          <w:spacing w:val="-2"/>
          <w:sz w:val="15"/>
        </w:rPr>
        <w:t>Option</w:t>
      </w:r>
      <w:r>
        <w:rPr>
          <w:b/>
          <w:spacing w:val="40"/>
          <w:sz w:val="15"/>
        </w:rPr>
        <w:t> </w:t>
      </w:r>
      <w:r>
        <w:rPr>
          <w:b/>
          <w:spacing w:val="-8"/>
          <w:sz w:val="15"/>
        </w:rPr>
        <w:t>Awards</w:t>
      </w:r>
      <w:r>
        <w:rPr>
          <w:b/>
          <w:spacing w:val="40"/>
          <w:sz w:val="15"/>
        </w:rPr>
        <w:t> </w:t>
      </w:r>
      <w:r>
        <w:rPr>
          <w:b/>
          <w:spacing w:val="-2"/>
          <w:position w:val="-5"/>
          <w:sz w:val="15"/>
        </w:rPr>
        <w:t>($)</w:t>
      </w:r>
      <w:r>
        <w:rPr>
          <w:b/>
          <w:spacing w:val="-2"/>
          <w:sz w:val="9"/>
        </w:rPr>
        <w:t>(4)</w:t>
      </w:r>
    </w:p>
    <w:p>
      <w:pPr>
        <w:spacing w:line="232" w:lineRule="auto" w:before="97"/>
        <w:ind w:left="368" w:right="81" w:firstLine="0"/>
        <w:jc w:val="center"/>
        <w:rPr>
          <w:b/>
          <w:sz w:val="15"/>
        </w:rPr>
      </w:pPr>
      <w:r>
        <w:rPr/>
        <w:br w:type="column"/>
      </w:r>
      <w:r>
        <w:rPr>
          <w:b/>
          <w:spacing w:val="-4"/>
          <w:sz w:val="15"/>
        </w:rPr>
        <w:t>Non-Equity</w:t>
      </w:r>
      <w:r>
        <w:rPr>
          <w:b/>
          <w:spacing w:val="40"/>
          <w:sz w:val="15"/>
        </w:rPr>
        <w:t> </w:t>
      </w:r>
      <w:r>
        <w:rPr>
          <w:b/>
          <w:spacing w:val="-2"/>
          <w:sz w:val="15"/>
        </w:rPr>
        <w:t>Incentive</w:t>
      </w:r>
      <w:r>
        <w:rPr>
          <w:b/>
          <w:spacing w:val="40"/>
          <w:sz w:val="15"/>
        </w:rPr>
        <w:t> </w:t>
      </w:r>
      <w:r>
        <w:rPr>
          <w:b/>
          <w:spacing w:val="-4"/>
          <w:sz w:val="15"/>
        </w:rPr>
        <w:t>Plan</w:t>
      </w:r>
    </w:p>
    <w:p>
      <w:pPr>
        <w:spacing w:line="230" w:lineRule="auto" w:before="3"/>
        <w:ind w:left="284" w:right="0" w:firstLine="0"/>
        <w:jc w:val="center"/>
        <w:rPr>
          <w:b/>
          <w:sz w:val="9"/>
        </w:rPr>
      </w:pPr>
      <w:r>
        <w:rPr>
          <w:b/>
          <w:spacing w:val="-4"/>
          <w:sz w:val="15"/>
        </w:rPr>
        <w:t>Compensation</w:t>
      </w:r>
      <w:r>
        <w:rPr>
          <w:b/>
          <w:spacing w:val="40"/>
          <w:sz w:val="15"/>
        </w:rPr>
        <w:t> </w:t>
      </w:r>
      <w:r>
        <w:rPr>
          <w:b/>
          <w:spacing w:val="-2"/>
          <w:position w:val="-5"/>
          <w:sz w:val="15"/>
        </w:rPr>
        <w:t>($)</w:t>
      </w:r>
      <w:r>
        <w:rPr>
          <w:b/>
          <w:spacing w:val="-2"/>
          <w:sz w:val="9"/>
        </w:rPr>
        <w:t>(5)</w:t>
      </w:r>
    </w:p>
    <w:p>
      <w:pPr>
        <w:spacing w:line="232" w:lineRule="auto" w:before="97"/>
        <w:ind w:left="182" w:right="0" w:hanging="1"/>
        <w:jc w:val="center"/>
        <w:rPr>
          <w:b/>
          <w:sz w:val="15"/>
        </w:rPr>
      </w:pPr>
      <w:r>
        <w:rPr/>
        <w:br w:type="column"/>
      </w:r>
      <w:r>
        <w:rPr>
          <w:b/>
          <w:spacing w:val="-2"/>
          <w:sz w:val="15"/>
        </w:rPr>
        <w:t>Nonqualified</w:t>
      </w:r>
      <w:r>
        <w:rPr>
          <w:b/>
          <w:spacing w:val="40"/>
          <w:sz w:val="15"/>
        </w:rPr>
        <w:t> </w:t>
      </w:r>
      <w:r>
        <w:rPr>
          <w:b/>
          <w:spacing w:val="-2"/>
          <w:sz w:val="15"/>
        </w:rPr>
        <w:t>Deferred</w:t>
      </w:r>
      <w:r>
        <w:rPr>
          <w:b/>
          <w:spacing w:val="40"/>
          <w:sz w:val="15"/>
        </w:rPr>
        <w:t> </w:t>
      </w:r>
      <w:r>
        <w:rPr>
          <w:b/>
          <w:spacing w:val="-6"/>
          <w:sz w:val="15"/>
        </w:rPr>
        <w:t>Compensation</w:t>
      </w:r>
      <w:r>
        <w:rPr>
          <w:b/>
          <w:spacing w:val="40"/>
          <w:sz w:val="15"/>
        </w:rPr>
        <w:t> </w:t>
      </w:r>
      <w:r>
        <w:rPr>
          <w:b/>
          <w:spacing w:val="-2"/>
          <w:sz w:val="15"/>
        </w:rPr>
        <w:t>Earnings</w:t>
      </w:r>
    </w:p>
    <w:p>
      <w:pPr>
        <w:spacing w:line="170" w:lineRule="exact" w:before="0"/>
        <w:ind w:left="525" w:right="343" w:firstLine="0"/>
        <w:jc w:val="center"/>
        <w:rPr>
          <w:b/>
          <w:sz w:val="15"/>
        </w:rPr>
      </w:pPr>
      <w:r>
        <w:rPr>
          <w:b/>
          <w:spacing w:val="-5"/>
          <w:sz w:val="15"/>
        </w:rPr>
        <w:t>($)</w:t>
      </w:r>
    </w:p>
    <w:p>
      <w:pPr>
        <w:spacing w:line="240" w:lineRule="auto" w:before="0"/>
        <w:rPr>
          <w:b/>
          <w:sz w:val="16"/>
        </w:rPr>
      </w:pPr>
      <w:r>
        <w:rPr/>
        <w:br w:type="column"/>
      </w:r>
      <w:r>
        <w:rPr>
          <w:b/>
          <w:sz w:val="16"/>
        </w:rPr>
      </w:r>
    </w:p>
    <w:p>
      <w:pPr>
        <w:pStyle w:val="BodyText"/>
        <w:spacing w:before="7"/>
        <w:rPr>
          <w:b/>
          <w:sz w:val="21"/>
        </w:rPr>
      </w:pPr>
    </w:p>
    <w:p>
      <w:pPr>
        <w:spacing w:line="232" w:lineRule="auto" w:before="0"/>
        <w:ind w:left="182" w:right="0" w:hanging="1"/>
        <w:jc w:val="center"/>
        <w:rPr>
          <w:b/>
          <w:sz w:val="9"/>
        </w:rPr>
      </w:pPr>
      <w:r>
        <w:rPr>
          <w:b/>
          <w:sz w:val="15"/>
        </w:rPr>
        <w:t>All</w:t>
      </w:r>
      <w:r>
        <w:rPr>
          <w:b/>
          <w:spacing w:val="-10"/>
          <w:sz w:val="15"/>
        </w:rPr>
        <w:t> </w:t>
      </w:r>
      <w:r>
        <w:rPr>
          <w:b/>
          <w:sz w:val="15"/>
        </w:rPr>
        <w:t>Other</w:t>
      </w:r>
      <w:r>
        <w:rPr>
          <w:b/>
          <w:spacing w:val="40"/>
          <w:sz w:val="15"/>
        </w:rPr>
        <w:t> </w:t>
      </w:r>
      <w:r>
        <w:rPr>
          <w:b/>
          <w:spacing w:val="-6"/>
          <w:sz w:val="15"/>
        </w:rPr>
        <w:t>Compensation</w:t>
      </w:r>
      <w:r>
        <w:rPr>
          <w:b/>
          <w:spacing w:val="40"/>
          <w:sz w:val="15"/>
        </w:rPr>
        <w:t> </w:t>
      </w:r>
      <w:r>
        <w:rPr>
          <w:b/>
          <w:spacing w:val="-2"/>
          <w:position w:val="-5"/>
          <w:sz w:val="15"/>
        </w:rPr>
        <w:t>($)</w:t>
      </w:r>
      <w:r>
        <w:rPr>
          <w:b/>
          <w:spacing w:val="-2"/>
          <w:sz w:val="9"/>
        </w:rPr>
        <w:t>(6)</w:t>
      </w:r>
    </w:p>
    <w:p>
      <w:pPr>
        <w:spacing w:line="240" w:lineRule="auto" w:before="0"/>
        <w:rPr>
          <w:b/>
          <w:sz w:val="16"/>
        </w:rPr>
      </w:pPr>
      <w:r>
        <w:rPr/>
        <w:br w:type="column"/>
      </w:r>
      <w:r>
        <w:rPr>
          <w:b/>
          <w:sz w:val="16"/>
        </w:rPr>
      </w:r>
    </w:p>
    <w:p>
      <w:pPr>
        <w:pStyle w:val="BodyText"/>
        <w:rPr>
          <w:b/>
          <w:sz w:val="16"/>
        </w:rPr>
      </w:pPr>
    </w:p>
    <w:p>
      <w:pPr>
        <w:pStyle w:val="BodyText"/>
        <w:spacing w:before="2"/>
        <w:rPr>
          <w:b/>
          <w:sz w:val="20"/>
        </w:rPr>
      </w:pPr>
    </w:p>
    <w:p>
      <w:pPr>
        <w:spacing w:line="232" w:lineRule="auto" w:before="0"/>
        <w:ind w:left="436" w:right="781" w:hanging="74"/>
        <w:jc w:val="left"/>
        <w:rPr>
          <w:b/>
          <w:sz w:val="15"/>
        </w:rPr>
      </w:pPr>
      <w:r>
        <w:rPr>
          <w:b/>
          <w:spacing w:val="-8"/>
          <w:sz w:val="15"/>
        </w:rPr>
        <w:t>Total</w:t>
      </w:r>
      <w:r>
        <w:rPr>
          <w:b/>
          <w:spacing w:val="40"/>
          <w:sz w:val="15"/>
        </w:rPr>
        <w:t> </w:t>
      </w:r>
      <w:r>
        <w:rPr>
          <w:b/>
          <w:spacing w:val="-4"/>
          <w:sz w:val="15"/>
        </w:rPr>
        <w:t>($)</w:t>
      </w:r>
    </w:p>
    <w:p>
      <w:pPr>
        <w:spacing w:after="0" w:line="232" w:lineRule="auto"/>
        <w:jc w:val="left"/>
        <w:rPr>
          <w:sz w:val="15"/>
        </w:rPr>
        <w:sectPr>
          <w:type w:val="continuous"/>
          <w:pgSz w:w="12240" w:h="15840"/>
          <w:pgMar w:header="529" w:footer="1498" w:top="600" w:bottom="960" w:left="480" w:right="460"/>
          <w:cols w:num="10" w:equalWidth="0">
            <w:col w:w="2356" w:space="40"/>
            <w:col w:w="893" w:space="39"/>
            <w:col w:w="663" w:space="40"/>
            <w:col w:w="643" w:space="40"/>
            <w:col w:w="756" w:space="40"/>
            <w:col w:w="858" w:space="39"/>
            <w:col w:w="1172" w:space="40"/>
            <w:col w:w="1069" w:space="39"/>
            <w:col w:w="1069" w:space="39"/>
            <w:col w:w="1465"/>
          </w:cols>
        </w:sectPr>
      </w:pPr>
    </w:p>
    <w:p>
      <w:pPr>
        <w:pStyle w:val="BodyText"/>
        <w:spacing w:before="10"/>
        <w:rPr>
          <w:b/>
          <w:sz w:val="4"/>
        </w:rPr>
      </w:pPr>
      <w:r>
        <w:rPr/>
        <w:pict>
          <v:group style="position:absolute;margin-left:28.999998pt;margin-top:738.475098pt;width:555pt;height:1.4pt;mso-position-horizontal-relative:page;mso-position-vertical-relative:page;z-index:15777792" id="docshapegroup346" coordorigin="580,14770" coordsize="11100,28">
            <v:rect style="position:absolute;left:580;top:14769;width:11100;height:14" id="docshape347" filled="true" fillcolor="#999999" stroked="false">
              <v:fill type="solid"/>
            </v:rect>
            <v:shape style="position:absolute;left:579;top:14769;width:11100;height:28" id="docshape348" coordorigin="580,14770" coordsize="11100,28" path="m11680,14770l11666,14783,580,14783,580,14797,11666,14797,11680,14797,11680,14783,11680,14770xe" filled="true" fillcolor="#ededed" stroked="false">
              <v:path arrowok="t"/>
              <v:fill type="solid"/>
            </v:shape>
            <v:shape style="position:absolute;left:580;top:14769;width:14;height:28" id="docshape349" coordorigin="580,14770" coordsize="14,28" path="m580,14797l580,14770,594,14770,594,14783,580,14797xe" filled="true" fillcolor="#999999" stroked="false">
              <v:path arrowok="t"/>
              <v:fill type="solid"/>
            </v:shape>
            <w10:wrap type="none"/>
          </v:group>
        </w:pict>
      </w:r>
    </w:p>
    <w:tbl>
      <w:tblPr>
        <w:tblW w:w="0" w:type="auto"/>
        <w:jc w:val="lef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7"/>
        <w:gridCol w:w="224"/>
        <w:gridCol w:w="364"/>
        <w:gridCol w:w="224"/>
        <w:gridCol w:w="560"/>
        <w:gridCol w:w="224"/>
        <w:gridCol w:w="378"/>
        <w:gridCol w:w="224"/>
        <w:gridCol w:w="671"/>
        <w:gridCol w:w="224"/>
        <w:gridCol w:w="678"/>
        <w:gridCol w:w="218"/>
        <w:gridCol w:w="896"/>
        <w:gridCol w:w="225"/>
        <w:gridCol w:w="882"/>
        <w:gridCol w:w="225"/>
        <w:gridCol w:w="882"/>
        <w:gridCol w:w="225"/>
        <w:gridCol w:w="686"/>
      </w:tblGrid>
      <w:tr>
        <w:trPr>
          <w:trHeight w:val="257" w:hRule="atLeast"/>
        </w:trPr>
        <w:tc>
          <w:tcPr>
            <w:tcW w:w="2097" w:type="dxa"/>
            <w:tcBorders>
              <w:top w:val="single" w:sz="6" w:space="0" w:color="000000"/>
            </w:tcBorders>
          </w:tcPr>
          <w:p>
            <w:pPr>
              <w:pStyle w:val="TableParagraph"/>
              <w:spacing w:line="178" w:lineRule="exact" w:before="60"/>
              <w:ind w:left="4"/>
              <w:rPr>
                <w:sz w:val="16"/>
              </w:rPr>
            </w:pPr>
            <w:r>
              <w:rPr>
                <w:w w:val="105"/>
                <w:sz w:val="16"/>
              </w:rPr>
              <w:t>Sunny</w:t>
            </w:r>
            <w:r>
              <w:rPr>
                <w:spacing w:val="10"/>
                <w:w w:val="105"/>
                <w:sz w:val="16"/>
              </w:rPr>
              <w:t> </w:t>
            </w:r>
            <w:r>
              <w:rPr>
                <w:w w:val="105"/>
                <w:sz w:val="16"/>
              </w:rPr>
              <w:t>S.</w:t>
            </w:r>
            <w:r>
              <w:rPr>
                <w:spacing w:val="11"/>
                <w:w w:val="105"/>
                <w:sz w:val="16"/>
              </w:rPr>
              <w:t> </w:t>
            </w:r>
            <w:r>
              <w:rPr>
                <w:spacing w:val="-2"/>
                <w:w w:val="105"/>
                <w:sz w:val="16"/>
              </w:rPr>
              <w:t>Sanyal</w:t>
            </w:r>
          </w:p>
        </w:tc>
        <w:tc>
          <w:tcPr>
            <w:tcW w:w="224" w:type="dxa"/>
          </w:tcPr>
          <w:p>
            <w:pPr>
              <w:pStyle w:val="TableParagraph"/>
              <w:rPr>
                <w:sz w:val="16"/>
              </w:rPr>
            </w:pPr>
          </w:p>
        </w:tc>
        <w:tc>
          <w:tcPr>
            <w:tcW w:w="364" w:type="dxa"/>
            <w:tcBorders>
              <w:top w:val="single" w:sz="6" w:space="0" w:color="000000"/>
            </w:tcBorders>
          </w:tcPr>
          <w:p>
            <w:pPr>
              <w:pStyle w:val="TableParagraph"/>
              <w:spacing w:line="178" w:lineRule="exact" w:before="60"/>
              <w:ind w:left="5"/>
              <w:jc w:val="center"/>
              <w:rPr>
                <w:sz w:val="16"/>
              </w:rPr>
            </w:pPr>
            <w:r>
              <w:rPr>
                <w:spacing w:val="-4"/>
                <w:w w:val="105"/>
                <w:sz w:val="16"/>
              </w:rPr>
              <w:t>2022</w:t>
            </w:r>
          </w:p>
        </w:tc>
        <w:tc>
          <w:tcPr>
            <w:tcW w:w="224" w:type="dxa"/>
          </w:tcPr>
          <w:p>
            <w:pPr>
              <w:pStyle w:val="TableParagraph"/>
              <w:rPr>
                <w:sz w:val="16"/>
              </w:rPr>
            </w:pPr>
          </w:p>
        </w:tc>
        <w:tc>
          <w:tcPr>
            <w:tcW w:w="560" w:type="dxa"/>
            <w:tcBorders>
              <w:top w:val="single" w:sz="6" w:space="0" w:color="000000"/>
            </w:tcBorders>
          </w:tcPr>
          <w:p>
            <w:pPr>
              <w:pStyle w:val="TableParagraph"/>
              <w:spacing w:line="178" w:lineRule="exact" w:before="60"/>
              <w:ind w:right="1"/>
              <w:jc w:val="center"/>
              <w:rPr>
                <w:sz w:val="16"/>
              </w:rPr>
            </w:pPr>
            <w:r>
              <w:rPr>
                <w:spacing w:val="-2"/>
                <w:w w:val="105"/>
                <w:sz w:val="16"/>
              </w:rPr>
              <w:t>714,776</w:t>
            </w:r>
          </w:p>
        </w:tc>
        <w:tc>
          <w:tcPr>
            <w:tcW w:w="224" w:type="dxa"/>
          </w:tcPr>
          <w:p>
            <w:pPr>
              <w:pStyle w:val="TableParagraph"/>
              <w:rPr>
                <w:sz w:val="16"/>
              </w:rPr>
            </w:pPr>
          </w:p>
        </w:tc>
        <w:tc>
          <w:tcPr>
            <w:tcW w:w="378" w:type="dxa"/>
            <w:tcBorders>
              <w:top w:val="single" w:sz="6" w:space="0" w:color="000000"/>
            </w:tcBorders>
          </w:tcPr>
          <w:p>
            <w:pPr>
              <w:pStyle w:val="TableParagraph"/>
              <w:spacing w:line="178" w:lineRule="exact" w:before="60"/>
              <w:ind w:right="1"/>
              <w:jc w:val="right"/>
              <w:rPr>
                <w:sz w:val="16"/>
              </w:rPr>
            </w:pPr>
            <w:r>
              <w:rPr>
                <w:w w:val="104"/>
                <w:sz w:val="16"/>
              </w:rPr>
              <w:t>—</w:t>
            </w:r>
          </w:p>
        </w:tc>
        <w:tc>
          <w:tcPr>
            <w:tcW w:w="224" w:type="dxa"/>
          </w:tcPr>
          <w:p>
            <w:pPr>
              <w:pStyle w:val="TableParagraph"/>
              <w:rPr>
                <w:sz w:val="16"/>
              </w:rPr>
            </w:pPr>
          </w:p>
        </w:tc>
        <w:tc>
          <w:tcPr>
            <w:tcW w:w="671" w:type="dxa"/>
            <w:tcBorders>
              <w:top w:val="single" w:sz="6" w:space="0" w:color="000000"/>
            </w:tcBorders>
          </w:tcPr>
          <w:p>
            <w:pPr>
              <w:pStyle w:val="TableParagraph"/>
              <w:spacing w:line="178" w:lineRule="exact" w:before="60"/>
              <w:ind w:right="-15"/>
              <w:jc w:val="right"/>
              <w:rPr>
                <w:sz w:val="16"/>
              </w:rPr>
            </w:pPr>
            <w:r>
              <w:rPr>
                <w:spacing w:val="-2"/>
                <w:w w:val="105"/>
                <w:sz w:val="16"/>
              </w:rPr>
              <w:t>1,499,975</w:t>
            </w:r>
          </w:p>
        </w:tc>
        <w:tc>
          <w:tcPr>
            <w:tcW w:w="224" w:type="dxa"/>
          </w:tcPr>
          <w:p>
            <w:pPr>
              <w:pStyle w:val="TableParagraph"/>
              <w:rPr>
                <w:sz w:val="16"/>
              </w:rPr>
            </w:pPr>
          </w:p>
        </w:tc>
        <w:tc>
          <w:tcPr>
            <w:tcW w:w="678" w:type="dxa"/>
            <w:tcBorders>
              <w:top w:val="single" w:sz="6" w:space="0" w:color="000000"/>
            </w:tcBorders>
          </w:tcPr>
          <w:p>
            <w:pPr>
              <w:pStyle w:val="TableParagraph"/>
              <w:spacing w:line="178" w:lineRule="exact" w:before="60"/>
              <w:jc w:val="center"/>
              <w:rPr>
                <w:sz w:val="16"/>
              </w:rPr>
            </w:pPr>
            <w:r>
              <w:rPr>
                <w:spacing w:val="-2"/>
                <w:w w:val="105"/>
                <w:sz w:val="16"/>
              </w:rPr>
              <w:t>1,499,999</w:t>
            </w:r>
          </w:p>
        </w:tc>
        <w:tc>
          <w:tcPr>
            <w:tcW w:w="218" w:type="dxa"/>
          </w:tcPr>
          <w:p>
            <w:pPr>
              <w:pStyle w:val="TableParagraph"/>
              <w:rPr>
                <w:sz w:val="16"/>
              </w:rPr>
            </w:pPr>
          </w:p>
        </w:tc>
        <w:tc>
          <w:tcPr>
            <w:tcW w:w="896" w:type="dxa"/>
            <w:tcBorders>
              <w:top w:val="single" w:sz="6" w:space="0" w:color="000000"/>
            </w:tcBorders>
          </w:tcPr>
          <w:p>
            <w:pPr>
              <w:pStyle w:val="TableParagraph"/>
              <w:spacing w:line="178" w:lineRule="exact" w:before="60"/>
              <w:ind w:left="161" w:right="161"/>
              <w:jc w:val="center"/>
              <w:rPr>
                <w:sz w:val="16"/>
              </w:rPr>
            </w:pPr>
            <w:r>
              <w:rPr>
                <w:spacing w:val="-2"/>
                <w:w w:val="105"/>
                <w:sz w:val="16"/>
              </w:rPr>
              <w:t>734,753</w:t>
            </w:r>
          </w:p>
        </w:tc>
        <w:tc>
          <w:tcPr>
            <w:tcW w:w="225" w:type="dxa"/>
          </w:tcPr>
          <w:p>
            <w:pPr>
              <w:pStyle w:val="TableParagraph"/>
              <w:rPr>
                <w:sz w:val="16"/>
              </w:rPr>
            </w:pPr>
          </w:p>
        </w:tc>
        <w:tc>
          <w:tcPr>
            <w:tcW w:w="882" w:type="dxa"/>
            <w:tcBorders>
              <w:top w:val="single" w:sz="6" w:space="0" w:color="000000"/>
            </w:tcBorders>
          </w:tcPr>
          <w:p>
            <w:pPr>
              <w:pStyle w:val="TableParagraph"/>
              <w:spacing w:line="178" w:lineRule="exact" w:before="60"/>
              <w:ind w:left="349"/>
              <w:rPr>
                <w:sz w:val="16"/>
              </w:rPr>
            </w:pPr>
            <w:r>
              <w:rPr>
                <w:w w:val="104"/>
                <w:sz w:val="16"/>
              </w:rPr>
              <w:t>—</w:t>
            </w:r>
          </w:p>
        </w:tc>
        <w:tc>
          <w:tcPr>
            <w:tcW w:w="225" w:type="dxa"/>
          </w:tcPr>
          <w:p>
            <w:pPr>
              <w:pStyle w:val="TableParagraph"/>
              <w:rPr>
                <w:sz w:val="16"/>
              </w:rPr>
            </w:pPr>
          </w:p>
        </w:tc>
        <w:tc>
          <w:tcPr>
            <w:tcW w:w="882" w:type="dxa"/>
            <w:tcBorders>
              <w:top w:val="single" w:sz="6" w:space="0" w:color="000000"/>
            </w:tcBorders>
          </w:tcPr>
          <w:p>
            <w:pPr>
              <w:pStyle w:val="TableParagraph"/>
              <w:spacing w:line="178" w:lineRule="exact" w:before="60"/>
              <w:ind w:right="170"/>
              <w:jc w:val="right"/>
              <w:rPr>
                <w:sz w:val="16"/>
              </w:rPr>
            </w:pPr>
            <w:r>
              <w:rPr>
                <w:spacing w:val="-2"/>
                <w:w w:val="105"/>
                <w:sz w:val="16"/>
              </w:rPr>
              <w:t>29,685</w:t>
            </w:r>
          </w:p>
        </w:tc>
        <w:tc>
          <w:tcPr>
            <w:tcW w:w="225" w:type="dxa"/>
          </w:tcPr>
          <w:p>
            <w:pPr>
              <w:pStyle w:val="TableParagraph"/>
              <w:rPr>
                <w:sz w:val="16"/>
              </w:rPr>
            </w:pPr>
          </w:p>
        </w:tc>
        <w:tc>
          <w:tcPr>
            <w:tcW w:w="686" w:type="dxa"/>
            <w:tcBorders>
              <w:top w:val="single" w:sz="6" w:space="0" w:color="000000"/>
            </w:tcBorders>
          </w:tcPr>
          <w:p>
            <w:pPr>
              <w:pStyle w:val="TableParagraph"/>
              <w:spacing w:line="178" w:lineRule="exact" w:before="60"/>
              <w:ind w:left="-4" w:right="16"/>
              <w:jc w:val="center"/>
              <w:rPr>
                <w:sz w:val="16"/>
              </w:rPr>
            </w:pPr>
            <w:r>
              <w:rPr>
                <w:spacing w:val="-2"/>
                <w:w w:val="105"/>
                <w:sz w:val="16"/>
              </w:rPr>
              <w:t>4,479,188</w:t>
            </w:r>
          </w:p>
        </w:tc>
      </w:tr>
      <w:tr>
        <w:trPr>
          <w:trHeight w:val="279" w:hRule="atLeast"/>
        </w:trPr>
        <w:tc>
          <w:tcPr>
            <w:tcW w:w="2097" w:type="dxa"/>
          </w:tcPr>
          <w:p>
            <w:pPr>
              <w:pStyle w:val="TableParagraph"/>
              <w:spacing w:before="12"/>
              <w:ind w:left="172"/>
              <w:rPr>
                <w:sz w:val="16"/>
              </w:rPr>
            </w:pPr>
            <w:r>
              <w:rPr>
                <w:w w:val="105"/>
                <w:sz w:val="16"/>
              </w:rPr>
              <w:t>President</w:t>
            </w:r>
            <w:r>
              <w:rPr>
                <w:spacing w:val="16"/>
                <w:w w:val="105"/>
                <w:sz w:val="16"/>
              </w:rPr>
              <w:t> </w:t>
            </w:r>
            <w:r>
              <w:rPr>
                <w:w w:val="105"/>
                <w:sz w:val="16"/>
              </w:rPr>
              <w:t>and</w:t>
            </w:r>
            <w:r>
              <w:rPr>
                <w:spacing w:val="17"/>
                <w:w w:val="105"/>
                <w:sz w:val="16"/>
              </w:rPr>
              <w:t> </w:t>
            </w:r>
            <w:r>
              <w:rPr>
                <w:spacing w:val="-4"/>
                <w:w w:val="105"/>
                <w:sz w:val="16"/>
              </w:rPr>
              <w:t>Chief</w:t>
            </w:r>
          </w:p>
        </w:tc>
        <w:tc>
          <w:tcPr>
            <w:tcW w:w="224" w:type="dxa"/>
          </w:tcPr>
          <w:p>
            <w:pPr>
              <w:pStyle w:val="TableParagraph"/>
              <w:rPr>
                <w:sz w:val="16"/>
              </w:rPr>
            </w:pPr>
          </w:p>
        </w:tc>
        <w:tc>
          <w:tcPr>
            <w:tcW w:w="364" w:type="dxa"/>
          </w:tcPr>
          <w:p>
            <w:pPr>
              <w:pStyle w:val="TableParagraph"/>
              <w:spacing w:before="54"/>
              <w:ind w:left="5"/>
              <w:jc w:val="center"/>
              <w:rPr>
                <w:sz w:val="16"/>
              </w:rPr>
            </w:pPr>
            <w:r>
              <w:rPr>
                <w:spacing w:val="-4"/>
                <w:w w:val="105"/>
                <w:sz w:val="16"/>
              </w:rPr>
              <w:t>2021</w:t>
            </w:r>
          </w:p>
        </w:tc>
        <w:tc>
          <w:tcPr>
            <w:tcW w:w="224" w:type="dxa"/>
          </w:tcPr>
          <w:p>
            <w:pPr>
              <w:pStyle w:val="TableParagraph"/>
              <w:rPr>
                <w:sz w:val="16"/>
              </w:rPr>
            </w:pPr>
          </w:p>
        </w:tc>
        <w:tc>
          <w:tcPr>
            <w:tcW w:w="560" w:type="dxa"/>
          </w:tcPr>
          <w:p>
            <w:pPr>
              <w:pStyle w:val="TableParagraph"/>
              <w:spacing w:before="54"/>
              <w:ind w:right="1"/>
              <w:jc w:val="center"/>
              <w:rPr>
                <w:sz w:val="16"/>
              </w:rPr>
            </w:pPr>
            <w:r>
              <w:rPr>
                <w:spacing w:val="-2"/>
                <w:w w:val="105"/>
                <w:sz w:val="16"/>
              </w:rPr>
              <w:t>637,360</w:t>
            </w:r>
          </w:p>
        </w:tc>
        <w:tc>
          <w:tcPr>
            <w:tcW w:w="224" w:type="dxa"/>
          </w:tcPr>
          <w:p>
            <w:pPr>
              <w:pStyle w:val="TableParagraph"/>
              <w:rPr>
                <w:sz w:val="16"/>
              </w:rPr>
            </w:pPr>
          </w:p>
        </w:tc>
        <w:tc>
          <w:tcPr>
            <w:tcW w:w="378" w:type="dxa"/>
          </w:tcPr>
          <w:p>
            <w:pPr>
              <w:pStyle w:val="TableParagraph"/>
              <w:spacing w:before="54"/>
              <w:ind w:right="1"/>
              <w:jc w:val="right"/>
              <w:rPr>
                <w:sz w:val="16"/>
              </w:rPr>
            </w:pPr>
            <w:r>
              <w:rPr>
                <w:spacing w:val="-5"/>
                <w:w w:val="105"/>
                <w:sz w:val="16"/>
              </w:rPr>
              <w:t>200</w:t>
            </w:r>
          </w:p>
        </w:tc>
        <w:tc>
          <w:tcPr>
            <w:tcW w:w="224" w:type="dxa"/>
          </w:tcPr>
          <w:p>
            <w:pPr>
              <w:pStyle w:val="TableParagraph"/>
              <w:rPr>
                <w:sz w:val="16"/>
              </w:rPr>
            </w:pPr>
          </w:p>
        </w:tc>
        <w:tc>
          <w:tcPr>
            <w:tcW w:w="671" w:type="dxa"/>
          </w:tcPr>
          <w:p>
            <w:pPr>
              <w:pStyle w:val="TableParagraph"/>
              <w:spacing w:before="54"/>
              <w:ind w:right="-15"/>
              <w:jc w:val="right"/>
              <w:rPr>
                <w:sz w:val="16"/>
              </w:rPr>
            </w:pPr>
            <w:r>
              <w:rPr>
                <w:spacing w:val="-2"/>
                <w:w w:val="105"/>
                <w:sz w:val="16"/>
              </w:rPr>
              <w:t>1,544,985</w:t>
            </w:r>
          </w:p>
        </w:tc>
        <w:tc>
          <w:tcPr>
            <w:tcW w:w="224" w:type="dxa"/>
          </w:tcPr>
          <w:p>
            <w:pPr>
              <w:pStyle w:val="TableParagraph"/>
              <w:rPr>
                <w:sz w:val="16"/>
              </w:rPr>
            </w:pPr>
          </w:p>
        </w:tc>
        <w:tc>
          <w:tcPr>
            <w:tcW w:w="678" w:type="dxa"/>
          </w:tcPr>
          <w:p>
            <w:pPr>
              <w:pStyle w:val="TableParagraph"/>
              <w:spacing w:before="54"/>
              <w:jc w:val="center"/>
              <w:rPr>
                <w:sz w:val="16"/>
              </w:rPr>
            </w:pPr>
            <w:r>
              <w:rPr>
                <w:spacing w:val="-2"/>
                <w:w w:val="105"/>
                <w:sz w:val="16"/>
              </w:rPr>
              <w:t>1,544,995</w:t>
            </w:r>
          </w:p>
        </w:tc>
        <w:tc>
          <w:tcPr>
            <w:tcW w:w="218" w:type="dxa"/>
          </w:tcPr>
          <w:p>
            <w:pPr>
              <w:pStyle w:val="TableParagraph"/>
              <w:rPr>
                <w:sz w:val="16"/>
              </w:rPr>
            </w:pPr>
          </w:p>
        </w:tc>
        <w:tc>
          <w:tcPr>
            <w:tcW w:w="896" w:type="dxa"/>
          </w:tcPr>
          <w:p>
            <w:pPr>
              <w:pStyle w:val="TableParagraph"/>
              <w:spacing w:before="54"/>
              <w:ind w:left="161" w:right="161"/>
              <w:jc w:val="center"/>
              <w:rPr>
                <w:sz w:val="16"/>
              </w:rPr>
            </w:pPr>
            <w:r>
              <w:rPr>
                <w:spacing w:val="-2"/>
                <w:w w:val="105"/>
                <w:sz w:val="16"/>
              </w:rPr>
              <w:t>956,040</w:t>
            </w:r>
          </w:p>
        </w:tc>
        <w:tc>
          <w:tcPr>
            <w:tcW w:w="225" w:type="dxa"/>
          </w:tcPr>
          <w:p>
            <w:pPr>
              <w:pStyle w:val="TableParagraph"/>
              <w:rPr>
                <w:sz w:val="16"/>
              </w:rPr>
            </w:pPr>
          </w:p>
        </w:tc>
        <w:tc>
          <w:tcPr>
            <w:tcW w:w="882" w:type="dxa"/>
          </w:tcPr>
          <w:p>
            <w:pPr>
              <w:pStyle w:val="TableParagraph"/>
              <w:spacing w:before="54"/>
              <w:ind w:left="349"/>
              <w:rPr>
                <w:sz w:val="16"/>
              </w:rPr>
            </w:pPr>
            <w:r>
              <w:rPr>
                <w:w w:val="104"/>
                <w:sz w:val="16"/>
              </w:rPr>
              <w:t>—</w:t>
            </w:r>
          </w:p>
        </w:tc>
        <w:tc>
          <w:tcPr>
            <w:tcW w:w="225" w:type="dxa"/>
          </w:tcPr>
          <w:p>
            <w:pPr>
              <w:pStyle w:val="TableParagraph"/>
              <w:rPr>
                <w:sz w:val="16"/>
              </w:rPr>
            </w:pPr>
          </w:p>
        </w:tc>
        <w:tc>
          <w:tcPr>
            <w:tcW w:w="882" w:type="dxa"/>
          </w:tcPr>
          <w:p>
            <w:pPr>
              <w:pStyle w:val="TableParagraph"/>
              <w:spacing w:before="54"/>
              <w:ind w:right="170"/>
              <w:jc w:val="right"/>
              <w:rPr>
                <w:sz w:val="16"/>
              </w:rPr>
            </w:pPr>
            <w:r>
              <w:rPr>
                <w:spacing w:val="-4"/>
                <w:w w:val="105"/>
                <w:sz w:val="16"/>
              </w:rPr>
              <w:t>9,707</w:t>
            </w:r>
          </w:p>
        </w:tc>
        <w:tc>
          <w:tcPr>
            <w:tcW w:w="225" w:type="dxa"/>
          </w:tcPr>
          <w:p>
            <w:pPr>
              <w:pStyle w:val="TableParagraph"/>
              <w:rPr>
                <w:sz w:val="16"/>
              </w:rPr>
            </w:pPr>
          </w:p>
        </w:tc>
        <w:tc>
          <w:tcPr>
            <w:tcW w:w="686" w:type="dxa"/>
          </w:tcPr>
          <w:p>
            <w:pPr>
              <w:pStyle w:val="TableParagraph"/>
              <w:spacing w:before="54"/>
              <w:ind w:left="-4" w:right="16"/>
              <w:jc w:val="center"/>
              <w:rPr>
                <w:sz w:val="16"/>
              </w:rPr>
            </w:pPr>
            <w:r>
              <w:rPr>
                <w:spacing w:val="-2"/>
                <w:w w:val="105"/>
                <w:sz w:val="16"/>
              </w:rPr>
              <w:t>4,693,287</w:t>
            </w:r>
          </w:p>
        </w:tc>
      </w:tr>
      <w:tr>
        <w:trPr>
          <w:trHeight w:val="273" w:hRule="atLeast"/>
        </w:trPr>
        <w:tc>
          <w:tcPr>
            <w:tcW w:w="2097" w:type="dxa"/>
          </w:tcPr>
          <w:p>
            <w:pPr>
              <w:pStyle w:val="TableParagraph"/>
              <w:spacing w:line="112" w:lineRule="exact"/>
              <w:ind w:left="172"/>
              <w:rPr>
                <w:sz w:val="16"/>
              </w:rPr>
            </w:pPr>
            <w:r>
              <w:rPr>
                <w:w w:val="105"/>
                <w:sz w:val="16"/>
              </w:rPr>
              <w:t>Executive</w:t>
            </w:r>
            <w:r>
              <w:rPr>
                <w:spacing w:val="23"/>
                <w:w w:val="105"/>
                <w:sz w:val="16"/>
              </w:rPr>
              <w:t> </w:t>
            </w:r>
            <w:r>
              <w:rPr>
                <w:spacing w:val="-2"/>
                <w:w w:val="105"/>
                <w:sz w:val="16"/>
              </w:rPr>
              <w:t>Officer</w:t>
            </w:r>
          </w:p>
        </w:tc>
        <w:tc>
          <w:tcPr>
            <w:tcW w:w="224" w:type="dxa"/>
          </w:tcPr>
          <w:p>
            <w:pPr>
              <w:pStyle w:val="TableParagraph"/>
              <w:rPr>
                <w:sz w:val="16"/>
              </w:rPr>
            </w:pPr>
          </w:p>
        </w:tc>
        <w:tc>
          <w:tcPr>
            <w:tcW w:w="364" w:type="dxa"/>
          </w:tcPr>
          <w:p>
            <w:pPr>
              <w:pStyle w:val="TableParagraph"/>
              <w:spacing w:before="40"/>
              <w:ind w:left="5"/>
              <w:jc w:val="center"/>
              <w:rPr>
                <w:sz w:val="16"/>
              </w:rPr>
            </w:pPr>
            <w:r>
              <w:rPr>
                <w:spacing w:val="-4"/>
                <w:w w:val="105"/>
                <w:sz w:val="16"/>
              </w:rPr>
              <w:t>2020</w:t>
            </w:r>
          </w:p>
        </w:tc>
        <w:tc>
          <w:tcPr>
            <w:tcW w:w="224" w:type="dxa"/>
          </w:tcPr>
          <w:p>
            <w:pPr>
              <w:pStyle w:val="TableParagraph"/>
              <w:rPr>
                <w:sz w:val="16"/>
              </w:rPr>
            </w:pPr>
          </w:p>
        </w:tc>
        <w:tc>
          <w:tcPr>
            <w:tcW w:w="560" w:type="dxa"/>
          </w:tcPr>
          <w:p>
            <w:pPr>
              <w:pStyle w:val="TableParagraph"/>
              <w:spacing w:before="40"/>
              <w:ind w:right="1"/>
              <w:jc w:val="center"/>
              <w:rPr>
                <w:sz w:val="16"/>
              </w:rPr>
            </w:pPr>
            <w:r>
              <w:rPr>
                <w:spacing w:val="-2"/>
                <w:w w:val="105"/>
                <w:sz w:val="16"/>
              </w:rPr>
              <w:t>584,817</w:t>
            </w:r>
          </w:p>
        </w:tc>
        <w:tc>
          <w:tcPr>
            <w:tcW w:w="224" w:type="dxa"/>
          </w:tcPr>
          <w:p>
            <w:pPr>
              <w:pStyle w:val="TableParagraph"/>
              <w:rPr>
                <w:sz w:val="16"/>
              </w:rPr>
            </w:pPr>
          </w:p>
        </w:tc>
        <w:tc>
          <w:tcPr>
            <w:tcW w:w="378" w:type="dxa"/>
          </w:tcPr>
          <w:p>
            <w:pPr>
              <w:pStyle w:val="TableParagraph"/>
              <w:spacing w:before="40"/>
              <w:ind w:right="1"/>
              <w:jc w:val="right"/>
              <w:rPr>
                <w:sz w:val="16"/>
              </w:rPr>
            </w:pPr>
            <w:r>
              <w:rPr>
                <w:w w:val="104"/>
                <w:sz w:val="16"/>
              </w:rPr>
              <w:t>—</w:t>
            </w:r>
          </w:p>
        </w:tc>
        <w:tc>
          <w:tcPr>
            <w:tcW w:w="224" w:type="dxa"/>
          </w:tcPr>
          <w:p>
            <w:pPr>
              <w:pStyle w:val="TableParagraph"/>
              <w:rPr>
                <w:sz w:val="16"/>
              </w:rPr>
            </w:pPr>
          </w:p>
        </w:tc>
        <w:tc>
          <w:tcPr>
            <w:tcW w:w="671" w:type="dxa"/>
          </w:tcPr>
          <w:p>
            <w:pPr>
              <w:pStyle w:val="TableParagraph"/>
              <w:spacing w:before="40"/>
              <w:ind w:right="-15"/>
              <w:jc w:val="right"/>
              <w:rPr>
                <w:sz w:val="16"/>
              </w:rPr>
            </w:pPr>
            <w:r>
              <w:rPr>
                <w:spacing w:val="-2"/>
                <w:w w:val="105"/>
                <w:sz w:val="16"/>
              </w:rPr>
              <w:t>1,545,000</w:t>
            </w:r>
          </w:p>
        </w:tc>
        <w:tc>
          <w:tcPr>
            <w:tcW w:w="224" w:type="dxa"/>
          </w:tcPr>
          <w:p>
            <w:pPr>
              <w:pStyle w:val="TableParagraph"/>
              <w:rPr>
                <w:sz w:val="16"/>
              </w:rPr>
            </w:pPr>
          </w:p>
        </w:tc>
        <w:tc>
          <w:tcPr>
            <w:tcW w:w="678" w:type="dxa"/>
          </w:tcPr>
          <w:p>
            <w:pPr>
              <w:pStyle w:val="TableParagraph"/>
              <w:spacing w:before="40"/>
              <w:jc w:val="center"/>
              <w:rPr>
                <w:sz w:val="16"/>
              </w:rPr>
            </w:pPr>
            <w:r>
              <w:rPr>
                <w:spacing w:val="-2"/>
                <w:w w:val="105"/>
                <w:sz w:val="16"/>
              </w:rPr>
              <w:t>1,544,998</w:t>
            </w:r>
          </w:p>
        </w:tc>
        <w:tc>
          <w:tcPr>
            <w:tcW w:w="218" w:type="dxa"/>
          </w:tcPr>
          <w:p>
            <w:pPr>
              <w:pStyle w:val="TableParagraph"/>
              <w:rPr>
                <w:sz w:val="16"/>
              </w:rPr>
            </w:pPr>
          </w:p>
        </w:tc>
        <w:tc>
          <w:tcPr>
            <w:tcW w:w="896" w:type="dxa"/>
          </w:tcPr>
          <w:p>
            <w:pPr>
              <w:pStyle w:val="TableParagraph"/>
              <w:spacing w:before="40"/>
              <w:ind w:left="161" w:right="161"/>
              <w:jc w:val="center"/>
              <w:rPr>
                <w:sz w:val="16"/>
              </w:rPr>
            </w:pPr>
            <w:r>
              <w:rPr>
                <w:spacing w:val="-2"/>
                <w:w w:val="105"/>
                <w:sz w:val="16"/>
              </w:rPr>
              <w:t>230,885</w:t>
            </w:r>
          </w:p>
        </w:tc>
        <w:tc>
          <w:tcPr>
            <w:tcW w:w="225" w:type="dxa"/>
          </w:tcPr>
          <w:p>
            <w:pPr>
              <w:pStyle w:val="TableParagraph"/>
              <w:rPr>
                <w:sz w:val="16"/>
              </w:rPr>
            </w:pPr>
          </w:p>
        </w:tc>
        <w:tc>
          <w:tcPr>
            <w:tcW w:w="882" w:type="dxa"/>
          </w:tcPr>
          <w:p>
            <w:pPr>
              <w:pStyle w:val="TableParagraph"/>
              <w:spacing w:before="40"/>
              <w:ind w:left="349"/>
              <w:rPr>
                <w:sz w:val="16"/>
              </w:rPr>
            </w:pPr>
            <w:r>
              <w:rPr>
                <w:w w:val="104"/>
                <w:sz w:val="16"/>
              </w:rPr>
              <w:t>—</w:t>
            </w:r>
          </w:p>
        </w:tc>
        <w:tc>
          <w:tcPr>
            <w:tcW w:w="225" w:type="dxa"/>
          </w:tcPr>
          <w:p>
            <w:pPr>
              <w:pStyle w:val="TableParagraph"/>
              <w:rPr>
                <w:sz w:val="16"/>
              </w:rPr>
            </w:pPr>
          </w:p>
        </w:tc>
        <w:tc>
          <w:tcPr>
            <w:tcW w:w="882" w:type="dxa"/>
          </w:tcPr>
          <w:p>
            <w:pPr>
              <w:pStyle w:val="TableParagraph"/>
              <w:spacing w:before="40"/>
              <w:ind w:right="170"/>
              <w:jc w:val="right"/>
              <w:rPr>
                <w:sz w:val="16"/>
              </w:rPr>
            </w:pPr>
            <w:r>
              <w:rPr>
                <w:spacing w:val="-2"/>
                <w:w w:val="105"/>
                <w:sz w:val="16"/>
              </w:rPr>
              <w:t>27,062</w:t>
            </w:r>
          </w:p>
        </w:tc>
        <w:tc>
          <w:tcPr>
            <w:tcW w:w="225" w:type="dxa"/>
          </w:tcPr>
          <w:p>
            <w:pPr>
              <w:pStyle w:val="TableParagraph"/>
              <w:rPr>
                <w:sz w:val="16"/>
              </w:rPr>
            </w:pPr>
          </w:p>
        </w:tc>
        <w:tc>
          <w:tcPr>
            <w:tcW w:w="686" w:type="dxa"/>
          </w:tcPr>
          <w:p>
            <w:pPr>
              <w:pStyle w:val="TableParagraph"/>
              <w:spacing w:before="40"/>
              <w:ind w:left="-4" w:right="16"/>
              <w:jc w:val="center"/>
              <w:rPr>
                <w:sz w:val="16"/>
              </w:rPr>
            </w:pPr>
            <w:r>
              <w:rPr>
                <w:spacing w:val="-2"/>
                <w:w w:val="105"/>
                <w:sz w:val="16"/>
              </w:rPr>
              <w:t>3,932,762</w:t>
            </w:r>
          </w:p>
        </w:tc>
      </w:tr>
      <w:tr>
        <w:trPr>
          <w:trHeight w:val="264" w:hRule="atLeast"/>
        </w:trPr>
        <w:tc>
          <w:tcPr>
            <w:tcW w:w="2097" w:type="dxa"/>
          </w:tcPr>
          <w:p>
            <w:pPr>
              <w:pStyle w:val="TableParagraph"/>
              <w:spacing w:before="60"/>
              <w:ind w:left="4"/>
              <w:rPr>
                <w:sz w:val="16"/>
              </w:rPr>
            </w:pPr>
            <w:r>
              <w:rPr>
                <w:w w:val="105"/>
                <w:sz w:val="16"/>
              </w:rPr>
              <w:t>Shubham</w:t>
            </w:r>
            <w:r>
              <w:rPr>
                <w:spacing w:val="17"/>
                <w:w w:val="105"/>
                <w:sz w:val="16"/>
              </w:rPr>
              <w:t> </w:t>
            </w:r>
            <w:r>
              <w:rPr>
                <w:spacing w:val="-2"/>
                <w:w w:val="105"/>
                <w:sz w:val="16"/>
              </w:rPr>
              <w:t>Maheshwari</w:t>
            </w:r>
            <w:r>
              <w:rPr>
                <w:spacing w:val="-2"/>
                <w:w w:val="105"/>
                <w:sz w:val="16"/>
                <w:vertAlign w:val="superscript"/>
              </w:rPr>
              <w:t>(7)</w:t>
            </w:r>
          </w:p>
        </w:tc>
        <w:tc>
          <w:tcPr>
            <w:tcW w:w="224" w:type="dxa"/>
          </w:tcPr>
          <w:p>
            <w:pPr>
              <w:pStyle w:val="TableParagraph"/>
              <w:rPr>
                <w:sz w:val="16"/>
              </w:rPr>
            </w:pPr>
          </w:p>
        </w:tc>
        <w:tc>
          <w:tcPr>
            <w:tcW w:w="364" w:type="dxa"/>
          </w:tcPr>
          <w:p>
            <w:pPr>
              <w:pStyle w:val="TableParagraph"/>
              <w:spacing w:before="60"/>
              <w:ind w:left="5"/>
              <w:jc w:val="center"/>
              <w:rPr>
                <w:sz w:val="16"/>
              </w:rPr>
            </w:pPr>
            <w:r>
              <w:rPr>
                <w:spacing w:val="-4"/>
                <w:w w:val="105"/>
                <w:sz w:val="16"/>
              </w:rPr>
              <w:t>2022</w:t>
            </w:r>
          </w:p>
        </w:tc>
        <w:tc>
          <w:tcPr>
            <w:tcW w:w="224" w:type="dxa"/>
          </w:tcPr>
          <w:p>
            <w:pPr>
              <w:pStyle w:val="TableParagraph"/>
              <w:rPr>
                <w:sz w:val="16"/>
              </w:rPr>
            </w:pPr>
          </w:p>
        </w:tc>
        <w:tc>
          <w:tcPr>
            <w:tcW w:w="560" w:type="dxa"/>
          </w:tcPr>
          <w:p>
            <w:pPr>
              <w:pStyle w:val="TableParagraph"/>
              <w:spacing w:before="60"/>
              <w:ind w:right="1"/>
              <w:jc w:val="center"/>
              <w:rPr>
                <w:sz w:val="16"/>
              </w:rPr>
            </w:pPr>
            <w:r>
              <w:rPr>
                <w:spacing w:val="-2"/>
                <w:w w:val="105"/>
                <w:sz w:val="16"/>
              </w:rPr>
              <w:t>470,769</w:t>
            </w:r>
          </w:p>
        </w:tc>
        <w:tc>
          <w:tcPr>
            <w:tcW w:w="224" w:type="dxa"/>
          </w:tcPr>
          <w:p>
            <w:pPr>
              <w:pStyle w:val="TableParagraph"/>
              <w:rPr>
                <w:sz w:val="16"/>
              </w:rPr>
            </w:pPr>
          </w:p>
        </w:tc>
        <w:tc>
          <w:tcPr>
            <w:tcW w:w="378" w:type="dxa"/>
          </w:tcPr>
          <w:p>
            <w:pPr>
              <w:pStyle w:val="TableParagraph"/>
              <w:spacing w:before="60"/>
              <w:ind w:right="1"/>
              <w:jc w:val="right"/>
              <w:rPr>
                <w:sz w:val="16"/>
              </w:rPr>
            </w:pPr>
            <w:r>
              <w:rPr>
                <w:w w:val="104"/>
                <w:sz w:val="16"/>
              </w:rPr>
              <w:t>—</w:t>
            </w:r>
          </w:p>
        </w:tc>
        <w:tc>
          <w:tcPr>
            <w:tcW w:w="224" w:type="dxa"/>
          </w:tcPr>
          <w:p>
            <w:pPr>
              <w:pStyle w:val="TableParagraph"/>
              <w:rPr>
                <w:sz w:val="16"/>
              </w:rPr>
            </w:pPr>
          </w:p>
        </w:tc>
        <w:tc>
          <w:tcPr>
            <w:tcW w:w="671" w:type="dxa"/>
          </w:tcPr>
          <w:p>
            <w:pPr>
              <w:pStyle w:val="TableParagraph"/>
              <w:spacing w:before="60"/>
              <w:ind w:right="-15"/>
              <w:jc w:val="right"/>
              <w:rPr>
                <w:sz w:val="16"/>
              </w:rPr>
            </w:pPr>
            <w:r>
              <w:rPr>
                <w:spacing w:val="-2"/>
                <w:w w:val="105"/>
                <w:sz w:val="16"/>
              </w:rPr>
              <w:t>397,478</w:t>
            </w:r>
          </w:p>
        </w:tc>
        <w:tc>
          <w:tcPr>
            <w:tcW w:w="224" w:type="dxa"/>
          </w:tcPr>
          <w:p>
            <w:pPr>
              <w:pStyle w:val="TableParagraph"/>
              <w:rPr>
                <w:sz w:val="16"/>
              </w:rPr>
            </w:pPr>
          </w:p>
        </w:tc>
        <w:tc>
          <w:tcPr>
            <w:tcW w:w="678" w:type="dxa"/>
          </w:tcPr>
          <w:p>
            <w:pPr>
              <w:pStyle w:val="TableParagraph"/>
              <w:spacing w:before="60"/>
              <w:ind w:left="125"/>
              <w:jc w:val="center"/>
              <w:rPr>
                <w:sz w:val="16"/>
              </w:rPr>
            </w:pPr>
            <w:r>
              <w:rPr>
                <w:spacing w:val="-2"/>
                <w:w w:val="105"/>
                <w:sz w:val="16"/>
              </w:rPr>
              <w:t>397,489</w:t>
            </w:r>
          </w:p>
        </w:tc>
        <w:tc>
          <w:tcPr>
            <w:tcW w:w="218" w:type="dxa"/>
          </w:tcPr>
          <w:p>
            <w:pPr>
              <w:pStyle w:val="TableParagraph"/>
              <w:rPr>
                <w:sz w:val="16"/>
              </w:rPr>
            </w:pPr>
          </w:p>
        </w:tc>
        <w:tc>
          <w:tcPr>
            <w:tcW w:w="896" w:type="dxa"/>
          </w:tcPr>
          <w:p>
            <w:pPr>
              <w:pStyle w:val="TableParagraph"/>
              <w:spacing w:before="60"/>
              <w:ind w:left="161" w:right="161"/>
              <w:jc w:val="center"/>
              <w:rPr>
                <w:sz w:val="16"/>
              </w:rPr>
            </w:pPr>
            <w:r>
              <w:rPr>
                <w:spacing w:val="-2"/>
                <w:w w:val="105"/>
                <w:sz w:val="16"/>
              </w:rPr>
              <w:t>339,000</w:t>
            </w:r>
          </w:p>
        </w:tc>
        <w:tc>
          <w:tcPr>
            <w:tcW w:w="225" w:type="dxa"/>
          </w:tcPr>
          <w:p>
            <w:pPr>
              <w:pStyle w:val="TableParagraph"/>
              <w:rPr>
                <w:sz w:val="16"/>
              </w:rPr>
            </w:pPr>
          </w:p>
        </w:tc>
        <w:tc>
          <w:tcPr>
            <w:tcW w:w="882" w:type="dxa"/>
          </w:tcPr>
          <w:p>
            <w:pPr>
              <w:pStyle w:val="TableParagraph"/>
              <w:spacing w:before="60"/>
              <w:ind w:left="349"/>
              <w:rPr>
                <w:sz w:val="16"/>
              </w:rPr>
            </w:pPr>
            <w:r>
              <w:rPr>
                <w:w w:val="104"/>
                <w:sz w:val="16"/>
              </w:rPr>
              <w:t>—</w:t>
            </w:r>
          </w:p>
        </w:tc>
        <w:tc>
          <w:tcPr>
            <w:tcW w:w="225" w:type="dxa"/>
          </w:tcPr>
          <w:p>
            <w:pPr>
              <w:pStyle w:val="TableParagraph"/>
              <w:rPr>
                <w:sz w:val="16"/>
              </w:rPr>
            </w:pPr>
          </w:p>
        </w:tc>
        <w:tc>
          <w:tcPr>
            <w:tcW w:w="882" w:type="dxa"/>
          </w:tcPr>
          <w:p>
            <w:pPr>
              <w:pStyle w:val="TableParagraph"/>
              <w:spacing w:before="60"/>
              <w:ind w:right="170"/>
              <w:jc w:val="right"/>
              <w:rPr>
                <w:sz w:val="16"/>
              </w:rPr>
            </w:pPr>
            <w:r>
              <w:rPr>
                <w:spacing w:val="-2"/>
                <w:w w:val="105"/>
                <w:sz w:val="16"/>
              </w:rPr>
              <w:t>68,081</w:t>
            </w:r>
          </w:p>
        </w:tc>
        <w:tc>
          <w:tcPr>
            <w:tcW w:w="225" w:type="dxa"/>
          </w:tcPr>
          <w:p>
            <w:pPr>
              <w:pStyle w:val="TableParagraph"/>
              <w:rPr>
                <w:sz w:val="16"/>
              </w:rPr>
            </w:pPr>
          </w:p>
        </w:tc>
        <w:tc>
          <w:tcPr>
            <w:tcW w:w="686" w:type="dxa"/>
          </w:tcPr>
          <w:p>
            <w:pPr>
              <w:pStyle w:val="TableParagraph"/>
              <w:spacing w:before="60"/>
              <w:ind w:left="-4" w:right="16"/>
              <w:jc w:val="center"/>
              <w:rPr>
                <w:sz w:val="16"/>
              </w:rPr>
            </w:pPr>
            <w:r>
              <w:rPr>
                <w:spacing w:val="-2"/>
                <w:w w:val="105"/>
                <w:sz w:val="16"/>
              </w:rPr>
              <w:t>1,672,817</w:t>
            </w:r>
          </w:p>
        </w:tc>
      </w:tr>
      <w:tr>
        <w:trPr>
          <w:trHeight w:val="272" w:hRule="atLeast"/>
        </w:trPr>
        <w:tc>
          <w:tcPr>
            <w:tcW w:w="2097" w:type="dxa"/>
          </w:tcPr>
          <w:p>
            <w:pPr>
              <w:pStyle w:val="TableParagraph"/>
              <w:spacing w:before="19"/>
              <w:ind w:left="172"/>
              <w:rPr>
                <w:sz w:val="16"/>
              </w:rPr>
            </w:pPr>
            <w:r>
              <w:rPr>
                <w:w w:val="105"/>
                <w:sz w:val="16"/>
              </w:rPr>
              <w:t>Chief</w:t>
            </w:r>
            <w:r>
              <w:rPr>
                <w:spacing w:val="19"/>
                <w:w w:val="105"/>
                <w:sz w:val="16"/>
              </w:rPr>
              <w:t> </w:t>
            </w:r>
            <w:r>
              <w:rPr>
                <w:w w:val="105"/>
                <w:sz w:val="16"/>
              </w:rPr>
              <w:t>Financial</w:t>
            </w:r>
            <w:r>
              <w:rPr>
                <w:spacing w:val="19"/>
                <w:w w:val="105"/>
                <w:sz w:val="16"/>
              </w:rPr>
              <w:t> </w:t>
            </w:r>
            <w:r>
              <w:rPr>
                <w:spacing w:val="-2"/>
                <w:w w:val="105"/>
                <w:sz w:val="16"/>
              </w:rPr>
              <w:t>Officer</w:t>
            </w:r>
          </w:p>
        </w:tc>
        <w:tc>
          <w:tcPr>
            <w:tcW w:w="224" w:type="dxa"/>
          </w:tcPr>
          <w:p>
            <w:pPr>
              <w:pStyle w:val="TableParagraph"/>
              <w:rPr>
                <w:sz w:val="16"/>
              </w:rPr>
            </w:pPr>
          </w:p>
        </w:tc>
        <w:tc>
          <w:tcPr>
            <w:tcW w:w="364" w:type="dxa"/>
          </w:tcPr>
          <w:p>
            <w:pPr>
              <w:pStyle w:val="TableParagraph"/>
              <w:spacing w:before="47"/>
              <w:ind w:left="5"/>
              <w:jc w:val="center"/>
              <w:rPr>
                <w:sz w:val="16"/>
              </w:rPr>
            </w:pPr>
            <w:r>
              <w:rPr>
                <w:spacing w:val="-4"/>
                <w:w w:val="105"/>
                <w:sz w:val="16"/>
              </w:rPr>
              <w:t>2021</w:t>
            </w:r>
          </w:p>
        </w:tc>
        <w:tc>
          <w:tcPr>
            <w:tcW w:w="224" w:type="dxa"/>
          </w:tcPr>
          <w:p>
            <w:pPr>
              <w:pStyle w:val="TableParagraph"/>
              <w:rPr>
                <w:sz w:val="16"/>
              </w:rPr>
            </w:pPr>
          </w:p>
        </w:tc>
        <w:tc>
          <w:tcPr>
            <w:tcW w:w="560" w:type="dxa"/>
          </w:tcPr>
          <w:p>
            <w:pPr>
              <w:pStyle w:val="TableParagraph"/>
              <w:spacing w:before="47"/>
              <w:ind w:right="1"/>
              <w:jc w:val="center"/>
              <w:rPr>
                <w:sz w:val="16"/>
              </w:rPr>
            </w:pPr>
            <w:r>
              <w:rPr>
                <w:spacing w:val="-2"/>
                <w:w w:val="105"/>
                <w:sz w:val="16"/>
              </w:rPr>
              <w:t>460,000</w:t>
            </w:r>
          </w:p>
        </w:tc>
        <w:tc>
          <w:tcPr>
            <w:tcW w:w="224" w:type="dxa"/>
          </w:tcPr>
          <w:p>
            <w:pPr>
              <w:pStyle w:val="TableParagraph"/>
              <w:rPr>
                <w:sz w:val="16"/>
              </w:rPr>
            </w:pPr>
          </w:p>
        </w:tc>
        <w:tc>
          <w:tcPr>
            <w:tcW w:w="378" w:type="dxa"/>
          </w:tcPr>
          <w:p>
            <w:pPr>
              <w:pStyle w:val="TableParagraph"/>
              <w:spacing w:before="47"/>
              <w:ind w:right="1"/>
              <w:jc w:val="right"/>
              <w:rPr>
                <w:sz w:val="16"/>
              </w:rPr>
            </w:pPr>
            <w:r>
              <w:rPr>
                <w:spacing w:val="-5"/>
                <w:w w:val="105"/>
                <w:sz w:val="16"/>
              </w:rPr>
              <w:t>272</w:t>
            </w:r>
          </w:p>
        </w:tc>
        <w:tc>
          <w:tcPr>
            <w:tcW w:w="224" w:type="dxa"/>
          </w:tcPr>
          <w:p>
            <w:pPr>
              <w:pStyle w:val="TableParagraph"/>
              <w:rPr>
                <w:sz w:val="16"/>
              </w:rPr>
            </w:pPr>
          </w:p>
        </w:tc>
        <w:tc>
          <w:tcPr>
            <w:tcW w:w="671" w:type="dxa"/>
          </w:tcPr>
          <w:p>
            <w:pPr>
              <w:pStyle w:val="TableParagraph"/>
              <w:spacing w:before="47"/>
              <w:ind w:right="-15"/>
              <w:jc w:val="right"/>
              <w:rPr>
                <w:sz w:val="16"/>
              </w:rPr>
            </w:pPr>
            <w:r>
              <w:rPr>
                <w:spacing w:val="-2"/>
                <w:w w:val="105"/>
                <w:sz w:val="16"/>
              </w:rPr>
              <w:t>187,475</w:t>
            </w:r>
          </w:p>
        </w:tc>
        <w:tc>
          <w:tcPr>
            <w:tcW w:w="224" w:type="dxa"/>
          </w:tcPr>
          <w:p>
            <w:pPr>
              <w:pStyle w:val="TableParagraph"/>
              <w:rPr>
                <w:sz w:val="16"/>
              </w:rPr>
            </w:pPr>
          </w:p>
        </w:tc>
        <w:tc>
          <w:tcPr>
            <w:tcW w:w="678" w:type="dxa"/>
          </w:tcPr>
          <w:p>
            <w:pPr>
              <w:pStyle w:val="TableParagraph"/>
              <w:spacing w:before="47"/>
              <w:ind w:left="125"/>
              <w:jc w:val="center"/>
              <w:rPr>
                <w:sz w:val="16"/>
              </w:rPr>
            </w:pPr>
            <w:r>
              <w:rPr>
                <w:spacing w:val="-2"/>
                <w:w w:val="105"/>
                <w:sz w:val="16"/>
              </w:rPr>
              <w:t>187,493</w:t>
            </w:r>
          </w:p>
        </w:tc>
        <w:tc>
          <w:tcPr>
            <w:tcW w:w="218" w:type="dxa"/>
          </w:tcPr>
          <w:p>
            <w:pPr>
              <w:pStyle w:val="TableParagraph"/>
              <w:rPr>
                <w:sz w:val="16"/>
              </w:rPr>
            </w:pPr>
          </w:p>
        </w:tc>
        <w:tc>
          <w:tcPr>
            <w:tcW w:w="896" w:type="dxa"/>
          </w:tcPr>
          <w:p>
            <w:pPr>
              <w:pStyle w:val="TableParagraph"/>
              <w:spacing w:before="47"/>
              <w:ind w:left="161" w:right="161"/>
              <w:jc w:val="center"/>
              <w:rPr>
                <w:sz w:val="16"/>
              </w:rPr>
            </w:pPr>
            <w:r>
              <w:rPr>
                <w:spacing w:val="-2"/>
                <w:w w:val="105"/>
                <w:sz w:val="16"/>
              </w:rPr>
              <w:t>448,500</w:t>
            </w:r>
          </w:p>
        </w:tc>
        <w:tc>
          <w:tcPr>
            <w:tcW w:w="225" w:type="dxa"/>
          </w:tcPr>
          <w:p>
            <w:pPr>
              <w:pStyle w:val="TableParagraph"/>
              <w:rPr>
                <w:sz w:val="16"/>
              </w:rPr>
            </w:pPr>
          </w:p>
        </w:tc>
        <w:tc>
          <w:tcPr>
            <w:tcW w:w="882" w:type="dxa"/>
          </w:tcPr>
          <w:p>
            <w:pPr>
              <w:pStyle w:val="TableParagraph"/>
              <w:spacing w:before="47"/>
              <w:ind w:left="349"/>
              <w:rPr>
                <w:sz w:val="16"/>
              </w:rPr>
            </w:pPr>
            <w:r>
              <w:rPr>
                <w:w w:val="104"/>
                <w:sz w:val="16"/>
              </w:rPr>
              <w:t>—</w:t>
            </w:r>
          </w:p>
        </w:tc>
        <w:tc>
          <w:tcPr>
            <w:tcW w:w="225" w:type="dxa"/>
          </w:tcPr>
          <w:p>
            <w:pPr>
              <w:pStyle w:val="TableParagraph"/>
              <w:rPr>
                <w:sz w:val="16"/>
              </w:rPr>
            </w:pPr>
          </w:p>
        </w:tc>
        <w:tc>
          <w:tcPr>
            <w:tcW w:w="882" w:type="dxa"/>
          </w:tcPr>
          <w:p>
            <w:pPr>
              <w:pStyle w:val="TableParagraph"/>
              <w:spacing w:before="47"/>
              <w:ind w:right="170"/>
              <w:jc w:val="right"/>
              <w:rPr>
                <w:sz w:val="16"/>
              </w:rPr>
            </w:pPr>
            <w:r>
              <w:rPr>
                <w:spacing w:val="-2"/>
                <w:w w:val="105"/>
                <w:sz w:val="16"/>
              </w:rPr>
              <w:t>172,606</w:t>
            </w:r>
          </w:p>
        </w:tc>
        <w:tc>
          <w:tcPr>
            <w:tcW w:w="225" w:type="dxa"/>
          </w:tcPr>
          <w:p>
            <w:pPr>
              <w:pStyle w:val="TableParagraph"/>
              <w:rPr>
                <w:sz w:val="16"/>
              </w:rPr>
            </w:pPr>
          </w:p>
        </w:tc>
        <w:tc>
          <w:tcPr>
            <w:tcW w:w="686" w:type="dxa"/>
          </w:tcPr>
          <w:p>
            <w:pPr>
              <w:pStyle w:val="TableParagraph"/>
              <w:spacing w:before="47"/>
              <w:ind w:left="-4" w:right="16"/>
              <w:jc w:val="center"/>
              <w:rPr>
                <w:sz w:val="16"/>
              </w:rPr>
            </w:pPr>
            <w:r>
              <w:rPr>
                <w:spacing w:val="-2"/>
                <w:w w:val="105"/>
                <w:sz w:val="16"/>
              </w:rPr>
              <w:t>1,456,346</w:t>
            </w:r>
          </w:p>
        </w:tc>
      </w:tr>
      <w:tr>
        <w:trPr>
          <w:trHeight w:val="225" w:hRule="atLeast"/>
        </w:trPr>
        <w:tc>
          <w:tcPr>
            <w:tcW w:w="2097" w:type="dxa"/>
          </w:tcPr>
          <w:p>
            <w:pPr>
              <w:pStyle w:val="TableParagraph"/>
              <w:rPr>
                <w:sz w:val="16"/>
              </w:rPr>
            </w:pPr>
          </w:p>
        </w:tc>
        <w:tc>
          <w:tcPr>
            <w:tcW w:w="224" w:type="dxa"/>
          </w:tcPr>
          <w:p>
            <w:pPr>
              <w:pStyle w:val="TableParagraph"/>
              <w:rPr>
                <w:sz w:val="16"/>
              </w:rPr>
            </w:pPr>
          </w:p>
        </w:tc>
        <w:tc>
          <w:tcPr>
            <w:tcW w:w="364" w:type="dxa"/>
          </w:tcPr>
          <w:p>
            <w:pPr>
              <w:pStyle w:val="TableParagraph"/>
              <w:spacing w:line="166" w:lineRule="exact" w:before="40"/>
              <w:ind w:left="5"/>
              <w:jc w:val="center"/>
              <w:rPr>
                <w:sz w:val="16"/>
              </w:rPr>
            </w:pPr>
            <w:r>
              <w:rPr>
                <w:spacing w:val="-4"/>
                <w:w w:val="105"/>
                <w:sz w:val="16"/>
              </w:rPr>
              <w:t>2020</w:t>
            </w:r>
          </w:p>
        </w:tc>
        <w:tc>
          <w:tcPr>
            <w:tcW w:w="224" w:type="dxa"/>
          </w:tcPr>
          <w:p>
            <w:pPr>
              <w:pStyle w:val="TableParagraph"/>
              <w:rPr>
                <w:sz w:val="16"/>
              </w:rPr>
            </w:pPr>
          </w:p>
        </w:tc>
        <w:tc>
          <w:tcPr>
            <w:tcW w:w="560" w:type="dxa"/>
          </w:tcPr>
          <w:p>
            <w:pPr>
              <w:pStyle w:val="TableParagraph"/>
              <w:spacing w:line="166" w:lineRule="exact" w:before="40"/>
              <w:ind w:left="82"/>
              <w:jc w:val="center"/>
              <w:rPr>
                <w:sz w:val="16"/>
              </w:rPr>
            </w:pPr>
            <w:r>
              <w:rPr>
                <w:spacing w:val="-2"/>
                <w:w w:val="105"/>
                <w:sz w:val="16"/>
              </w:rPr>
              <w:t>88,461</w:t>
            </w:r>
          </w:p>
        </w:tc>
        <w:tc>
          <w:tcPr>
            <w:tcW w:w="224" w:type="dxa"/>
          </w:tcPr>
          <w:p>
            <w:pPr>
              <w:pStyle w:val="TableParagraph"/>
              <w:rPr>
                <w:sz w:val="16"/>
              </w:rPr>
            </w:pPr>
          </w:p>
        </w:tc>
        <w:tc>
          <w:tcPr>
            <w:tcW w:w="378" w:type="dxa"/>
          </w:tcPr>
          <w:p>
            <w:pPr>
              <w:pStyle w:val="TableParagraph"/>
              <w:spacing w:line="166" w:lineRule="exact" w:before="40"/>
              <w:ind w:right="1"/>
              <w:jc w:val="right"/>
              <w:rPr>
                <w:sz w:val="16"/>
              </w:rPr>
            </w:pPr>
            <w:r>
              <w:rPr>
                <w:w w:val="104"/>
                <w:sz w:val="16"/>
              </w:rPr>
              <w:t>—</w:t>
            </w:r>
          </w:p>
        </w:tc>
        <w:tc>
          <w:tcPr>
            <w:tcW w:w="224" w:type="dxa"/>
          </w:tcPr>
          <w:p>
            <w:pPr>
              <w:pStyle w:val="TableParagraph"/>
              <w:rPr>
                <w:sz w:val="16"/>
              </w:rPr>
            </w:pPr>
          </w:p>
        </w:tc>
        <w:tc>
          <w:tcPr>
            <w:tcW w:w="671" w:type="dxa"/>
          </w:tcPr>
          <w:p>
            <w:pPr>
              <w:pStyle w:val="TableParagraph"/>
              <w:spacing w:line="166" w:lineRule="exact" w:before="40"/>
              <w:ind w:right="-15"/>
              <w:jc w:val="right"/>
              <w:rPr>
                <w:sz w:val="16"/>
              </w:rPr>
            </w:pPr>
            <w:r>
              <w:rPr>
                <w:spacing w:val="-2"/>
                <w:w w:val="105"/>
                <w:sz w:val="16"/>
              </w:rPr>
              <w:t>749,993</w:t>
            </w:r>
          </w:p>
        </w:tc>
        <w:tc>
          <w:tcPr>
            <w:tcW w:w="224" w:type="dxa"/>
          </w:tcPr>
          <w:p>
            <w:pPr>
              <w:pStyle w:val="TableParagraph"/>
              <w:rPr>
                <w:sz w:val="16"/>
              </w:rPr>
            </w:pPr>
          </w:p>
        </w:tc>
        <w:tc>
          <w:tcPr>
            <w:tcW w:w="678" w:type="dxa"/>
          </w:tcPr>
          <w:p>
            <w:pPr>
              <w:pStyle w:val="TableParagraph"/>
              <w:spacing w:line="166" w:lineRule="exact" w:before="40"/>
              <w:ind w:left="125"/>
              <w:jc w:val="center"/>
              <w:rPr>
                <w:sz w:val="16"/>
              </w:rPr>
            </w:pPr>
            <w:r>
              <w:rPr>
                <w:spacing w:val="-2"/>
                <w:w w:val="105"/>
                <w:sz w:val="16"/>
              </w:rPr>
              <w:t>749,999</w:t>
            </w:r>
          </w:p>
        </w:tc>
        <w:tc>
          <w:tcPr>
            <w:tcW w:w="218" w:type="dxa"/>
          </w:tcPr>
          <w:p>
            <w:pPr>
              <w:pStyle w:val="TableParagraph"/>
              <w:rPr>
                <w:sz w:val="16"/>
              </w:rPr>
            </w:pPr>
          </w:p>
        </w:tc>
        <w:tc>
          <w:tcPr>
            <w:tcW w:w="896" w:type="dxa"/>
          </w:tcPr>
          <w:p>
            <w:pPr>
              <w:pStyle w:val="TableParagraph"/>
              <w:spacing w:line="166" w:lineRule="exact" w:before="40"/>
              <w:ind w:left="162" w:right="79"/>
              <w:jc w:val="center"/>
              <w:rPr>
                <w:sz w:val="16"/>
              </w:rPr>
            </w:pPr>
            <w:r>
              <w:rPr>
                <w:spacing w:val="-2"/>
                <w:w w:val="105"/>
                <w:sz w:val="16"/>
              </w:rPr>
              <w:t>26,000</w:t>
            </w:r>
          </w:p>
        </w:tc>
        <w:tc>
          <w:tcPr>
            <w:tcW w:w="225" w:type="dxa"/>
          </w:tcPr>
          <w:p>
            <w:pPr>
              <w:pStyle w:val="TableParagraph"/>
              <w:rPr>
                <w:sz w:val="16"/>
              </w:rPr>
            </w:pPr>
          </w:p>
        </w:tc>
        <w:tc>
          <w:tcPr>
            <w:tcW w:w="882" w:type="dxa"/>
          </w:tcPr>
          <w:p>
            <w:pPr>
              <w:pStyle w:val="TableParagraph"/>
              <w:spacing w:line="166" w:lineRule="exact" w:before="40"/>
              <w:ind w:left="349"/>
              <w:rPr>
                <w:sz w:val="16"/>
              </w:rPr>
            </w:pPr>
            <w:r>
              <w:rPr>
                <w:w w:val="104"/>
                <w:sz w:val="16"/>
              </w:rPr>
              <w:t>—</w:t>
            </w:r>
          </w:p>
        </w:tc>
        <w:tc>
          <w:tcPr>
            <w:tcW w:w="225" w:type="dxa"/>
          </w:tcPr>
          <w:p>
            <w:pPr>
              <w:pStyle w:val="TableParagraph"/>
              <w:rPr>
                <w:sz w:val="16"/>
              </w:rPr>
            </w:pPr>
          </w:p>
        </w:tc>
        <w:tc>
          <w:tcPr>
            <w:tcW w:w="882" w:type="dxa"/>
          </w:tcPr>
          <w:p>
            <w:pPr>
              <w:pStyle w:val="TableParagraph"/>
              <w:spacing w:line="166" w:lineRule="exact" w:before="40"/>
              <w:ind w:right="170"/>
              <w:jc w:val="right"/>
              <w:rPr>
                <w:sz w:val="16"/>
              </w:rPr>
            </w:pPr>
            <w:r>
              <w:rPr>
                <w:w w:val="104"/>
                <w:sz w:val="16"/>
              </w:rPr>
              <w:t>—</w:t>
            </w:r>
          </w:p>
        </w:tc>
        <w:tc>
          <w:tcPr>
            <w:tcW w:w="225" w:type="dxa"/>
          </w:tcPr>
          <w:p>
            <w:pPr>
              <w:pStyle w:val="TableParagraph"/>
              <w:rPr>
                <w:sz w:val="16"/>
              </w:rPr>
            </w:pPr>
          </w:p>
        </w:tc>
        <w:tc>
          <w:tcPr>
            <w:tcW w:w="686" w:type="dxa"/>
          </w:tcPr>
          <w:p>
            <w:pPr>
              <w:pStyle w:val="TableParagraph"/>
              <w:spacing w:line="166" w:lineRule="exact" w:before="40"/>
              <w:ind w:left="-4" w:right="16"/>
              <w:jc w:val="center"/>
              <w:rPr>
                <w:sz w:val="16"/>
              </w:rPr>
            </w:pPr>
            <w:r>
              <w:rPr>
                <w:spacing w:val="-2"/>
                <w:w w:val="105"/>
                <w:sz w:val="16"/>
              </w:rPr>
              <w:t>1,614,453</w:t>
            </w:r>
          </w:p>
        </w:tc>
      </w:tr>
    </w:tbl>
    <w:p>
      <w:pPr>
        <w:spacing w:line="254" w:lineRule="auto" w:before="104" w:after="48"/>
        <w:ind w:left="775" w:right="8734" w:hanging="168"/>
        <w:jc w:val="left"/>
        <w:rPr>
          <w:sz w:val="16"/>
        </w:rPr>
      </w:pPr>
      <w:r>
        <w:rPr/>
        <w:pict>
          <v:shape style="position:absolute;margin-left:168.570206pt;margin-top:5.194164pt;width:392.55pt;height:21.8pt;mso-position-horizontal-relative:page;mso-position-vertical-relative:paragraph;z-index:15778304" type="#_x0000_t202" id="docshape35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
                    <w:gridCol w:w="845"/>
                    <w:gridCol w:w="607"/>
                    <w:gridCol w:w="899"/>
                    <w:gridCol w:w="921"/>
                    <w:gridCol w:w="1120"/>
                    <w:gridCol w:w="2041"/>
                    <w:gridCol w:w="920"/>
                  </w:tblGrid>
                  <w:tr>
                    <w:trPr>
                      <w:trHeight w:val="218" w:hRule="atLeast"/>
                    </w:trPr>
                    <w:tc>
                      <w:tcPr>
                        <w:tcW w:w="507" w:type="dxa"/>
                      </w:tcPr>
                      <w:p>
                        <w:pPr>
                          <w:pStyle w:val="TableParagraph"/>
                          <w:ind w:left="39" w:right="108"/>
                          <w:jc w:val="center"/>
                          <w:rPr>
                            <w:sz w:val="16"/>
                          </w:rPr>
                        </w:pPr>
                        <w:r>
                          <w:rPr>
                            <w:spacing w:val="-4"/>
                            <w:w w:val="105"/>
                            <w:sz w:val="16"/>
                          </w:rPr>
                          <w:t>2022</w:t>
                        </w:r>
                      </w:p>
                    </w:tc>
                    <w:tc>
                      <w:tcPr>
                        <w:tcW w:w="845" w:type="dxa"/>
                      </w:tcPr>
                      <w:p>
                        <w:pPr>
                          <w:pStyle w:val="TableParagraph"/>
                          <w:ind w:left="108" w:right="164"/>
                          <w:jc w:val="center"/>
                          <w:rPr>
                            <w:sz w:val="16"/>
                          </w:rPr>
                        </w:pPr>
                        <w:r>
                          <w:rPr>
                            <w:spacing w:val="-2"/>
                            <w:w w:val="105"/>
                            <w:sz w:val="16"/>
                          </w:rPr>
                          <w:t>373,077</w:t>
                        </w:r>
                      </w:p>
                    </w:tc>
                    <w:tc>
                      <w:tcPr>
                        <w:tcW w:w="607" w:type="dxa"/>
                      </w:tcPr>
                      <w:p>
                        <w:pPr>
                          <w:pStyle w:val="TableParagraph"/>
                          <w:ind w:left="177"/>
                          <w:rPr>
                            <w:sz w:val="16"/>
                          </w:rPr>
                        </w:pPr>
                        <w:r>
                          <w:rPr>
                            <w:spacing w:val="-5"/>
                            <w:w w:val="105"/>
                            <w:sz w:val="16"/>
                          </w:rPr>
                          <w:t>142</w:t>
                        </w:r>
                      </w:p>
                    </w:tc>
                    <w:tc>
                      <w:tcPr>
                        <w:tcW w:w="899" w:type="dxa"/>
                      </w:tcPr>
                      <w:p>
                        <w:pPr>
                          <w:pStyle w:val="TableParagraph"/>
                          <w:ind w:left="162" w:right="165"/>
                          <w:jc w:val="center"/>
                          <w:rPr>
                            <w:sz w:val="16"/>
                          </w:rPr>
                        </w:pPr>
                        <w:r>
                          <w:rPr>
                            <w:spacing w:val="-2"/>
                            <w:w w:val="105"/>
                            <w:sz w:val="16"/>
                          </w:rPr>
                          <w:t>287,478</w:t>
                        </w:r>
                      </w:p>
                    </w:tc>
                    <w:tc>
                      <w:tcPr>
                        <w:tcW w:w="921" w:type="dxa"/>
                      </w:tcPr>
                      <w:p>
                        <w:pPr>
                          <w:pStyle w:val="TableParagraph"/>
                          <w:ind w:left="160" w:right="188"/>
                          <w:jc w:val="center"/>
                          <w:rPr>
                            <w:sz w:val="16"/>
                          </w:rPr>
                        </w:pPr>
                        <w:r>
                          <w:rPr>
                            <w:spacing w:val="-2"/>
                            <w:w w:val="105"/>
                            <w:sz w:val="16"/>
                          </w:rPr>
                          <w:t>287,495</w:t>
                        </w:r>
                      </w:p>
                    </w:tc>
                    <w:tc>
                      <w:tcPr>
                        <w:tcW w:w="1120" w:type="dxa"/>
                      </w:tcPr>
                      <w:p>
                        <w:pPr>
                          <w:pStyle w:val="TableParagraph"/>
                          <w:ind w:left="194"/>
                          <w:rPr>
                            <w:sz w:val="16"/>
                          </w:rPr>
                        </w:pPr>
                        <w:r>
                          <w:rPr>
                            <w:spacing w:val="-2"/>
                            <w:w w:val="105"/>
                            <w:sz w:val="16"/>
                          </w:rPr>
                          <w:t>263,000</w:t>
                        </w:r>
                      </w:p>
                    </w:tc>
                    <w:tc>
                      <w:tcPr>
                        <w:tcW w:w="2041" w:type="dxa"/>
                      </w:tcPr>
                      <w:p>
                        <w:pPr>
                          <w:pStyle w:val="TableParagraph"/>
                          <w:tabs>
                            <w:tab w:pos="1006" w:val="left" w:leader="none"/>
                          </w:tabs>
                          <w:ind w:right="202"/>
                          <w:jc w:val="right"/>
                          <w:rPr>
                            <w:sz w:val="16"/>
                          </w:rPr>
                        </w:pPr>
                        <w:r>
                          <w:rPr>
                            <w:spacing w:val="-10"/>
                            <w:w w:val="105"/>
                            <w:sz w:val="16"/>
                          </w:rPr>
                          <w:t>—</w:t>
                        </w:r>
                        <w:r>
                          <w:rPr>
                            <w:sz w:val="16"/>
                          </w:rPr>
                          <w:tab/>
                        </w:r>
                        <w:r>
                          <w:rPr>
                            <w:spacing w:val="-2"/>
                            <w:w w:val="105"/>
                            <w:sz w:val="16"/>
                          </w:rPr>
                          <w:t>12,523</w:t>
                        </w:r>
                      </w:p>
                    </w:tc>
                    <w:tc>
                      <w:tcPr>
                        <w:tcW w:w="920" w:type="dxa"/>
                      </w:tcPr>
                      <w:p>
                        <w:pPr>
                          <w:pStyle w:val="TableParagraph"/>
                          <w:ind w:right="57"/>
                          <w:jc w:val="right"/>
                          <w:rPr>
                            <w:sz w:val="16"/>
                          </w:rPr>
                        </w:pPr>
                        <w:r>
                          <w:rPr>
                            <w:spacing w:val="-2"/>
                            <w:w w:val="105"/>
                            <w:sz w:val="16"/>
                          </w:rPr>
                          <w:t>1,223,715</w:t>
                        </w:r>
                      </w:p>
                    </w:tc>
                  </w:tr>
                  <w:tr>
                    <w:trPr>
                      <w:trHeight w:val="218" w:hRule="atLeast"/>
                    </w:trPr>
                    <w:tc>
                      <w:tcPr>
                        <w:tcW w:w="507" w:type="dxa"/>
                      </w:tcPr>
                      <w:p>
                        <w:pPr>
                          <w:pStyle w:val="TableParagraph"/>
                          <w:spacing w:line="166" w:lineRule="exact" w:before="33"/>
                          <w:ind w:left="39" w:right="108"/>
                          <w:jc w:val="center"/>
                          <w:rPr>
                            <w:sz w:val="16"/>
                          </w:rPr>
                        </w:pPr>
                        <w:r>
                          <w:rPr>
                            <w:spacing w:val="-4"/>
                            <w:w w:val="105"/>
                            <w:sz w:val="16"/>
                          </w:rPr>
                          <w:t>2021</w:t>
                        </w:r>
                      </w:p>
                    </w:tc>
                    <w:tc>
                      <w:tcPr>
                        <w:tcW w:w="845" w:type="dxa"/>
                      </w:tcPr>
                      <w:p>
                        <w:pPr>
                          <w:pStyle w:val="TableParagraph"/>
                          <w:spacing w:line="166" w:lineRule="exact" w:before="33"/>
                          <w:ind w:left="108" w:right="164"/>
                          <w:jc w:val="center"/>
                          <w:rPr>
                            <w:sz w:val="16"/>
                          </w:rPr>
                        </w:pPr>
                        <w:r>
                          <w:rPr>
                            <w:spacing w:val="-2"/>
                            <w:w w:val="105"/>
                            <w:sz w:val="16"/>
                          </w:rPr>
                          <w:t>349,493</w:t>
                        </w:r>
                      </w:p>
                    </w:tc>
                    <w:tc>
                      <w:tcPr>
                        <w:tcW w:w="607" w:type="dxa"/>
                      </w:tcPr>
                      <w:p>
                        <w:pPr>
                          <w:pStyle w:val="TableParagraph"/>
                          <w:spacing w:line="166" w:lineRule="exact" w:before="33"/>
                          <w:ind w:left="177"/>
                          <w:rPr>
                            <w:sz w:val="16"/>
                          </w:rPr>
                        </w:pPr>
                        <w:r>
                          <w:rPr>
                            <w:spacing w:val="-5"/>
                            <w:w w:val="105"/>
                            <w:sz w:val="16"/>
                          </w:rPr>
                          <w:t>200</w:t>
                        </w:r>
                      </w:p>
                    </w:tc>
                    <w:tc>
                      <w:tcPr>
                        <w:tcW w:w="899" w:type="dxa"/>
                      </w:tcPr>
                      <w:p>
                        <w:pPr>
                          <w:pStyle w:val="TableParagraph"/>
                          <w:spacing w:line="166" w:lineRule="exact" w:before="33"/>
                          <w:ind w:left="162" w:right="165"/>
                          <w:jc w:val="center"/>
                          <w:rPr>
                            <w:sz w:val="16"/>
                          </w:rPr>
                        </w:pPr>
                        <w:r>
                          <w:rPr>
                            <w:spacing w:val="-2"/>
                            <w:w w:val="105"/>
                            <w:sz w:val="16"/>
                          </w:rPr>
                          <w:t>262,494</w:t>
                        </w:r>
                      </w:p>
                    </w:tc>
                    <w:tc>
                      <w:tcPr>
                        <w:tcW w:w="921" w:type="dxa"/>
                      </w:tcPr>
                      <w:p>
                        <w:pPr>
                          <w:pStyle w:val="TableParagraph"/>
                          <w:spacing w:line="166" w:lineRule="exact" w:before="33"/>
                          <w:ind w:left="160" w:right="188"/>
                          <w:jc w:val="center"/>
                          <w:rPr>
                            <w:sz w:val="16"/>
                          </w:rPr>
                        </w:pPr>
                        <w:r>
                          <w:rPr>
                            <w:spacing w:val="-2"/>
                            <w:w w:val="105"/>
                            <w:sz w:val="16"/>
                          </w:rPr>
                          <w:t>262,495</w:t>
                        </w:r>
                      </w:p>
                    </w:tc>
                    <w:tc>
                      <w:tcPr>
                        <w:tcW w:w="1120" w:type="dxa"/>
                      </w:tcPr>
                      <w:p>
                        <w:pPr>
                          <w:pStyle w:val="TableParagraph"/>
                          <w:spacing w:line="166" w:lineRule="exact" w:before="33"/>
                          <w:ind w:left="194"/>
                          <w:rPr>
                            <w:sz w:val="16"/>
                          </w:rPr>
                        </w:pPr>
                        <w:r>
                          <w:rPr>
                            <w:spacing w:val="-2"/>
                            <w:w w:val="105"/>
                            <w:sz w:val="16"/>
                          </w:rPr>
                          <w:t>262,500</w:t>
                        </w:r>
                      </w:p>
                    </w:tc>
                    <w:tc>
                      <w:tcPr>
                        <w:tcW w:w="2041" w:type="dxa"/>
                      </w:tcPr>
                      <w:p>
                        <w:pPr>
                          <w:pStyle w:val="TableParagraph"/>
                          <w:tabs>
                            <w:tab w:pos="1006" w:val="left" w:leader="none"/>
                          </w:tabs>
                          <w:spacing w:line="166" w:lineRule="exact" w:before="33"/>
                          <w:ind w:right="202"/>
                          <w:jc w:val="right"/>
                          <w:rPr>
                            <w:sz w:val="16"/>
                          </w:rPr>
                        </w:pPr>
                        <w:r>
                          <w:rPr>
                            <w:spacing w:val="-10"/>
                            <w:w w:val="105"/>
                            <w:sz w:val="16"/>
                          </w:rPr>
                          <w:t>—</w:t>
                        </w:r>
                        <w:r>
                          <w:rPr>
                            <w:sz w:val="16"/>
                          </w:rPr>
                          <w:tab/>
                        </w:r>
                        <w:r>
                          <w:rPr>
                            <w:spacing w:val="-2"/>
                            <w:w w:val="105"/>
                            <w:sz w:val="16"/>
                          </w:rPr>
                          <w:t>10,769</w:t>
                        </w:r>
                      </w:p>
                    </w:tc>
                    <w:tc>
                      <w:tcPr>
                        <w:tcW w:w="920" w:type="dxa"/>
                      </w:tcPr>
                      <w:p>
                        <w:pPr>
                          <w:pStyle w:val="TableParagraph"/>
                          <w:spacing w:line="166" w:lineRule="exact" w:before="33"/>
                          <w:ind w:right="57"/>
                          <w:jc w:val="right"/>
                          <w:rPr>
                            <w:sz w:val="16"/>
                          </w:rPr>
                        </w:pPr>
                        <w:r>
                          <w:rPr>
                            <w:spacing w:val="-2"/>
                            <w:w w:val="105"/>
                            <w:sz w:val="16"/>
                          </w:rPr>
                          <w:t>1,147,951</w:t>
                        </w:r>
                      </w:p>
                    </w:tc>
                  </w:tr>
                </w:tbl>
                <w:p>
                  <w:pPr>
                    <w:pStyle w:val="BodyText"/>
                  </w:pPr>
                </w:p>
              </w:txbxContent>
            </v:textbox>
            <w10:wrap type="none"/>
          </v:shape>
        </w:pict>
      </w:r>
      <w:r>
        <w:rPr>
          <w:w w:val="105"/>
          <w:sz w:val="16"/>
        </w:rPr>
        <w:t>Kimberley E. Honeysett SVP, CLO, GC and</w:t>
      </w: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1"/>
        <w:gridCol w:w="579"/>
        <w:gridCol w:w="782"/>
        <w:gridCol w:w="669"/>
        <w:gridCol w:w="898"/>
        <w:gridCol w:w="920"/>
        <w:gridCol w:w="1119"/>
        <w:gridCol w:w="962"/>
        <w:gridCol w:w="1078"/>
        <w:gridCol w:w="919"/>
      </w:tblGrid>
      <w:tr>
        <w:trPr>
          <w:trHeight w:val="319" w:hRule="atLeast"/>
        </w:trPr>
        <w:tc>
          <w:tcPr>
            <w:tcW w:w="2261" w:type="dxa"/>
          </w:tcPr>
          <w:p>
            <w:pPr>
              <w:pStyle w:val="TableParagraph"/>
              <w:spacing w:line="152" w:lineRule="exact"/>
              <w:ind w:left="217"/>
              <w:rPr>
                <w:sz w:val="16"/>
              </w:rPr>
            </w:pPr>
            <w:r>
              <w:rPr>
                <w:w w:val="105"/>
                <w:sz w:val="16"/>
              </w:rPr>
              <w:t>Corporate</w:t>
            </w:r>
            <w:r>
              <w:rPr>
                <w:spacing w:val="23"/>
                <w:w w:val="105"/>
                <w:sz w:val="16"/>
              </w:rPr>
              <w:t> </w:t>
            </w:r>
            <w:r>
              <w:rPr>
                <w:spacing w:val="-2"/>
                <w:w w:val="105"/>
                <w:sz w:val="16"/>
              </w:rPr>
              <w:t>Secretary</w:t>
            </w:r>
          </w:p>
        </w:tc>
        <w:tc>
          <w:tcPr>
            <w:tcW w:w="579" w:type="dxa"/>
          </w:tcPr>
          <w:p>
            <w:pPr>
              <w:pStyle w:val="TableParagraph"/>
              <w:spacing w:before="80"/>
              <w:ind w:right="118"/>
              <w:jc w:val="right"/>
              <w:rPr>
                <w:sz w:val="16"/>
              </w:rPr>
            </w:pPr>
            <w:r>
              <w:rPr>
                <w:spacing w:val="-4"/>
                <w:w w:val="105"/>
                <w:sz w:val="16"/>
              </w:rPr>
              <w:t>2020</w:t>
            </w:r>
          </w:p>
        </w:tc>
        <w:tc>
          <w:tcPr>
            <w:tcW w:w="782" w:type="dxa"/>
          </w:tcPr>
          <w:p>
            <w:pPr>
              <w:pStyle w:val="TableParagraph"/>
              <w:spacing w:before="80"/>
              <w:ind w:right="113"/>
              <w:jc w:val="right"/>
              <w:rPr>
                <w:sz w:val="16"/>
              </w:rPr>
            </w:pPr>
            <w:r>
              <w:rPr>
                <w:spacing w:val="-2"/>
                <w:w w:val="105"/>
                <w:sz w:val="16"/>
              </w:rPr>
              <w:t>331,338</w:t>
            </w:r>
          </w:p>
        </w:tc>
        <w:tc>
          <w:tcPr>
            <w:tcW w:w="669" w:type="dxa"/>
          </w:tcPr>
          <w:p>
            <w:pPr>
              <w:pStyle w:val="TableParagraph"/>
              <w:spacing w:before="80"/>
              <w:ind w:right="174"/>
              <w:jc w:val="right"/>
              <w:rPr>
                <w:sz w:val="16"/>
              </w:rPr>
            </w:pPr>
            <w:r>
              <w:rPr>
                <w:w w:val="104"/>
                <w:sz w:val="16"/>
              </w:rPr>
              <w:t>—</w:t>
            </w:r>
          </w:p>
        </w:tc>
        <w:tc>
          <w:tcPr>
            <w:tcW w:w="898" w:type="dxa"/>
          </w:tcPr>
          <w:p>
            <w:pPr>
              <w:pStyle w:val="TableParagraph"/>
              <w:spacing w:before="80"/>
              <w:ind w:left="162" w:right="163"/>
              <w:jc w:val="center"/>
              <w:rPr>
                <w:sz w:val="16"/>
              </w:rPr>
            </w:pPr>
            <w:r>
              <w:rPr>
                <w:spacing w:val="-2"/>
                <w:w w:val="105"/>
                <w:sz w:val="16"/>
              </w:rPr>
              <w:t>259,996</w:t>
            </w:r>
          </w:p>
        </w:tc>
        <w:tc>
          <w:tcPr>
            <w:tcW w:w="920" w:type="dxa"/>
          </w:tcPr>
          <w:p>
            <w:pPr>
              <w:pStyle w:val="TableParagraph"/>
              <w:spacing w:before="80"/>
              <w:ind w:left="163" w:right="185"/>
              <w:jc w:val="center"/>
              <w:rPr>
                <w:sz w:val="16"/>
              </w:rPr>
            </w:pPr>
            <w:r>
              <w:rPr>
                <w:spacing w:val="-2"/>
                <w:w w:val="105"/>
                <w:sz w:val="16"/>
              </w:rPr>
              <w:t>259,991</w:t>
            </w:r>
          </w:p>
        </w:tc>
        <w:tc>
          <w:tcPr>
            <w:tcW w:w="1119" w:type="dxa"/>
          </w:tcPr>
          <w:p>
            <w:pPr>
              <w:pStyle w:val="TableParagraph"/>
              <w:spacing w:before="80"/>
              <w:ind w:right="373"/>
              <w:jc w:val="right"/>
              <w:rPr>
                <w:sz w:val="16"/>
              </w:rPr>
            </w:pPr>
            <w:r>
              <w:rPr>
                <w:spacing w:val="-2"/>
                <w:w w:val="105"/>
                <w:sz w:val="16"/>
              </w:rPr>
              <w:t>88,647</w:t>
            </w:r>
          </w:p>
        </w:tc>
        <w:tc>
          <w:tcPr>
            <w:tcW w:w="962" w:type="dxa"/>
          </w:tcPr>
          <w:p>
            <w:pPr>
              <w:pStyle w:val="TableParagraph"/>
              <w:spacing w:before="80"/>
              <w:ind w:right="45"/>
              <w:jc w:val="center"/>
              <w:rPr>
                <w:sz w:val="16"/>
              </w:rPr>
            </w:pPr>
            <w:r>
              <w:rPr>
                <w:w w:val="104"/>
                <w:sz w:val="16"/>
              </w:rPr>
              <w:t>—</w:t>
            </w:r>
          </w:p>
        </w:tc>
        <w:tc>
          <w:tcPr>
            <w:tcW w:w="1078" w:type="dxa"/>
          </w:tcPr>
          <w:p>
            <w:pPr>
              <w:pStyle w:val="TableParagraph"/>
              <w:spacing w:before="80"/>
              <w:ind w:right="197"/>
              <w:jc w:val="right"/>
              <w:rPr>
                <w:sz w:val="16"/>
              </w:rPr>
            </w:pPr>
            <w:r>
              <w:rPr>
                <w:spacing w:val="-4"/>
                <w:w w:val="105"/>
                <w:sz w:val="16"/>
              </w:rPr>
              <w:t>9,631</w:t>
            </w:r>
          </w:p>
        </w:tc>
        <w:tc>
          <w:tcPr>
            <w:tcW w:w="919" w:type="dxa"/>
          </w:tcPr>
          <w:p>
            <w:pPr>
              <w:pStyle w:val="TableParagraph"/>
              <w:spacing w:before="80"/>
              <w:ind w:right="50"/>
              <w:jc w:val="right"/>
              <w:rPr>
                <w:sz w:val="16"/>
              </w:rPr>
            </w:pPr>
            <w:r>
              <w:rPr>
                <w:spacing w:val="-2"/>
                <w:w w:val="105"/>
                <w:sz w:val="16"/>
              </w:rPr>
              <w:t>949,603</w:t>
            </w:r>
          </w:p>
        </w:tc>
      </w:tr>
      <w:tr>
        <w:trPr>
          <w:trHeight w:val="244" w:hRule="atLeast"/>
        </w:trPr>
        <w:tc>
          <w:tcPr>
            <w:tcW w:w="2261" w:type="dxa"/>
          </w:tcPr>
          <w:p>
            <w:pPr>
              <w:pStyle w:val="TableParagraph"/>
              <w:spacing w:line="171" w:lineRule="exact" w:before="54"/>
              <w:ind w:left="50"/>
              <w:rPr>
                <w:sz w:val="16"/>
              </w:rPr>
            </w:pPr>
            <w:r>
              <w:rPr>
                <w:w w:val="105"/>
                <w:sz w:val="16"/>
              </w:rPr>
              <w:t>Brian</w:t>
            </w:r>
            <w:r>
              <w:rPr>
                <w:spacing w:val="-1"/>
                <w:w w:val="105"/>
                <w:sz w:val="16"/>
              </w:rPr>
              <w:t> </w:t>
            </w:r>
            <w:r>
              <w:rPr>
                <w:w w:val="105"/>
                <w:sz w:val="16"/>
              </w:rPr>
              <w:t>W.</w:t>
            </w:r>
            <w:r>
              <w:rPr>
                <w:spacing w:val="3"/>
                <w:w w:val="105"/>
                <w:sz w:val="16"/>
              </w:rPr>
              <w:t> </w:t>
            </w:r>
            <w:r>
              <w:rPr>
                <w:spacing w:val="-2"/>
                <w:w w:val="105"/>
                <w:sz w:val="16"/>
              </w:rPr>
              <w:t>Giambattista</w:t>
            </w:r>
          </w:p>
        </w:tc>
        <w:tc>
          <w:tcPr>
            <w:tcW w:w="579" w:type="dxa"/>
          </w:tcPr>
          <w:p>
            <w:pPr>
              <w:pStyle w:val="TableParagraph"/>
              <w:spacing w:line="171" w:lineRule="exact" w:before="54"/>
              <w:ind w:right="118"/>
              <w:jc w:val="right"/>
              <w:rPr>
                <w:sz w:val="16"/>
              </w:rPr>
            </w:pPr>
            <w:r>
              <w:rPr>
                <w:spacing w:val="-4"/>
                <w:w w:val="105"/>
                <w:sz w:val="16"/>
              </w:rPr>
              <w:t>2022</w:t>
            </w:r>
          </w:p>
        </w:tc>
        <w:tc>
          <w:tcPr>
            <w:tcW w:w="782" w:type="dxa"/>
          </w:tcPr>
          <w:p>
            <w:pPr>
              <w:pStyle w:val="TableParagraph"/>
              <w:spacing w:line="171" w:lineRule="exact" w:before="54"/>
              <w:ind w:right="113"/>
              <w:jc w:val="right"/>
              <w:rPr>
                <w:sz w:val="16"/>
              </w:rPr>
            </w:pPr>
            <w:r>
              <w:rPr>
                <w:spacing w:val="-2"/>
                <w:w w:val="105"/>
                <w:sz w:val="16"/>
              </w:rPr>
              <w:t>372,965</w:t>
            </w:r>
          </w:p>
        </w:tc>
        <w:tc>
          <w:tcPr>
            <w:tcW w:w="669" w:type="dxa"/>
          </w:tcPr>
          <w:p>
            <w:pPr>
              <w:pStyle w:val="TableParagraph"/>
              <w:spacing w:line="171" w:lineRule="exact" w:before="54"/>
              <w:ind w:right="174"/>
              <w:jc w:val="right"/>
              <w:rPr>
                <w:sz w:val="16"/>
              </w:rPr>
            </w:pPr>
            <w:r>
              <w:rPr>
                <w:w w:val="104"/>
                <w:sz w:val="16"/>
              </w:rPr>
              <w:t>—</w:t>
            </w:r>
          </w:p>
        </w:tc>
        <w:tc>
          <w:tcPr>
            <w:tcW w:w="898" w:type="dxa"/>
          </w:tcPr>
          <w:p>
            <w:pPr>
              <w:pStyle w:val="TableParagraph"/>
              <w:spacing w:line="171" w:lineRule="exact" w:before="54"/>
              <w:ind w:left="162" w:right="163"/>
              <w:jc w:val="center"/>
              <w:rPr>
                <w:sz w:val="16"/>
              </w:rPr>
            </w:pPr>
            <w:r>
              <w:rPr>
                <w:spacing w:val="-2"/>
                <w:w w:val="105"/>
                <w:sz w:val="16"/>
              </w:rPr>
              <w:t>262,490</w:t>
            </w:r>
          </w:p>
        </w:tc>
        <w:tc>
          <w:tcPr>
            <w:tcW w:w="920" w:type="dxa"/>
          </w:tcPr>
          <w:p>
            <w:pPr>
              <w:pStyle w:val="TableParagraph"/>
              <w:spacing w:line="171" w:lineRule="exact" w:before="54"/>
              <w:ind w:left="163" w:right="185"/>
              <w:jc w:val="center"/>
              <w:rPr>
                <w:sz w:val="16"/>
              </w:rPr>
            </w:pPr>
            <w:r>
              <w:rPr>
                <w:spacing w:val="-2"/>
                <w:w w:val="105"/>
                <w:sz w:val="16"/>
              </w:rPr>
              <w:t>262,498</w:t>
            </w:r>
          </w:p>
        </w:tc>
        <w:tc>
          <w:tcPr>
            <w:tcW w:w="1119" w:type="dxa"/>
          </w:tcPr>
          <w:p>
            <w:pPr>
              <w:pStyle w:val="TableParagraph"/>
              <w:spacing w:line="171" w:lineRule="exact" w:before="54"/>
              <w:ind w:right="373"/>
              <w:jc w:val="right"/>
              <w:rPr>
                <w:sz w:val="16"/>
              </w:rPr>
            </w:pPr>
            <w:r>
              <w:rPr>
                <w:spacing w:val="-2"/>
                <w:w w:val="105"/>
                <w:sz w:val="16"/>
              </w:rPr>
              <w:t>219,000</w:t>
            </w:r>
          </w:p>
        </w:tc>
        <w:tc>
          <w:tcPr>
            <w:tcW w:w="962" w:type="dxa"/>
          </w:tcPr>
          <w:p>
            <w:pPr>
              <w:pStyle w:val="TableParagraph"/>
              <w:spacing w:line="171" w:lineRule="exact" w:before="54"/>
              <w:ind w:right="45"/>
              <w:jc w:val="center"/>
              <w:rPr>
                <w:sz w:val="16"/>
              </w:rPr>
            </w:pPr>
            <w:r>
              <w:rPr>
                <w:w w:val="104"/>
                <w:sz w:val="16"/>
              </w:rPr>
              <w:t>—</w:t>
            </w:r>
          </w:p>
        </w:tc>
        <w:tc>
          <w:tcPr>
            <w:tcW w:w="1078" w:type="dxa"/>
          </w:tcPr>
          <w:p>
            <w:pPr>
              <w:pStyle w:val="TableParagraph"/>
              <w:spacing w:line="171" w:lineRule="exact" w:before="54"/>
              <w:ind w:right="197"/>
              <w:jc w:val="right"/>
              <w:rPr>
                <w:sz w:val="16"/>
              </w:rPr>
            </w:pPr>
            <w:r>
              <w:rPr>
                <w:spacing w:val="-2"/>
                <w:w w:val="105"/>
                <w:sz w:val="16"/>
              </w:rPr>
              <w:t>10,200</w:t>
            </w:r>
          </w:p>
        </w:tc>
        <w:tc>
          <w:tcPr>
            <w:tcW w:w="919" w:type="dxa"/>
          </w:tcPr>
          <w:p>
            <w:pPr>
              <w:pStyle w:val="TableParagraph"/>
              <w:spacing w:line="171" w:lineRule="exact" w:before="54"/>
              <w:ind w:right="50"/>
              <w:jc w:val="right"/>
              <w:rPr>
                <w:sz w:val="16"/>
              </w:rPr>
            </w:pPr>
            <w:r>
              <w:rPr>
                <w:spacing w:val="-2"/>
                <w:w w:val="105"/>
                <w:sz w:val="16"/>
              </w:rPr>
              <w:t>1,127,153</w:t>
            </w:r>
          </w:p>
        </w:tc>
      </w:tr>
      <w:tr>
        <w:trPr>
          <w:trHeight w:val="272" w:hRule="atLeast"/>
        </w:trPr>
        <w:tc>
          <w:tcPr>
            <w:tcW w:w="2261" w:type="dxa"/>
          </w:tcPr>
          <w:p>
            <w:pPr>
              <w:pStyle w:val="TableParagraph"/>
              <w:spacing w:before="5"/>
              <w:ind w:left="217"/>
              <w:rPr>
                <w:sz w:val="16"/>
              </w:rPr>
            </w:pPr>
            <w:r>
              <w:rPr>
                <w:w w:val="105"/>
                <w:sz w:val="16"/>
              </w:rPr>
              <w:t>SVP</w:t>
            </w:r>
            <w:r>
              <w:rPr>
                <w:spacing w:val="10"/>
                <w:w w:val="105"/>
                <w:sz w:val="16"/>
              </w:rPr>
              <w:t> </w:t>
            </w:r>
            <w:r>
              <w:rPr>
                <w:w w:val="105"/>
                <w:sz w:val="16"/>
              </w:rPr>
              <w:t>and</w:t>
            </w:r>
            <w:r>
              <w:rPr>
                <w:spacing w:val="16"/>
                <w:w w:val="105"/>
                <w:sz w:val="16"/>
              </w:rPr>
              <w:t> </w:t>
            </w:r>
            <w:r>
              <w:rPr>
                <w:w w:val="105"/>
                <w:sz w:val="16"/>
              </w:rPr>
              <w:t>General</w:t>
            </w:r>
            <w:r>
              <w:rPr>
                <w:spacing w:val="17"/>
                <w:w w:val="105"/>
                <w:sz w:val="16"/>
              </w:rPr>
              <w:t> </w:t>
            </w:r>
            <w:r>
              <w:rPr>
                <w:spacing w:val="-2"/>
                <w:w w:val="105"/>
                <w:sz w:val="16"/>
              </w:rPr>
              <w:t>Manager,</w:t>
            </w:r>
          </w:p>
        </w:tc>
        <w:tc>
          <w:tcPr>
            <w:tcW w:w="579" w:type="dxa"/>
          </w:tcPr>
          <w:p>
            <w:pPr>
              <w:pStyle w:val="TableParagraph"/>
              <w:spacing w:before="47"/>
              <w:ind w:right="118"/>
              <w:jc w:val="right"/>
              <w:rPr>
                <w:sz w:val="16"/>
              </w:rPr>
            </w:pPr>
            <w:r>
              <w:rPr>
                <w:spacing w:val="-4"/>
                <w:w w:val="105"/>
                <w:sz w:val="16"/>
              </w:rPr>
              <w:t>2021</w:t>
            </w:r>
          </w:p>
        </w:tc>
        <w:tc>
          <w:tcPr>
            <w:tcW w:w="782" w:type="dxa"/>
          </w:tcPr>
          <w:p>
            <w:pPr>
              <w:pStyle w:val="TableParagraph"/>
              <w:spacing w:before="47"/>
              <w:ind w:right="113"/>
              <w:jc w:val="right"/>
              <w:rPr>
                <w:sz w:val="16"/>
              </w:rPr>
            </w:pPr>
            <w:r>
              <w:rPr>
                <w:spacing w:val="-2"/>
                <w:w w:val="105"/>
                <w:sz w:val="16"/>
              </w:rPr>
              <w:t>349,513</w:t>
            </w:r>
          </w:p>
        </w:tc>
        <w:tc>
          <w:tcPr>
            <w:tcW w:w="669" w:type="dxa"/>
          </w:tcPr>
          <w:p>
            <w:pPr>
              <w:pStyle w:val="TableParagraph"/>
              <w:spacing w:before="47"/>
              <w:ind w:right="174"/>
              <w:jc w:val="right"/>
              <w:rPr>
                <w:sz w:val="16"/>
              </w:rPr>
            </w:pPr>
            <w:r>
              <w:rPr>
                <w:w w:val="104"/>
                <w:sz w:val="16"/>
              </w:rPr>
              <w:t>—</w:t>
            </w:r>
          </w:p>
        </w:tc>
        <w:tc>
          <w:tcPr>
            <w:tcW w:w="898" w:type="dxa"/>
          </w:tcPr>
          <w:p>
            <w:pPr>
              <w:pStyle w:val="TableParagraph"/>
              <w:spacing w:before="47"/>
              <w:ind w:left="162" w:right="163"/>
              <w:jc w:val="center"/>
              <w:rPr>
                <w:sz w:val="16"/>
              </w:rPr>
            </w:pPr>
            <w:r>
              <w:rPr>
                <w:spacing w:val="-2"/>
                <w:w w:val="105"/>
                <w:sz w:val="16"/>
              </w:rPr>
              <w:t>262,494</w:t>
            </w:r>
          </w:p>
        </w:tc>
        <w:tc>
          <w:tcPr>
            <w:tcW w:w="920" w:type="dxa"/>
          </w:tcPr>
          <w:p>
            <w:pPr>
              <w:pStyle w:val="TableParagraph"/>
              <w:spacing w:before="47"/>
              <w:ind w:left="163" w:right="185"/>
              <w:jc w:val="center"/>
              <w:rPr>
                <w:sz w:val="16"/>
              </w:rPr>
            </w:pPr>
            <w:r>
              <w:rPr>
                <w:spacing w:val="-2"/>
                <w:w w:val="105"/>
                <w:sz w:val="16"/>
              </w:rPr>
              <w:t>262,495</w:t>
            </w:r>
          </w:p>
        </w:tc>
        <w:tc>
          <w:tcPr>
            <w:tcW w:w="1119" w:type="dxa"/>
          </w:tcPr>
          <w:p>
            <w:pPr>
              <w:pStyle w:val="TableParagraph"/>
              <w:spacing w:before="47"/>
              <w:ind w:right="373"/>
              <w:jc w:val="right"/>
              <w:rPr>
                <w:sz w:val="16"/>
              </w:rPr>
            </w:pPr>
            <w:r>
              <w:rPr>
                <w:spacing w:val="-2"/>
                <w:w w:val="105"/>
                <w:sz w:val="16"/>
              </w:rPr>
              <w:t>262,135</w:t>
            </w:r>
          </w:p>
        </w:tc>
        <w:tc>
          <w:tcPr>
            <w:tcW w:w="962" w:type="dxa"/>
          </w:tcPr>
          <w:p>
            <w:pPr>
              <w:pStyle w:val="TableParagraph"/>
              <w:spacing w:before="47"/>
              <w:ind w:right="45"/>
              <w:jc w:val="center"/>
              <w:rPr>
                <w:sz w:val="16"/>
              </w:rPr>
            </w:pPr>
            <w:r>
              <w:rPr>
                <w:w w:val="104"/>
                <w:sz w:val="16"/>
              </w:rPr>
              <w:t>—</w:t>
            </w:r>
          </w:p>
        </w:tc>
        <w:tc>
          <w:tcPr>
            <w:tcW w:w="1078" w:type="dxa"/>
          </w:tcPr>
          <w:p>
            <w:pPr>
              <w:pStyle w:val="TableParagraph"/>
              <w:spacing w:before="47"/>
              <w:ind w:right="197"/>
              <w:jc w:val="right"/>
              <w:rPr>
                <w:sz w:val="16"/>
              </w:rPr>
            </w:pPr>
            <w:r>
              <w:rPr>
                <w:spacing w:val="-2"/>
                <w:w w:val="105"/>
                <w:sz w:val="16"/>
              </w:rPr>
              <w:t>10,754</w:t>
            </w:r>
          </w:p>
        </w:tc>
        <w:tc>
          <w:tcPr>
            <w:tcW w:w="919" w:type="dxa"/>
          </w:tcPr>
          <w:p>
            <w:pPr>
              <w:pStyle w:val="TableParagraph"/>
              <w:spacing w:before="47"/>
              <w:ind w:right="50"/>
              <w:jc w:val="right"/>
              <w:rPr>
                <w:sz w:val="16"/>
              </w:rPr>
            </w:pPr>
            <w:r>
              <w:rPr>
                <w:spacing w:val="-2"/>
                <w:w w:val="105"/>
                <w:sz w:val="16"/>
              </w:rPr>
              <w:t>1,147,391</w:t>
            </w:r>
          </w:p>
        </w:tc>
      </w:tr>
      <w:tr>
        <w:trPr>
          <w:trHeight w:val="273" w:hRule="atLeast"/>
        </w:trPr>
        <w:tc>
          <w:tcPr>
            <w:tcW w:w="2261" w:type="dxa"/>
          </w:tcPr>
          <w:p>
            <w:pPr>
              <w:pStyle w:val="TableParagraph"/>
              <w:spacing w:line="112" w:lineRule="exact"/>
              <w:ind w:left="217"/>
              <w:rPr>
                <w:sz w:val="16"/>
              </w:rPr>
            </w:pPr>
            <w:r>
              <w:rPr>
                <w:spacing w:val="-2"/>
                <w:w w:val="105"/>
                <w:sz w:val="16"/>
              </w:rPr>
              <w:t>Detectors</w:t>
            </w:r>
          </w:p>
        </w:tc>
        <w:tc>
          <w:tcPr>
            <w:tcW w:w="579" w:type="dxa"/>
          </w:tcPr>
          <w:p>
            <w:pPr>
              <w:pStyle w:val="TableParagraph"/>
              <w:spacing w:before="40"/>
              <w:ind w:right="118"/>
              <w:jc w:val="right"/>
              <w:rPr>
                <w:sz w:val="16"/>
              </w:rPr>
            </w:pPr>
            <w:r>
              <w:rPr>
                <w:spacing w:val="-4"/>
                <w:w w:val="105"/>
                <w:sz w:val="16"/>
              </w:rPr>
              <w:t>2020</w:t>
            </w:r>
          </w:p>
        </w:tc>
        <w:tc>
          <w:tcPr>
            <w:tcW w:w="782" w:type="dxa"/>
          </w:tcPr>
          <w:p>
            <w:pPr>
              <w:pStyle w:val="TableParagraph"/>
              <w:spacing w:before="40"/>
              <w:ind w:right="113"/>
              <w:jc w:val="right"/>
              <w:rPr>
                <w:sz w:val="16"/>
              </w:rPr>
            </w:pPr>
            <w:r>
              <w:rPr>
                <w:spacing w:val="-2"/>
                <w:w w:val="105"/>
                <w:sz w:val="16"/>
              </w:rPr>
              <w:t>334,200</w:t>
            </w:r>
          </w:p>
        </w:tc>
        <w:tc>
          <w:tcPr>
            <w:tcW w:w="669" w:type="dxa"/>
          </w:tcPr>
          <w:p>
            <w:pPr>
              <w:pStyle w:val="TableParagraph"/>
              <w:spacing w:before="40"/>
              <w:ind w:right="174"/>
              <w:jc w:val="right"/>
              <w:rPr>
                <w:sz w:val="16"/>
              </w:rPr>
            </w:pPr>
            <w:r>
              <w:rPr>
                <w:w w:val="104"/>
                <w:sz w:val="16"/>
              </w:rPr>
              <w:t>—</w:t>
            </w:r>
          </w:p>
        </w:tc>
        <w:tc>
          <w:tcPr>
            <w:tcW w:w="898" w:type="dxa"/>
          </w:tcPr>
          <w:p>
            <w:pPr>
              <w:pStyle w:val="TableParagraph"/>
              <w:spacing w:before="40"/>
              <w:ind w:left="162" w:right="163"/>
              <w:jc w:val="center"/>
              <w:rPr>
                <w:sz w:val="16"/>
              </w:rPr>
            </w:pPr>
            <w:r>
              <w:rPr>
                <w:spacing w:val="-2"/>
                <w:w w:val="105"/>
                <w:sz w:val="16"/>
              </w:rPr>
              <w:t>262,476</w:t>
            </w:r>
          </w:p>
        </w:tc>
        <w:tc>
          <w:tcPr>
            <w:tcW w:w="920" w:type="dxa"/>
          </w:tcPr>
          <w:p>
            <w:pPr>
              <w:pStyle w:val="TableParagraph"/>
              <w:spacing w:before="40"/>
              <w:ind w:left="163" w:right="185"/>
              <w:jc w:val="center"/>
              <w:rPr>
                <w:sz w:val="16"/>
              </w:rPr>
            </w:pPr>
            <w:r>
              <w:rPr>
                <w:spacing w:val="-2"/>
                <w:w w:val="105"/>
                <w:sz w:val="16"/>
              </w:rPr>
              <w:t>262,498</w:t>
            </w:r>
          </w:p>
        </w:tc>
        <w:tc>
          <w:tcPr>
            <w:tcW w:w="1119" w:type="dxa"/>
          </w:tcPr>
          <w:p>
            <w:pPr>
              <w:pStyle w:val="TableParagraph"/>
              <w:spacing w:before="40"/>
              <w:ind w:right="373"/>
              <w:jc w:val="right"/>
              <w:rPr>
                <w:sz w:val="16"/>
              </w:rPr>
            </w:pPr>
            <w:r>
              <w:rPr>
                <w:spacing w:val="-2"/>
                <w:w w:val="105"/>
                <w:sz w:val="16"/>
              </w:rPr>
              <w:t>63,032</w:t>
            </w:r>
          </w:p>
        </w:tc>
        <w:tc>
          <w:tcPr>
            <w:tcW w:w="962" w:type="dxa"/>
          </w:tcPr>
          <w:p>
            <w:pPr>
              <w:pStyle w:val="TableParagraph"/>
              <w:spacing w:before="40"/>
              <w:ind w:right="45"/>
              <w:jc w:val="center"/>
              <w:rPr>
                <w:sz w:val="16"/>
              </w:rPr>
            </w:pPr>
            <w:r>
              <w:rPr>
                <w:w w:val="104"/>
                <w:sz w:val="16"/>
              </w:rPr>
              <w:t>—</w:t>
            </w:r>
          </w:p>
        </w:tc>
        <w:tc>
          <w:tcPr>
            <w:tcW w:w="1078" w:type="dxa"/>
          </w:tcPr>
          <w:p>
            <w:pPr>
              <w:pStyle w:val="TableParagraph"/>
              <w:spacing w:before="40"/>
              <w:ind w:right="197"/>
              <w:jc w:val="right"/>
              <w:rPr>
                <w:sz w:val="16"/>
              </w:rPr>
            </w:pPr>
            <w:r>
              <w:rPr>
                <w:spacing w:val="-2"/>
                <w:w w:val="105"/>
                <w:sz w:val="16"/>
              </w:rPr>
              <w:t>11,391</w:t>
            </w:r>
          </w:p>
        </w:tc>
        <w:tc>
          <w:tcPr>
            <w:tcW w:w="919" w:type="dxa"/>
          </w:tcPr>
          <w:p>
            <w:pPr>
              <w:pStyle w:val="TableParagraph"/>
              <w:spacing w:before="40"/>
              <w:ind w:right="50"/>
              <w:jc w:val="right"/>
              <w:rPr>
                <w:sz w:val="16"/>
              </w:rPr>
            </w:pPr>
            <w:r>
              <w:rPr>
                <w:spacing w:val="-2"/>
                <w:w w:val="105"/>
                <w:sz w:val="16"/>
              </w:rPr>
              <w:t>933,597</w:t>
            </w:r>
          </w:p>
        </w:tc>
      </w:tr>
      <w:tr>
        <w:trPr>
          <w:trHeight w:val="271" w:hRule="atLeast"/>
        </w:trPr>
        <w:tc>
          <w:tcPr>
            <w:tcW w:w="2261" w:type="dxa"/>
          </w:tcPr>
          <w:p>
            <w:pPr>
              <w:pStyle w:val="TableParagraph"/>
              <w:spacing w:before="60"/>
              <w:ind w:left="50"/>
              <w:rPr>
                <w:sz w:val="16"/>
              </w:rPr>
            </w:pPr>
            <w:r>
              <w:rPr>
                <w:w w:val="105"/>
                <w:sz w:val="16"/>
              </w:rPr>
              <w:t>Andrew</w:t>
            </w:r>
            <w:r>
              <w:rPr>
                <w:spacing w:val="11"/>
                <w:w w:val="105"/>
                <w:sz w:val="16"/>
              </w:rPr>
              <w:t> </w:t>
            </w:r>
            <w:r>
              <w:rPr>
                <w:w w:val="105"/>
                <w:sz w:val="16"/>
              </w:rPr>
              <w:t>J.</w:t>
            </w:r>
            <w:r>
              <w:rPr>
                <w:spacing w:val="12"/>
                <w:w w:val="105"/>
                <w:sz w:val="16"/>
              </w:rPr>
              <w:t> </w:t>
            </w:r>
            <w:r>
              <w:rPr>
                <w:spacing w:val="-2"/>
                <w:w w:val="105"/>
                <w:sz w:val="16"/>
              </w:rPr>
              <w:t>Hartmann</w:t>
            </w:r>
            <w:r>
              <w:rPr>
                <w:spacing w:val="-2"/>
                <w:w w:val="105"/>
                <w:sz w:val="16"/>
                <w:vertAlign w:val="superscript"/>
              </w:rPr>
              <w:t>(8)</w:t>
            </w:r>
          </w:p>
        </w:tc>
        <w:tc>
          <w:tcPr>
            <w:tcW w:w="579" w:type="dxa"/>
          </w:tcPr>
          <w:p>
            <w:pPr>
              <w:pStyle w:val="TableParagraph"/>
              <w:spacing w:before="60"/>
              <w:ind w:right="118"/>
              <w:jc w:val="right"/>
              <w:rPr>
                <w:sz w:val="16"/>
              </w:rPr>
            </w:pPr>
            <w:r>
              <w:rPr>
                <w:spacing w:val="-4"/>
                <w:w w:val="105"/>
                <w:sz w:val="16"/>
              </w:rPr>
              <w:t>2022</w:t>
            </w:r>
          </w:p>
        </w:tc>
        <w:tc>
          <w:tcPr>
            <w:tcW w:w="782" w:type="dxa"/>
          </w:tcPr>
          <w:p>
            <w:pPr>
              <w:pStyle w:val="TableParagraph"/>
              <w:spacing w:before="60"/>
              <w:ind w:right="113"/>
              <w:jc w:val="right"/>
              <w:rPr>
                <w:sz w:val="16"/>
              </w:rPr>
            </w:pPr>
            <w:r>
              <w:rPr>
                <w:spacing w:val="-2"/>
                <w:w w:val="105"/>
                <w:sz w:val="16"/>
              </w:rPr>
              <w:t>376,812</w:t>
            </w:r>
          </w:p>
        </w:tc>
        <w:tc>
          <w:tcPr>
            <w:tcW w:w="669" w:type="dxa"/>
          </w:tcPr>
          <w:p>
            <w:pPr>
              <w:pStyle w:val="TableParagraph"/>
              <w:spacing w:before="60"/>
              <w:ind w:right="174"/>
              <w:jc w:val="right"/>
              <w:rPr>
                <w:sz w:val="16"/>
              </w:rPr>
            </w:pPr>
            <w:r>
              <w:rPr>
                <w:spacing w:val="-4"/>
                <w:w w:val="105"/>
                <w:sz w:val="16"/>
              </w:rPr>
              <w:t>1,418</w:t>
            </w:r>
          </w:p>
        </w:tc>
        <w:tc>
          <w:tcPr>
            <w:tcW w:w="898" w:type="dxa"/>
          </w:tcPr>
          <w:p>
            <w:pPr>
              <w:pStyle w:val="TableParagraph"/>
              <w:spacing w:before="60"/>
              <w:ind w:left="162" w:right="163"/>
              <w:jc w:val="center"/>
              <w:rPr>
                <w:sz w:val="16"/>
              </w:rPr>
            </w:pPr>
            <w:r>
              <w:rPr>
                <w:spacing w:val="-2"/>
                <w:w w:val="105"/>
                <w:sz w:val="16"/>
              </w:rPr>
              <w:t>262,490</w:t>
            </w:r>
          </w:p>
        </w:tc>
        <w:tc>
          <w:tcPr>
            <w:tcW w:w="920" w:type="dxa"/>
          </w:tcPr>
          <w:p>
            <w:pPr>
              <w:pStyle w:val="TableParagraph"/>
              <w:spacing w:before="60"/>
              <w:ind w:left="163" w:right="185"/>
              <w:jc w:val="center"/>
              <w:rPr>
                <w:sz w:val="16"/>
              </w:rPr>
            </w:pPr>
            <w:r>
              <w:rPr>
                <w:spacing w:val="-2"/>
                <w:w w:val="105"/>
                <w:sz w:val="16"/>
              </w:rPr>
              <w:t>262,498</w:t>
            </w:r>
          </w:p>
        </w:tc>
        <w:tc>
          <w:tcPr>
            <w:tcW w:w="1119" w:type="dxa"/>
          </w:tcPr>
          <w:p>
            <w:pPr>
              <w:pStyle w:val="TableParagraph"/>
              <w:spacing w:before="60"/>
              <w:ind w:right="374"/>
              <w:jc w:val="right"/>
              <w:rPr>
                <w:sz w:val="16"/>
              </w:rPr>
            </w:pPr>
            <w:r>
              <w:rPr>
                <w:spacing w:val="-2"/>
                <w:w w:val="105"/>
                <w:sz w:val="16"/>
              </w:rPr>
              <w:t>211,000</w:t>
            </w:r>
          </w:p>
        </w:tc>
        <w:tc>
          <w:tcPr>
            <w:tcW w:w="962" w:type="dxa"/>
          </w:tcPr>
          <w:p>
            <w:pPr>
              <w:pStyle w:val="TableParagraph"/>
              <w:spacing w:before="60"/>
              <w:ind w:right="45"/>
              <w:jc w:val="center"/>
              <w:rPr>
                <w:sz w:val="16"/>
              </w:rPr>
            </w:pPr>
            <w:r>
              <w:rPr>
                <w:w w:val="104"/>
                <w:sz w:val="16"/>
              </w:rPr>
              <w:t>—</w:t>
            </w:r>
          </w:p>
        </w:tc>
        <w:tc>
          <w:tcPr>
            <w:tcW w:w="1078" w:type="dxa"/>
          </w:tcPr>
          <w:p>
            <w:pPr>
              <w:pStyle w:val="TableParagraph"/>
              <w:spacing w:before="60"/>
              <w:ind w:right="197"/>
              <w:jc w:val="right"/>
              <w:rPr>
                <w:sz w:val="16"/>
              </w:rPr>
            </w:pPr>
            <w:r>
              <w:rPr>
                <w:spacing w:val="-2"/>
                <w:w w:val="105"/>
                <w:sz w:val="16"/>
              </w:rPr>
              <w:t>10,849</w:t>
            </w:r>
          </w:p>
        </w:tc>
        <w:tc>
          <w:tcPr>
            <w:tcW w:w="919" w:type="dxa"/>
          </w:tcPr>
          <w:p>
            <w:pPr>
              <w:pStyle w:val="TableParagraph"/>
              <w:spacing w:before="60"/>
              <w:ind w:right="50"/>
              <w:jc w:val="right"/>
              <w:rPr>
                <w:sz w:val="16"/>
              </w:rPr>
            </w:pPr>
            <w:r>
              <w:rPr>
                <w:spacing w:val="-2"/>
                <w:w w:val="105"/>
                <w:sz w:val="16"/>
              </w:rPr>
              <w:t>1,125,067</w:t>
            </w:r>
          </w:p>
        </w:tc>
      </w:tr>
      <w:tr>
        <w:trPr>
          <w:trHeight w:val="407" w:hRule="atLeast"/>
        </w:trPr>
        <w:tc>
          <w:tcPr>
            <w:tcW w:w="2261" w:type="dxa"/>
          </w:tcPr>
          <w:p>
            <w:pPr>
              <w:pStyle w:val="TableParagraph"/>
              <w:spacing w:line="190" w:lineRule="atLeast" w:before="7"/>
              <w:ind w:left="217"/>
              <w:rPr>
                <w:sz w:val="16"/>
              </w:rPr>
            </w:pPr>
            <w:r>
              <w:rPr>
                <w:w w:val="105"/>
                <w:sz w:val="16"/>
              </w:rPr>
              <w:t>SVP, Medical Global Sales and Marketing</w:t>
            </w:r>
          </w:p>
        </w:tc>
        <w:tc>
          <w:tcPr>
            <w:tcW w:w="579" w:type="dxa"/>
          </w:tcPr>
          <w:p>
            <w:pPr>
              <w:pStyle w:val="TableParagraph"/>
              <w:spacing w:before="40"/>
              <w:ind w:right="118"/>
              <w:jc w:val="right"/>
              <w:rPr>
                <w:sz w:val="16"/>
              </w:rPr>
            </w:pPr>
            <w:r>
              <w:rPr>
                <w:spacing w:val="-4"/>
                <w:w w:val="105"/>
                <w:sz w:val="16"/>
              </w:rPr>
              <w:t>2021</w:t>
            </w:r>
          </w:p>
        </w:tc>
        <w:tc>
          <w:tcPr>
            <w:tcW w:w="782" w:type="dxa"/>
          </w:tcPr>
          <w:p>
            <w:pPr>
              <w:pStyle w:val="TableParagraph"/>
              <w:spacing w:before="40"/>
              <w:ind w:right="113"/>
              <w:jc w:val="right"/>
              <w:rPr>
                <w:sz w:val="16"/>
              </w:rPr>
            </w:pPr>
            <w:r>
              <w:rPr>
                <w:spacing w:val="-2"/>
                <w:w w:val="105"/>
                <w:sz w:val="16"/>
              </w:rPr>
              <w:t>349,520</w:t>
            </w:r>
          </w:p>
        </w:tc>
        <w:tc>
          <w:tcPr>
            <w:tcW w:w="669" w:type="dxa"/>
          </w:tcPr>
          <w:p>
            <w:pPr>
              <w:pStyle w:val="TableParagraph"/>
              <w:spacing w:before="40"/>
              <w:ind w:right="174"/>
              <w:jc w:val="right"/>
              <w:rPr>
                <w:sz w:val="16"/>
              </w:rPr>
            </w:pPr>
            <w:r>
              <w:rPr>
                <w:spacing w:val="-5"/>
                <w:w w:val="105"/>
                <w:sz w:val="16"/>
              </w:rPr>
              <w:t>200</w:t>
            </w:r>
          </w:p>
        </w:tc>
        <w:tc>
          <w:tcPr>
            <w:tcW w:w="898" w:type="dxa"/>
          </w:tcPr>
          <w:p>
            <w:pPr>
              <w:pStyle w:val="TableParagraph"/>
              <w:spacing w:before="40"/>
              <w:ind w:left="162" w:right="163"/>
              <w:jc w:val="center"/>
              <w:rPr>
                <w:sz w:val="16"/>
              </w:rPr>
            </w:pPr>
            <w:r>
              <w:rPr>
                <w:spacing w:val="-2"/>
                <w:w w:val="105"/>
                <w:sz w:val="16"/>
              </w:rPr>
              <w:t>262,494</w:t>
            </w:r>
          </w:p>
        </w:tc>
        <w:tc>
          <w:tcPr>
            <w:tcW w:w="920" w:type="dxa"/>
          </w:tcPr>
          <w:p>
            <w:pPr>
              <w:pStyle w:val="TableParagraph"/>
              <w:spacing w:before="40"/>
              <w:ind w:left="163" w:right="185"/>
              <w:jc w:val="center"/>
              <w:rPr>
                <w:sz w:val="16"/>
              </w:rPr>
            </w:pPr>
            <w:r>
              <w:rPr>
                <w:spacing w:val="-2"/>
                <w:w w:val="105"/>
                <w:sz w:val="16"/>
              </w:rPr>
              <w:t>262,495</w:t>
            </w:r>
          </w:p>
        </w:tc>
        <w:tc>
          <w:tcPr>
            <w:tcW w:w="1119" w:type="dxa"/>
          </w:tcPr>
          <w:p>
            <w:pPr>
              <w:pStyle w:val="TableParagraph"/>
              <w:spacing w:before="40"/>
              <w:ind w:right="373"/>
              <w:jc w:val="right"/>
              <w:rPr>
                <w:sz w:val="16"/>
              </w:rPr>
            </w:pPr>
            <w:r>
              <w:rPr>
                <w:spacing w:val="-2"/>
                <w:w w:val="105"/>
                <w:sz w:val="16"/>
              </w:rPr>
              <w:t>260,964</w:t>
            </w:r>
          </w:p>
        </w:tc>
        <w:tc>
          <w:tcPr>
            <w:tcW w:w="962" w:type="dxa"/>
          </w:tcPr>
          <w:p>
            <w:pPr>
              <w:pStyle w:val="TableParagraph"/>
              <w:spacing w:before="40"/>
              <w:ind w:right="45"/>
              <w:jc w:val="center"/>
              <w:rPr>
                <w:sz w:val="16"/>
              </w:rPr>
            </w:pPr>
            <w:r>
              <w:rPr>
                <w:w w:val="104"/>
                <w:sz w:val="16"/>
              </w:rPr>
              <w:t>—</w:t>
            </w:r>
          </w:p>
        </w:tc>
        <w:tc>
          <w:tcPr>
            <w:tcW w:w="1078" w:type="dxa"/>
          </w:tcPr>
          <w:p>
            <w:pPr>
              <w:pStyle w:val="TableParagraph"/>
              <w:spacing w:before="40"/>
              <w:ind w:right="197"/>
              <w:jc w:val="right"/>
              <w:rPr>
                <w:sz w:val="16"/>
              </w:rPr>
            </w:pPr>
            <w:r>
              <w:rPr>
                <w:spacing w:val="-4"/>
                <w:w w:val="105"/>
                <w:sz w:val="16"/>
              </w:rPr>
              <w:t>8,066</w:t>
            </w:r>
          </w:p>
        </w:tc>
        <w:tc>
          <w:tcPr>
            <w:tcW w:w="919" w:type="dxa"/>
          </w:tcPr>
          <w:p>
            <w:pPr>
              <w:pStyle w:val="TableParagraph"/>
              <w:spacing w:before="40"/>
              <w:ind w:right="50"/>
              <w:jc w:val="right"/>
              <w:rPr>
                <w:sz w:val="16"/>
              </w:rPr>
            </w:pPr>
            <w:r>
              <w:rPr>
                <w:spacing w:val="-2"/>
                <w:w w:val="105"/>
                <w:sz w:val="16"/>
              </w:rPr>
              <w:t>1,143,739</w:t>
            </w:r>
          </w:p>
        </w:tc>
      </w:tr>
    </w:tbl>
    <w:p>
      <w:pPr>
        <w:pStyle w:val="BodyText"/>
        <w:rPr>
          <w:sz w:val="20"/>
        </w:rPr>
      </w:pPr>
    </w:p>
    <w:p>
      <w:pPr>
        <w:pStyle w:val="BodyText"/>
        <w:spacing w:before="1"/>
        <w:rPr>
          <w:sz w:val="15"/>
        </w:rPr>
      </w:pPr>
      <w:r>
        <w:rPr/>
        <w:pict>
          <v:rect style="position:absolute;margin-left:94.006287pt;margin-top:9.92332pt;width:100.654902pt;height:.698992pt;mso-position-horizontal-relative:page;mso-position-vertical-relative:paragraph;z-index:-15680000;mso-wrap-distance-left:0;mso-wrap-distance-right:0" id="docshape351" filled="true" fillcolor="#000000" stroked="false">
            <v:fill type="solid"/>
            <w10:wrap type="topAndBottom"/>
          </v:rect>
        </w:pict>
      </w:r>
    </w:p>
    <w:p>
      <w:pPr>
        <w:pStyle w:val="ListParagraph"/>
        <w:numPr>
          <w:ilvl w:val="0"/>
          <w:numId w:val="30"/>
        </w:numPr>
        <w:tabs>
          <w:tab w:pos="1773" w:val="left" w:leader="none"/>
        </w:tabs>
        <w:spacing w:line="240" w:lineRule="auto" w:before="153" w:after="0"/>
        <w:ind w:left="1772" w:right="0" w:hanging="373"/>
        <w:jc w:val="left"/>
        <w:rPr>
          <w:sz w:val="18"/>
        </w:rPr>
      </w:pPr>
      <w:r>
        <w:rPr>
          <w:w w:val="105"/>
          <w:sz w:val="18"/>
        </w:rPr>
        <w:t>This</w:t>
      </w:r>
      <w:r>
        <w:rPr>
          <w:spacing w:val="11"/>
          <w:w w:val="105"/>
          <w:sz w:val="18"/>
        </w:rPr>
        <w:t> </w:t>
      </w:r>
      <w:r>
        <w:rPr>
          <w:w w:val="105"/>
          <w:sz w:val="18"/>
        </w:rPr>
        <w:t>column</w:t>
      </w:r>
      <w:r>
        <w:rPr>
          <w:spacing w:val="12"/>
          <w:w w:val="105"/>
          <w:sz w:val="18"/>
        </w:rPr>
        <w:t> </w:t>
      </w:r>
      <w:r>
        <w:rPr>
          <w:w w:val="105"/>
          <w:sz w:val="18"/>
        </w:rPr>
        <w:t>represents</w:t>
      </w:r>
      <w:r>
        <w:rPr>
          <w:spacing w:val="12"/>
          <w:w w:val="105"/>
          <w:sz w:val="18"/>
        </w:rPr>
        <w:t> </w:t>
      </w:r>
      <w:r>
        <w:rPr>
          <w:w w:val="105"/>
          <w:sz w:val="18"/>
        </w:rPr>
        <w:t>salaries</w:t>
      </w:r>
      <w:r>
        <w:rPr>
          <w:spacing w:val="11"/>
          <w:w w:val="105"/>
          <w:sz w:val="18"/>
        </w:rPr>
        <w:t> </w:t>
      </w:r>
      <w:r>
        <w:rPr>
          <w:w w:val="105"/>
          <w:sz w:val="18"/>
        </w:rPr>
        <w:t>earned</w:t>
      </w:r>
      <w:r>
        <w:rPr>
          <w:spacing w:val="12"/>
          <w:w w:val="105"/>
          <w:sz w:val="18"/>
        </w:rPr>
        <w:t> </w:t>
      </w:r>
      <w:r>
        <w:rPr>
          <w:w w:val="105"/>
          <w:sz w:val="18"/>
        </w:rPr>
        <w:t>during</w:t>
      </w:r>
      <w:r>
        <w:rPr>
          <w:spacing w:val="12"/>
          <w:w w:val="105"/>
          <w:sz w:val="18"/>
        </w:rPr>
        <w:t> </w:t>
      </w:r>
      <w:r>
        <w:rPr>
          <w:w w:val="105"/>
          <w:sz w:val="18"/>
        </w:rPr>
        <w:t>the</w:t>
      </w:r>
      <w:r>
        <w:rPr>
          <w:spacing w:val="12"/>
          <w:w w:val="105"/>
          <w:sz w:val="18"/>
        </w:rPr>
        <w:t> </w:t>
      </w:r>
      <w:r>
        <w:rPr>
          <w:w w:val="105"/>
          <w:sz w:val="18"/>
        </w:rPr>
        <w:t>fiscal</w:t>
      </w:r>
      <w:r>
        <w:rPr>
          <w:spacing w:val="11"/>
          <w:w w:val="105"/>
          <w:sz w:val="18"/>
        </w:rPr>
        <w:t> </w:t>
      </w:r>
      <w:r>
        <w:rPr>
          <w:w w:val="105"/>
          <w:sz w:val="18"/>
        </w:rPr>
        <w:t>year</w:t>
      </w:r>
      <w:r>
        <w:rPr>
          <w:spacing w:val="12"/>
          <w:w w:val="105"/>
          <w:sz w:val="18"/>
        </w:rPr>
        <w:t> </w:t>
      </w:r>
      <w:r>
        <w:rPr>
          <w:w w:val="105"/>
          <w:sz w:val="18"/>
        </w:rPr>
        <w:t>that</w:t>
      </w:r>
      <w:r>
        <w:rPr>
          <w:spacing w:val="12"/>
          <w:w w:val="105"/>
          <w:sz w:val="18"/>
        </w:rPr>
        <w:t> </w:t>
      </w:r>
      <w:r>
        <w:rPr>
          <w:w w:val="105"/>
          <w:sz w:val="18"/>
        </w:rPr>
        <w:t>the</w:t>
      </w:r>
      <w:r>
        <w:rPr>
          <w:spacing w:val="11"/>
          <w:w w:val="105"/>
          <w:sz w:val="18"/>
        </w:rPr>
        <w:t> </w:t>
      </w:r>
      <w:r>
        <w:rPr>
          <w:w w:val="105"/>
          <w:sz w:val="18"/>
        </w:rPr>
        <w:t>individual</w:t>
      </w:r>
      <w:r>
        <w:rPr>
          <w:spacing w:val="12"/>
          <w:w w:val="105"/>
          <w:sz w:val="18"/>
        </w:rPr>
        <w:t> </w:t>
      </w:r>
      <w:r>
        <w:rPr>
          <w:w w:val="105"/>
          <w:sz w:val="18"/>
        </w:rPr>
        <w:t>was</w:t>
      </w:r>
      <w:r>
        <w:rPr>
          <w:spacing w:val="12"/>
          <w:w w:val="105"/>
          <w:sz w:val="18"/>
        </w:rPr>
        <w:t> </w:t>
      </w:r>
      <w:r>
        <w:rPr>
          <w:w w:val="105"/>
          <w:sz w:val="18"/>
        </w:rPr>
        <w:t>an</w:t>
      </w:r>
      <w:r>
        <w:rPr>
          <w:spacing w:val="12"/>
          <w:w w:val="105"/>
          <w:sz w:val="18"/>
        </w:rPr>
        <w:t> </w:t>
      </w:r>
      <w:r>
        <w:rPr>
          <w:spacing w:val="-4"/>
          <w:w w:val="105"/>
          <w:sz w:val="18"/>
        </w:rPr>
        <w:t>NEO.</w:t>
      </w:r>
    </w:p>
    <w:p>
      <w:pPr>
        <w:pStyle w:val="ListParagraph"/>
        <w:numPr>
          <w:ilvl w:val="0"/>
          <w:numId w:val="30"/>
        </w:numPr>
        <w:tabs>
          <w:tab w:pos="1773" w:val="left" w:leader="none"/>
        </w:tabs>
        <w:spacing w:line="259" w:lineRule="auto" w:before="101" w:after="0"/>
        <w:ind w:left="1772" w:right="1552" w:hanging="373"/>
        <w:jc w:val="left"/>
        <w:rPr>
          <w:sz w:val="18"/>
        </w:rPr>
      </w:pPr>
      <w:r>
        <w:rPr>
          <w:w w:val="105"/>
          <w:sz w:val="18"/>
        </w:rPr>
        <w:t>For fiscal year 2022, this column represents employee recognition awards given to Ms. Honeysett and Mr. Hartmann. For fiscal year 2021, this column represents a vaccination incentive given to Messrs. Sanyal, Maheshwari, Honeysett, and Hartmann and an employee recognition award given to</w:t>
      </w:r>
    </w:p>
    <w:p>
      <w:pPr>
        <w:pStyle w:val="BodyText"/>
        <w:ind w:left="1772"/>
      </w:pPr>
      <w:r>
        <w:rPr>
          <w:w w:val="105"/>
        </w:rPr>
        <w:t>Mr.</w:t>
      </w:r>
      <w:r>
        <w:rPr>
          <w:spacing w:val="-3"/>
          <w:w w:val="105"/>
        </w:rPr>
        <w:t> </w:t>
      </w:r>
      <w:r>
        <w:rPr>
          <w:spacing w:val="-2"/>
          <w:w w:val="105"/>
        </w:rPr>
        <w:t>Maheshwari.</w:t>
      </w:r>
    </w:p>
    <w:p>
      <w:pPr>
        <w:pStyle w:val="ListParagraph"/>
        <w:numPr>
          <w:ilvl w:val="0"/>
          <w:numId w:val="30"/>
        </w:numPr>
        <w:tabs>
          <w:tab w:pos="1773" w:val="left" w:leader="none"/>
        </w:tabs>
        <w:spacing w:line="259" w:lineRule="auto" w:before="87" w:after="0"/>
        <w:ind w:left="1772" w:right="1418" w:hanging="373"/>
        <w:jc w:val="left"/>
        <w:rPr>
          <w:sz w:val="18"/>
        </w:rPr>
      </w:pPr>
      <w:r>
        <w:rPr>
          <w:w w:val="105"/>
          <w:sz w:val="18"/>
        </w:rPr>
        <w:t>This</w:t>
      </w:r>
      <w:r>
        <w:rPr>
          <w:spacing w:val="25"/>
          <w:w w:val="105"/>
          <w:sz w:val="18"/>
        </w:rPr>
        <w:t> </w:t>
      </w:r>
      <w:r>
        <w:rPr>
          <w:w w:val="105"/>
          <w:sz w:val="18"/>
        </w:rPr>
        <w:t>column</w:t>
      </w:r>
      <w:r>
        <w:rPr>
          <w:spacing w:val="25"/>
          <w:w w:val="105"/>
          <w:sz w:val="18"/>
        </w:rPr>
        <w:t> </w:t>
      </w:r>
      <w:r>
        <w:rPr>
          <w:w w:val="105"/>
          <w:sz w:val="18"/>
        </w:rPr>
        <w:t>represents</w:t>
      </w:r>
      <w:r>
        <w:rPr>
          <w:spacing w:val="25"/>
          <w:w w:val="105"/>
          <w:sz w:val="18"/>
        </w:rPr>
        <w:t> </w:t>
      </w:r>
      <w:r>
        <w:rPr>
          <w:w w:val="105"/>
          <w:sz w:val="18"/>
        </w:rPr>
        <w:t>stock</w:t>
      </w:r>
      <w:r>
        <w:rPr>
          <w:spacing w:val="25"/>
          <w:w w:val="105"/>
          <w:sz w:val="18"/>
        </w:rPr>
        <w:t> </w:t>
      </w:r>
      <w:r>
        <w:rPr>
          <w:w w:val="105"/>
          <w:sz w:val="18"/>
        </w:rPr>
        <w:t>awards</w:t>
      </w:r>
      <w:r>
        <w:rPr>
          <w:spacing w:val="25"/>
          <w:w w:val="105"/>
          <w:sz w:val="18"/>
        </w:rPr>
        <w:t> </w:t>
      </w:r>
      <w:r>
        <w:rPr>
          <w:w w:val="105"/>
          <w:sz w:val="18"/>
        </w:rPr>
        <w:t>granted</w:t>
      </w:r>
      <w:r>
        <w:rPr>
          <w:spacing w:val="25"/>
          <w:w w:val="105"/>
          <w:sz w:val="18"/>
        </w:rPr>
        <w:t> </w:t>
      </w:r>
      <w:r>
        <w:rPr>
          <w:w w:val="105"/>
          <w:sz w:val="18"/>
        </w:rPr>
        <w:t>during</w:t>
      </w:r>
      <w:r>
        <w:rPr>
          <w:spacing w:val="25"/>
          <w:w w:val="105"/>
          <w:sz w:val="18"/>
        </w:rPr>
        <w:t> </w:t>
      </w:r>
      <w:r>
        <w:rPr>
          <w:w w:val="105"/>
          <w:sz w:val="18"/>
        </w:rPr>
        <w:t>fiscal</w:t>
      </w:r>
      <w:r>
        <w:rPr>
          <w:spacing w:val="25"/>
          <w:w w:val="105"/>
          <w:sz w:val="18"/>
        </w:rPr>
        <w:t> </w:t>
      </w:r>
      <w:r>
        <w:rPr>
          <w:w w:val="105"/>
          <w:sz w:val="18"/>
        </w:rPr>
        <w:t>years</w:t>
      </w:r>
      <w:r>
        <w:rPr>
          <w:spacing w:val="25"/>
          <w:w w:val="105"/>
          <w:sz w:val="18"/>
        </w:rPr>
        <w:t> </w:t>
      </w:r>
      <w:r>
        <w:rPr>
          <w:w w:val="105"/>
          <w:sz w:val="18"/>
        </w:rPr>
        <w:t>2022,</w:t>
      </w:r>
      <w:r>
        <w:rPr>
          <w:spacing w:val="25"/>
          <w:w w:val="105"/>
          <w:sz w:val="18"/>
        </w:rPr>
        <w:t> </w:t>
      </w:r>
      <w:r>
        <w:rPr>
          <w:w w:val="105"/>
          <w:sz w:val="18"/>
        </w:rPr>
        <w:t>2021</w:t>
      </w:r>
      <w:r>
        <w:rPr>
          <w:spacing w:val="25"/>
          <w:w w:val="105"/>
          <w:sz w:val="18"/>
        </w:rPr>
        <w:t> </w:t>
      </w:r>
      <w:r>
        <w:rPr>
          <w:w w:val="105"/>
          <w:sz w:val="18"/>
        </w:rPr>
        <w:t>and</w:t>
      </w:r>
      <w:r>
        <w:rPr>
          <w:spacing w:val="25"/>
          <w:w w:val="105"/>
          <w:sz w:val="18"/>
        </w:rPr>
        <w:t> </w:t>
      </w:r>
      <w:r>
        <w:rPr>
          <w:w w:val="105"/>
          <w:sz w:val="18"/>
        </w:rPr>
        <w:t>2020,</w:t>
      </w:r>
      <w:r>
        <w:rPr>
          <w:spacing w:val="25"/>
          <w:w w:val="105"/>
          <w:sz w:val="18"/>
        </w:rPr>
        <w:t> </w:t>
      </w:r>
      <w:r>
        <w:rPr>
          <w:w w:val="105"/>
          <w:sz w:val="18"/>
        </w:rPr>
        <w:t>computed</w:t>
      </w:r>
      <w:r>
        <w:rPr>
          <w:spacing w:val="25"/>
          <w:w w:val="105"/>
          <w:sz w:val="18"/>
        </w:rPr>
        <w:t> </w:t>
      </w:r>
      <w:r>
        <w:rPr>
          <w:w w:val="105"/>
          <w:sz w:val="18"/>
        </w:rPr>
        <w:t>in each case in accordance with Accounting Standards Codification (“ASC”) 718, “</w:t>
      </w:r>
      <w:r>
        <w:rPr>
          <w:i/>
          <w:w w:val="105"/>
          <w:sz w:val="18"/>
        </w:rPr>
        <w:t>Compensation — Stock</w:t>
      </w:r>
      <w:r>
        <w:rPr>
          <w:i/>
          <w:w w:val="105"/>
          <w:sz w:val="18"/>
        </w:rPr>
        <w:t> Compensation</w:t>
      </w:r>
      <w:r>
        <w:rPr>
          <w:w w:val="105"/>
          <w:sz w:val="18"/>
        </w:rPr>
        <w:t>”</w:t>
      </w:r>
      <w:r>
        <w:rPr>
          <w:spacing w:val="25"/>
          <w:w w:val="105"/>
          <w:sz w:val="18"/>
        </w:rPr>
        <w:t> </w:t>
      </w:r>
      <w:r>
        <w:rPr>
          <w:w w:val="105"/>
          <w:sz w:val="18"/>
        </w:rPr>
        <w:t>(“ASC</w:t>
      </w:r>
      <w:r>
        <w:rPr>
          <w:spacing w:val="25"/>
          <w:w w:val="105"/>
          <w:sz w:val="18"/>
        </w:rPr>
        <w:t> </w:t>
      </w:r>
      <w:r>
        <w:rPr>
          <w:w w:val="105"/>
          <w:sz w:val="18"/>
        </w:rPr>
        <w:t>718”).</w:t>
      </w:r>
      <w:r>
        <w:rPr>
          <w:spacing w:val="19"/>
          <w:w w:val="105"/>
          <w:sz w:val="18"/>
        </w:rPr>
        <w:t> </w:t>
      </w:r>
      <w:r>
        <w:rPr>
          <w:w w:val="105"/>
          <w:sz w:val="18"/>
        </w:rPr>
        <w:t>The</w:t>
      </w:r>
      <w:r>
        <w:rPr>
          <w:spacing w:val="25"/>
          <w:w w:val="105"/>
          <w:sz w:val="18"/>
        </w:rPr>
        <w:t> </w:t>
      </w:r>
      <w:r>
        <w:rPr>
          <w:w w:val="105"/>
          <w:sz w:val="18"/>
        </w:rPr>
        <w:t>grant</w:t>
      </w:r>
      <w:r>
        <w:rPr>
          <w:spacing w:val="25"/>
          <w:w w:val="105"/>
          <w:sz w:val="18"/>
        </w:rPr>
        <w:t> </w:t>
      </w:r>
      <w:r>
        <w:rPr>
          <w:w w:val="105"/>
          <w:sz w:val="18"/>
        </w:rPr>
        <w:t>date</w:t>
      </w:r>
      <w:r>
        <w:rPr>
          <w:spacing w:val="25"/>
          <w:w w:val="105"/>
          <w:sz w:val="18"/>
        </w:rPr>
        <w:t> </w:t>
      </w:r>
      <w:r>
        <w:rPr>
          <w:w w:val="105"/>
          <w:sz w:val="18"/>
        </w:rPr>
        <w:t>fair</w:t>
      </w:r>
      <w:r>
        <w:rPr>
          <w:spacing w:val="25"/>
          <w:w w:val="105"/>
          <w:sz w:val="18"/>
        </w:rPr>
        <w:t> </w:t>
      </w:r>
      <w:r>
        <w:rPr>
          <w:w w:val="105"/>
          <w:sz w:val="18"/>
        </w:rPr>
        <w:t>value</w:t>
      </w:r>
      <w:r>
        <w:rPr>
          <w:spacing w:val="25"/>
          <w:w w:val="105"/>
          <w:sz w:val="18"/>
        </w:rPr>
        <w:t> </w:t>
      </w:r>
      <w:r>
        <w:rPr>
          <w:w w:val="105"/>
          <w:sz w:val="18"/>
        </w:rPr>
        <w:t>for</w:t>
      </w:r>
      <w:r>
        <w:rPr>
          <w:spacing w:val="25"/>
          <w:w w:val="105"/>
          <w:sz w:val="18"/>
        </w:rPr>
        <w:t> </w:t>
      </w:r>
      <w:r>
        <w:rPr>
          <w:w w:val="105"/>
          <w:sz w:val="18"/>
        </w:rPr>
        <w:t>RSU</w:t>
      </w:r>
      <w:r>
        <w:rPr>
          <w:spacing w:val="25"/>
          <w:w w:val="105"/>
          <w:sz w:val="18"/>
        </w:rPr>
        <w:t> </w:t>
      </w:r>
      <w:r>
        <w:rPr>
          <w:w w:val="105"/>
          <w:sz w:val="18"/>
        </w:rPr>
        <w:t>awards</w:t>
      </w:r>
      <w:r>
        <w:rPr>
          <w:spacing w:val="25"/>
          <w:w w:val="105"/>
          <w:sz w:val="18"/>
        </w:rPr>
        <w:t> </w:t>
      </w:r>
      <w:r>
        <w:rPr>
          <w:w w:val="105"/>
          <w:sz w:val="18"/>
        </w:rPr>
        <w:t>was</w:t>
      </w:r>
      <w:r>
        <w:rPr>
          <w:spacing w:val="25"/>
          <w:w w:val="105"/>
          <w:sz w:val="18"/>
        </w:rPr>
        <w:t> </w:t>
      </w:r>
      <w:r>
        <w:rPr>
          <w:w w:val="105"/>
          <w:sz w:val="18"/>
        </w:rPr>
        <w:t>determined</w:t>
      </w:r>
      <w:r>
        <w:rPr>
          <w:spacing w:val="25"/>
          <w:w w:val="105"/>
          <w:sz w:val="18"/>
        </w:rPr>
        <w:t> </w:t>
      </w:r>
      <w:r>
        <w:rPr>
          <w:w w:val="105"/>
          <w:sz w:val="18"/>
        </w:rPr>
        <w:t>using</w:t>
      </w:r>
      <w:r>
        <w:rPr>
          <w:spacing w:val="25"/>
          <w:w w:val="105"/>
          <w:sz w:val="18"/>
        </w:rPr>
        <w:t> </w:t>
      </w:r>
      <w:r>
        <w:rPr>
          <w:w w:val="105"/>
          <w:sz w:val="18"/>
        </w:rPr>
        <w:t>the closing price of our common stock on the grant date multiplied by the number of shares subject to the</w:t>
      </w:r>
      <w:r>
        <w:rPr>
          <w:spacing w:val="40"/>
          <w:w w:val="105"/>
          <w:sz w:val="18"/>
        </w:rPr>
        <w:t> </w:t>
      </w:r>
      <w:r>
        <w:rPr>
          <w:w w:val="105"/>
          <w:sz w:val="18"/>
        </w:rPr>
        <w:t>award.</w:t>
      </w:r>
      <w:r>
        <w:rPr>
          <w:spacing w:val="29"/>
          <w:w w:val="105"/>
          <w:sz w:val="18"/>
        </w:rPr>
        <w:t> </w:t>
      </w:r>
      <w:r>
        <w:rPr>
          <w:w w:val="105"/>
          <w:sz w:val="18"/>
        </w:rPr>
        <w:t>See</w:t>
      </w:r>
      <w:r>
        <w:rPr>
          <w:spacing w:val="29"/>
          <w:w w:val="105"/>
          <w:sz w:val="18"/>
        </w:rPr>
        <w:t> </w:t>
      </w:r>
      <w:r>
        <w:rPr>
          <w:w w:val="105"/>
          <w:sz w:val="18"/>
        </w:rPr>
        <w:t>the</w:t>
      </w:r>
      <w:r>
        <w:rPr>
          <w:spacing w:val="29"/>
          <w:w w:val="105"/>
          <w:sz w:val="18"/>
        </w:rPr>
        <w:t> </w:t>
      </w:r>
      <w:r>
        <w:rPr>
          <w:w w:val="105"/>
          <w:sz w:val="18"/>
        </w:rPr>
        <w:t>notes</w:t>
      </w:r>
      <w:r>
        <w:rPr>
          <w:spacing w:val="29"/>
          <w:w w:val="105"/>
          <w:sz w:val="18"/>
        </w:rPr>
        <w:t> </w:t>
      </w:r>
      <w:r>
        <w:rPr>
          <w:w w:val="105"/>
          <w:sz w:val="18"/>
        </w:rPr>
        <w:t>entitled</w:t>
      </w:r>
      <w:r>
        <w:rPr>
          <w:spacing w:val="29"/>
          <w:w w:val="105"/>
          <w:sz w:val="18"/>
        </w:rPr>
        <w:t> </w:t>
      </w:r>
      <w:r>
        <w:rPr>
          <w:w w:val="105"/>
          <w:sz w:val="18"/>
        </w:rPr>
        <w:t>“Summary</w:t>
      </w:r>
      <w:r>
        <w:rPr>
          <w:spacing w:val="29"/>
          <w:w w:val="105"/>
          <w:sz w:val="18"/>
        </w:rPr>
        <w:t> </w:t>
      </w:r>
      <w:r>
        <w:rPr>
          <w:w w:val="105"/>
          <w:sz w:val="18"/>
        </w:rPr>
        <w:t>of</w:t>
      </w:r>
      <w:r>
        <w:rPr>
          <w:spacing w:val="29"/>
          <w:w w:val="105"/>
          <w:sz w:val="18"/>
        </w:rPr>
        <w:t> </w:t>
      </w:r>
      <w:r>
        <w:rPr>
          <w:w w:val="105"/>
          <w:sz w:val="18"/>
        </w:rPr>
        <w:t>Significant Accounting</w:t>
      </w:r>
      <w:r>
        <w:rPr>
          <w:spacing w:val="29"/>
          <w:w w:val="105"/>
          <w:sz w:val="18"/>
        </w:rPr>
        <w:t> </w:t>
      </w:r>
      <w:r>
        <w:rPr>
          <w:w w:val="105"/>
          <w:sz w:val="18"/>
        </w:rPr>
        <w:t>Policies”</w:t>
      </w:r>
      <w:r>
        <w:rPr>
          <w:spacing w:val="29"/>
          <w:w w:val="105"/>
          <w:sz w:val="18"/>
        </w:rPr>
        <w:t> </w:t>
      </w:r>
      <w:r>
        <w:rPr>
          <w:w w:val="105"/>
          <w:sz w:val="18"/>
        </w:rPr>
        <w:t>and</w:t>
      </w:r>
      <w:r>
        <w:rPr>
          <w:spacing w:val="29"/>
          <w:w w:val="105"/>
          <w:sz w:val="18"/>
        </w:rPr>
        <w:t> </w:t>
      </w:r>
      <w:r>
        <w:rPr>
          <w:w w:val="105"/>
          <w:sz w:val="18"/>
        </w:rPr>
        <w:t>“Employee</w:t>
      </w:r>
      <w:r>
        <w:rPr>
          <w:spacing w:val="29"/>
          <w:w w:val="105"/>
          <w:sz w:val="18"/>
        </w:rPr>
        <w:t> </w:t>
      </w:r>
      <w:r>
        <w:rPr>
          <w:w w:val="105"/>
          <w:sz w:val="18"/>
        </w:rPr>
        <w:t>Stock Plan” in the Notes to Consolidated Financial Statements included in the Company’s Annual Report on Form 10-K for the fiscal year in which the stock award was made for additional discussion of the</w:t>
      </w:r>
      <w:r>
        <w:rPr>
          <w:spacing w:val="80"/>
          <w:w w:val="105"/>
          <w:sz w:val="18"/>
        </w:rPr>
        <w:t> </w:t>
      </w:r>
      <w:r>
        <w:rPr>
          <w:w w:val="105"/>
          <w:sz w:val="18"/>
        </w:rPr>
        <w:t>valuation</w:t>
      </w:r>
      <w:r>
        <w:rPr>
          <w:spacing w:val="23"/>
          <w:w w:val="105"/>
          <w:sz w:val="18"/>
        </w:rPr>
        <w:t> </w:t>
      </w:r>
      <w:r>
        <w:rPr>
          <w:w w:val="105"/>
          <w:sz w:val="18"/>
        </w:rPr>
        <w:t>of</w:t>
      </w:r>
      <w:r>
        <w:rPr>
          <w:spacing w:val="23"/>
          <w:w w:val="105"/>
          <w:sz w:val="18"/>
        </w:rPr>
        <w:t> </w:t>
      </w:r>
      <w:r>
        <w:rPr>
          <w:w w:val="105"/>
          <w:sz w:val="18"/>
        </w:rPr>
        <w:t>our</w:t>
      </w:r>
      <w:r>
        <w:rPr>
          <w:spacing w:val="23"/>
          <w:w w:val="105"/>
          <w:sz w:val="18"/>
        </w:rPr>
        <w:t> </w:t>
      </w:r>
      <w:r>
        <w:rPr>
          <w:w w:val="105"/>
          <w:sz w:val="18"/>
        </w:rPr>
        <w:t>stock</w:t>
      </w:r>
      <w:r>
        <w:rPr>
          <w:spacing w:val="23"/>
          <w:w w:val="105"/>
          <w:sz w:val="18"/>
        </w:rPr>
        <w:t> </w:t>
      </w:r>
      <w:r>
        <w:rPr>
          <w:w w:val="105"/>
          <w:sz w:val="18"/>
        </w:rPr>
        <w:t>awards.</w:t>
      </w:r>
      <w:r>
        <w:rPr>
          <w:spacing w:val="17"/>
          <w:w w:val="105"/>
          <w:sz w:val="18"/>
        </w:rPr>
        <w:t> </w:t>
      </w:r>
      <w:r>
        <w:rPr>
          <w:w w:val="105"/>
          <w:sz w:val="18"/>
        </w:rPr>
        <w:t>These</w:t>
      </w:r>
      <w:r>
        <w:rPr>
          <w:spacing w:val="23"/>
          <w:w w:val="105"/>
          <w:sz w:val="18"/>
        </w:rPr>
        <w:t> </w:t>
      </w:r>
      <w:r>
        <w:rPr>
          <w:w w:val="105"/>
          <w:sz w:val="18"/>
        </w:rPr>
        <w:t>amounts</w:t>
      </w:r>
      <w:r>
        <w:rPr>
          <w:spacing w:val="23"/>
          <w:w w:val="105"/>
          <w:sz w:val="18"/>
        </w:rPr>
        <w:t> </w:t>
      </w:r>
      <w:r>
        <w:rPr>
          <w:w w:val="105"/>
          <w:sz w:val="18"/>
        </w:rPr>
        <w:t>reflect</w:t>
      </w:r>
      <w:r>
        <w:rPr>
          <w:spacing w:val="23"/>
          <w:w w:val="105"/>
          <w:sz w:val="18"/>
        </w:rPr>
        <w:t> </w:t>
      </w:r>
      <w:r>
        <w:rPr>
          <w:w w:val="105"/>
          <w:sz w:val="18"/>
        </w:rPr>
        <w:t>our</w:t>
      </w:r>
      <w:r>
        <w:rPr>
          <w:spacing w:val="23"/>
          <w:w w:val="105"/>
          <w:sz w:val="18"/>
        </w:rPr>
        <w:t> </w:t>
      </w:r>
      <w:r>
        <w:rPr>
          <w:w w:val="105"/>
          <w:sz w:val="18"/>
        </w:rPr>
        <w:t>calculation</w:t>
      </w:r>
      <w:r>
        <w:rPr>
          <w:spacing w:val="23"/>
          <w:w w:val="105"/>
          <w:sz w:val="18"/>
        </w:rPr>
        <w:t> </w:t>
      </w:r>
      <w:r>
        <w:rPr>
          <w:w w:val="105"/>
          <w:sz w:val="18"/>
        </w:rPr>
        <w:t>of</w:t>
      </w:r>
      <w:r>
        <w:rPr>
          <w:spacing w:val="23"/>
          <w:w w:val="105"/>
          <w:sz w:val="18"/>
        </w:rPr>
        <w:t> </w:t>
      </w:r>
      <w:r>
        <w:rPr>
          <w:w w:val="105"/>
          <w:sz w:val="18"/>
        </w:rPr>
        <w:t>the</w:t>
      </w:r>
      <w:r>
        <w:rPr>
          <w:spacing w:val="23"/>
          <w:w w:val="105"/>
          <w:sz w:val="18"/>
        </w:rPr>
        <w:t> </w:t>
      </w:r>
      <w:r>
        <w:rPr>
          <w:w w:val="105"/>
          <w:sz w:val="18"/>
        </w:rPr>
        <w:t>value</w:t>
      </w:r>
      <w:r>
        <w:rPr>
          <w:spacing w:val="23"/>
          <w:w w:val="105"/>
          <w:sz w:val="18"/>
        </w:rPr>
        <w:t> </w:t>
      </w:r>
      <w:r>
        <w:rPr>
          <w:w w:val="105"/>
          <w:sz w:val="18"/>
        </w:rPr>
        <w:t>of</w:t>
      </w:r>
      <w:r>
        <w:rPr>
          <w:spacing w:val="23"/>
          <w:w w:val="105"/>
          <w:sz w:val="18"/>
        </w:rPr>
        <w:t> </w:t>
      </w:r>
      <w:r>
        <w:rPr>
          <w:w w:val="105"/>
          <w:sz w:val="18"/>
        </w:rPr>
        <w:t>these</w:t>
      </w:r>
      <w:r>
        <w:rPr>
          <w:spacing w:val="23"/>
          <w:w w:val="105"/>
          <w:sz w:val="18"/>
        </w:rPr>
        <w:t> </w:t>
      </w:r>
      <w:r>
        <w:rPr>
          <w:w w:val="105"/>
          <w:sz w:val="18"/>
        </w:rPr>
        <w:t>awards,</w:t>
      </w:r>
      <w:r>
        <w:rPr>
          <w:spacing w:val="23"/>
          <w:w w:val="105"/>
          <w:sz w:val="18"/>
        </w:rPr>
        <w:t> </w:t>
      </w:r>
      <w:r>
        <w:rPr>
          <w:w w:val="105"/>
          <w:sz w:val="18"/>
        </w:rPr>
        <w:t>and do</w:t>
      </w:r>
      <w:r>
        <w:rPr>
          <w:spacing w:val="22"/>
          <w:w w:val="105"/>
          <w:sz w:val="18"/>
        </w:rPr>
        <w:t> </w:t>
      </w:r>
      <w:r>
        <w:rPr>
          <w:w w:val="105"/>
          <w:sz w:val="18"/>
        </w:rPr>
        <w:t>not</w:t>
      </w:r>
      <w:r>
        <w:rPr>
          <w:spacing w:val="22"/>
          <w:w w:val="105"/>
          <w:sz w:val="18"/>
        </w:rPr>
        <w:t> </w:t>
      </w:r>
      <w:r>
        <w:rPr>
          <w:w w:val="105"/>
          <w:sz w:val="18"/>
        </w:rPr>
        <w:t>necessarily</w:t>
      </w:r>
      <w:r>
        <w:rPr>
          <w:spacing w:val="22"/>
          <w:w w:val="105"/>
          <w:sz w:val="18"/>
        </w:rPr>
        <w:t> </w:t>
      </w:r>
      <w:r>
        <w:rPr>
          <w:w w:val="105"/>
          <w:sz w:val="18"/>
        </w:rPr>
        <w:t>correspond</w:t>
      </w:r>
      <w:r>
        <w:rPr>
          <w:spacing w:val="22"/>
          <w:w w:val="105"/>
          <w:sz w:val="18"/>
        </w:rPr>
        <w:t> </w:t>
      </w:r>
      <w:r>
        <w:rPr>
          <w:w w:val="105"/>
          <w:sz w:val="18"/>
        </w:rPr>
        <w:t>to</w:t>
      </w:r>
      <w:r>
        <w:rPr>
          <w:spacing w:val="22"/>
          <w:w w:val="105"/>
          <w:sz w:val="18"/>
        </w:rPr>
        <w:t> </w:t>
      </w:r>
      <w:r>
        <w:rPr>
          <w:w w:val="105"/>
          <w:sz w:val="18"/>
        </w:rPr>
        <w:t>the</w:t>
      </w:r>
      <w:r>
        <w:rPr>
          <w:spacing w:val="22"/>
          <w:w w:val="105"/>
          <w:sz w:val="18"/>
        </w:rPr>
        <w:t> </w:t>
      </w:r>
      <w:r>
        <w:rPr>
          <w:w w:val="105"/>
          <w:sz w:val="18"/>
        </w:rPr>
        <w:t>actual</w:t>
      </w:r>
      <w:r>
        <w:rPr>
          <w:spacing w:val="22"/>
          <w:w w:val="105"/>
          <w:sz w:val="18"/>
        </w:rPr>
        <w:t> </w:t>
      </w:r>
      <w:r>
        <w:rPr>
          <w:w w:val="105"/>
          <w:sz w:val="18"/>
        </w:rPr>
        <w:t>value</w:t>
      </w:r>
      <w:r>
        <w:rPr>
          <w:spacing w:val="22"/>
          <w:w w:val="105"/>
          <w:sz w:val="18"/>
        </w:rPr>
        <w:t> </w:t>
      </w:r>
      <w:r>
        <w:rPr>
          <w:w w:val="105"/>
          <w:sz w:val="18"/>
        </w:rPr>
        <w:t>that</w:t>
      </w:r>
      <w:r>
        <w:rPr>
          <w:spacing w:val="22"/>
          <w:w w:val="105"/>
          <w:sz w:val="18"/>
        </w:rPr>
        <w:t> </w:t>
      </w:r>
      <w:r>
        <w:rPr>
          <w:w w:val="105"/>
          <w:sz w:val="18"/>
        </w:rPr>
        <w:t>was</w:t>
      </w:r>
      <w:r>
        <w:rPr>
          <w:spacing w:val="22"/>
          <w:w w:val="105"/>
          <w:sz w:val="18"/>
        </w:rPr>
        <w:t> </w:t>
      </w:r>
      <w:r>
        <w:rPr>
          <w:w w:val="105"/>
          <w:sz w:val="18"/>
        </w:rPr>
        <w:t>or</w:t>
      </w:r>
      <w:r>
        <w:rPr>
          <w:spacing w:val="22"/>
          <w:w w:val="105"/>
          <w:sz w:val="18"/>
        </w:rPr>
        <w:t> </w:t>
      </w:r>
      <w:r>
        <w:rPr>
          <w:w w:val="105"/>
          <w:sz w:val="18"/>
        </w:rPr>
        <w:t>may</w:t>
      </w:r>
      <w:r>
        <w:rPr>
          <w:spacing w:val="22"/>
          <w:w w:val="105"/>
          <w:sz w:val="18"/>
        </w:rPr>
        <w:t> </w:t>
      </w:r>
      <w:r>
        <w:rPr>
          <w:w w:val="105"/>
          <w:sz w:val="18"/>
        </w:rPr>
        <w:t>ultimately</w:t>
      </w:r>
      <w:r>
        <w:rPr>
          <w:spacing w:val="22"/>
          <w:w w:val="105"/>
          <w:sz w:val="18"/>
        </w:rPr>
        <w:t> </w:t>
      </w:r>
      <w:r>
        <w:rPr>
          <w:w w:val="105"/>
          <w:sz w:val="18"/>
        </w:rPr>
        <w:t>be</w:t>
      </w:r>
      <w:r>
        <w:rPr>
          <w:spacing w:val="22"/>
          <w:w w:val="105"/>
          <w:sz w:val="18"/>
        </w:rPr>
        <w:t> </w:t>
      </w:r>
      <w:r>
        <w:rPr>
          <w:w w:val="105"/>
          <w:sz w:val="18"/>
        </w:rPr>
        <w:t>realized</w:t>
      </w:r>
      <w:r>
        <w:rPr>
          <w:spacing w:val="22"/>
          <w:w w:val="105"/>
          <w:sz w:val="18"/>
        </w:rPr>
        <w:t> </w:t>
      </w:r>
      <w:r>
        <w:rPr>
          <w:w w:val="105"/>
          <w:sz w:val="18"/>
        </w:rPr>
        <w:t>by</w:t>
      </w:r>
      <w:r>
        <w:rPr>
          <w:spacing w:val="22"/>
          <w:w w:val="105"/>
          <w:sz w:val="18"/>
        </w:rPr>
        <w:t> </w:t>
      </w:r>
      <w:r>
        <w:rPr>
          <w:w w:val="105"/>
          <w:sz w:val="18"/>
        </w:rPr>
        <w:t>the</w:t>
      </w:r>
      <w:r>
        <w:rPr>
          <w:spacing w:val="22"/>
          <w:w w:val="105"/>
          <w:sz w:val="18"/>
        </w:rPr>
        <w:t> </w:t>
      </w:r>
      <w:r>
        <w:rPr>
          <w:w w:val="105"/>
          <w:sz w:val="18"/>
        </w:rPr>
        <w:t>NEOs.</w:t>
      </w:r>
    </w:p>
    <w:p>
      <w:pPr>
        <w:pStyle w:val="ListParagraph"/>
        <w:numPr>
          <w:ilvl w:val="0"/>
          <w:numId w:val="30"/>
        </w:numPr>
        <w:tabs>
          <w:tab w:pos="1773" w:val="left" w:leader="none"/>
        </w:tabs>
        <w:spacing w:line="259" w:lineRule="auto" w:before="85" w:after="0"/>
        <w:ind w:left="1772" w:right="1438" w:hanging="373"/>
        <w:jc w:val="left"/>
        <w:rPr>
          <w:sz w:val="18"/>
        </w:rPr>
      </w:pPr>
      <w:r>
        <w:rPr>
          <w:w w:val="105"/>
          <w:sz w:val="18"/>
        </w:rPr>
        <w:t>This column represents the aggregate grant date fair value of stock option awards granted to the NEOs</w:t>
      </w:r>
      <w:r>
        <w:rPr>
          <w:spacing w:val="40"/>
          <w:w w:val="105"/>
          <w:sz w:val="18"/>
        </w:rPr>
        <w:t> </w:t>
      </w:r>
      <w:r>
        <w:rPr>
          <w:w w:val="105"/>
          <w:sz w:val="18"/>
        </w:rPr>
        <w:t>during each fiscal year, computed in each case, in accordance with ASC 718. The assumptions used to calculate</w:t>
      </w:r>
      <w:r>
        <w:rPr>
          <w:spacing w:val="27"/>
          <w:w w:val="105"/>
          <w:sz w:val="18"/>
        </w:rPr>
        <w:t> </w:t>
      </w:r>
      <w:r>
        <w:rPr>
          <w:w w:val="105"/>
          <w:sz w:val="18"/>
        </w:rPr>
        <w:t>these</w:t>
      </w:r>
      <w:r>
        <w:rPr>
          <w:spacing w:val="27"/>
          <w:w w:val="105"/>
          <w:sz w:val="18"/>
        </w:rPr>
        <w:t> </w:t>
      </w:r>
      <w:r>
        <w:rPr>
          <w:w w:val="105"/>
          <w:sz w:val="18"/>
        </w:rPr>
        <w:t>amounts</w:t>
      </w:r>
      <w:r>
        <w:rPr>
          <w:spacing w:val="27"/>
          <w:w w:val="105"/>
          <w:sz w:val="18"/>
        </w:rPr>
        <w:t> </w:t>
      </w:r>
      <w:r>
        <w:rPr>
          <w:w w:val="105"/>
          <w:sz w:val="18"/>
        </w:rPr>
        <w:t>are</w:t>
      </w:r>
      <w:r>
        <w:rPr>
          <w:spacing w:val="27"/>
          <w:w w:val="105"/>
          <w:sz w:val="18"/>
        </w:rPr>
        <w:t> </w:t>
      </w:r>
      <w:r>
        <w:rPr>
          <w:w w:val="105"/>
          <w:sz w:val="18"/>
        </w:rPr>
        <w:t>set</w:t>
      </w:r>
      <w:r>
        <w:rPr>
          <w:spacing w:val="27"/>
          <w:w w:val="105"/>
          <w:sz w:val="18"/>
        </w:rPr>
        <w:t> </w:t>
      </w:r>
      <w:r>
        <w:rPr>
          <w:w w:val="105"/>
          <w:sz w:val="18"/>
        </w:rPr>
        <w:t>forth</w:t>
      </w:r>
      <w:r>
        <w:rPr>
          <w:spacing w:val="27"/>
          <w:w w:val="105"/>
          <w:sz w:val="18"/>
        </w:rPr>
        <w:t> </w:t>
      </w:r>
      <w:r>
        <w:rPr>
          <w:w w:val="105"/>
          <w:sz w:val="18"/>
        </w:rPr>
        <w:t>in</w:t>
      </w:r>
      <w:r>
        <w:rPr>
          <w:spacing w:val="27"/>
          <w:w w:val="105"/>
          <w:sz w:val="18"/>
        </w:rPr>
        <w:t> </w:t>
      </w:r>
      <w:r>
        <w:rPr>
          <w:w w:val="105"/>
          <w:sz w:val="18"/>
        </w:rPr>
        <w:t>the</w:t>
      </w:r>
      <w:r>
        <w:rPr>
          <w:spacing w:val="27"/>
          <w:w w:val="105"/>
          <w:sz w:val="18"/>
        </w:rPr>
        <w:t> </w:t>
      </w:r>
      <w:r>
        <w:rPr>
          <w:w w:val="105"/>
          <w:sz w:val="18"/>
        </w:rPr>
        <w:t>notes</w:t>
      </w:r>
      <w:r>
        <w:rPr>
          <w:spacing w:val="27"/>
          <w:w w:val="105"/>
          <w:sz w:val="18"/>
        </w:rPr>
        <w:t> </w:t>
      </w:r>
      <w:r>
        <w:rPr>
          <w:w w:val="105"/>
          <w:sz w:val="18"/>
        </w:rPr>
        <w:t>entitled</w:t>
      </w:r>
      <w:r>
        <w:rPr>
          <w:spacing w:val="27"/>
          <w:w w:val="105"/>
          <w:sz w:val="18"/>
        </w:rPr>
        <w:t> </w:t>
      </w:r>
      <w:r>
        <w:rPr>
          <w:w w:val="105"/>
          <w:sz w:val="18"/>
        </w:rPr>
        <w:t>“Summary</w:t>
      </w:r>
      <w:r>
        <w:rPr>
          <w:spacing w:val="27"/>
          <w:w w:val="105"/>
          <w:sz w:val="18"/>
        </w:rPr>
        <w:t> </w:t>
      </w:r>
      <w:r>
        <w:rPr>
          <w:w w:val="105"/>
          <w:sz w:val="18"/>
        </w:rPr>
        <w:t>of</w:t>
      </w:r>
      <w:r>
        <w:rPr>
          <w:spacing w:val="27"/>
          <w:w w:val="105"/>
          <w:sz w:val="18"/>
        </w:rPr>
        <w:t> </w:t>
      </w:r>
      <w:r>
        <w:rPr>
          <w:w w:val="105"/>
          <w:sz w:val="18"/>
        </w:rPr>
        <w:t>Significant</w:t>
      </w:r>
      <w:r>
        <w:rPr>
          <w:spacing w:val="12"/>
          <w:w w:val="105"/>
          <w:sz w:val="18"/>
        </w:rPr>
        <w:t> </w:t>
      </w:r>
      <w:r>
        <w:rPr>
          <w:w w:val="105"/>
          <w:sz w:val="18"/>
        </w:rPr>
        <w:t>Accounting</w:t>
      </w:r>
      <w:r>
        <w:rPr>
          <w:w w:val="105"/>
          <w:sz w:val="18"/>
        </w:rPr>
        <w:t> Policies”</w:t>
      </w:r>
      <w:r>
        <w:rPr>
          <w:spacing w:val="27"/>
          <w:w w:val="105"/>
          <w:sz w:val="18"/>
        </w:rPr>
        <w:t> </w:t>
      </w:r>
      <w:r>
        <w:rPr>
          <w:w w:val="105"/>
          <w:sz w:val="18"/>
        </w:rPr>
        <w:t>and</w:t>
      </w:r>
      <w:r>
        <w:rPr>
          <w:spacing w:val="27"/>
          <w:w w:val="105"/>
          <w:sz w:val="18"/>
        </w:rPr>
        <w:t> </w:t>
      </w:r>
      <w:r>
        <w:rPr>
          <w:w w:val="105"/>
          <w:sz w:val="18"/>
        </w:rPr>
        <w:t>“Employee</w:t>
      </w:r>
      <w:r>
        <w:rPr>
          <w:spacing w:val="27"/>
          <w:w w:val="105"/>
          <w:sz w:val="18"/>
        </w:rPr>
        <w:t> </w:t>
      </w:r>
      <w:r>
        <w:rPr>
          <w:w w:val="105"/>
          <w:sz w:val="18"/>
        </w:rPr>
        <w:t>Stock</w:t>
      </w:r>
      <w:r>
        <w:rPr>
          <w:spacing w:val="27"/>
          <w:w w:val="105"/>
          <w:sz w:val="18"/>
        </w:rPr>
        <w:t> </w:t>
      </w:r>
      <w:r>
        <w:rPr>
          <w:w w:val="105"/>
          <w:sz w:val="18"/>
        </w:rPr>
        <w:t>Plans”</w:t>
      </w:r>
      <w:r>
        <w:rPr>
          <w:spacing w:val="27"/>
          <w:w w:val="105"/>
          <w:sz w:val="18"/>
        </w:rPr>
        <w:t> </w:t>
      </w:r>
      <w:r>
        <w:rPr>
          <w:w w:val="105"/>
          <w:sz w:val="18"/>
        </w:rPr>
        <w:t>in</w:t>
      </w:r>
      <w:r>
        <w:rPr>
          <w:spacing w:val="27"/>
          <w:w w:val="105"/>
          <w:sz w:val="18"/>
        </w:rPr>
        <w:t> </w:t>
      </w:r>
      <w:r>
        <w:rPr>
          <w:w w:val="105"/>
          <w:sz w:val="18"/>
        </w:rPr>
        <w:t>the</w:t>
      </w:r>
      <w:r>
        <w:rPr>
          <w:spacing w:val="27"/>
          <w:w w:val="105"/>
          <w:sz w:val="18"/>
        </w:rPr>
        <w:t> </w:t>
      </w:r>
      <w:r>
        <w:rPr>
          <w:w w:val="105"/>
          <w:sz w:val="18"/>
        </w:rPr>
        <w:t>Notes</w:t>
      </w:r>
      <w:r>
        <w:rPr>
          <w:spacing w:val="27"/>
          <w:w w:val="105"/>
          <w:sz w:val="18"/>
        </w:rPr>
        <w:t> </w:t>
      </w:r>
      <w:r>
        <w:rPr>
          <w:w w:val="105"/>
          <w:sz w:val="18"/>
        </w:rPr>
        <w:t>to</w:t>
      </w:r>
      <w:r>
        <w:rPr>
          <w:spacing w:val="27"/>
          <w:w w:val="105"/>
          <w:sz w:val="18"/>
        </w:rPr>
        <w:t> </w:t>
      </w:r>
      <w:r>
        <w:rPr>
          <w:w w:val="105"/>
          <w:sz w:val="18"/>
        </w:rPr>
        <w:t>Consolidated</w:t>
      </w:r>
      <w:r>
        <w:rPr>
          <w:spacing w:val="27"/>
          <w:w w:val="105"/>
          <w:sz w:val="18"/>
        </w:rPr>
        <w:t> </w:t>
      </w:r>
      <w:r>
        <w:rPr>
          <w:w w:val="105"/>
          <w:sz w:val="18"/>
        </w:rPr>
        <w:t>Financial</w:t>
      </w:r>
      <w:r>
        <w:rPr>
          <w:spacing w:val="27"/>
          <w:w w:val="105"/>
          <w:sz w:val="18"/>
        </w:rPr>
        <w:t> </w:t>
      </w:r>
      <w:r>
        <w:rPr>
          <w:w w:val="105"/>
          <w:sz w:val="18"/>
        </w:rPr>
        <w:t>Statements</w:t>
      </w:r>
      <w:r>
        <w:rPr>
          <w:spacing w:val="27"/>
          <w:w w:val="105"/>
          <w:sz w:val="18"/>
        </w:rPr>
        <w:t> </w:t>
      </w:r>
      <w:r>
        <w:rPr>
          <w:w w:val="105"/>
          <w:sz w:val="18"/>
        </w:rPr>
        <w:t>included</w:t>
      </w:r>
      <w:r>
        <w:rPr>
          <w:spacing w:val="27"/>
          <w:w w:val="105"/>
          <w:sz w:val="18"/>
        </w:rPr>
        <w:t> </w:t>
      </w:r>
      <w:r>
        <w:rPr>
          <w:w w:val="105"/>
          <w:sz w:val="18"/>
        </w:rPr>
        <w:t>in the Company’s Annual Report on Form 10-K for the fiscal year in which the stock option was awarded. These</w:t>
      </w:r>
      <w:r>
        <w:rPr>
          <w:spacing w:val="24"/>
          <w:w w:val="105"/>
          <w:sz w:val="18"/>
        </w:rPr>
        <w:t> </w:t>
      </w:r>
      <w:r>
        <w:rPr>
          <w:w w:val="105"/>
          <w:sz w:val="18"/>
        </w:rPr>
        <w:t>amounts</w:t>
      </w:r>
      <w:r>
        <w:rPr>
          <w:spacing w:val="24"/>
          <w:w w:val="105"/>
          <w:sz w:val="18"/>
        </w:rPr>
        <w:t> </w:t>
      </w:r>
      <w:r>
        <w:rPr>
          <w:w w:val="105"/>
          <w:sz w:val="18"/>
        </w:rPr>
        <w:t>reflect</w:t>
      </w:r>
      <w:r>
        <w:rPr>
          <w:spacing w:val="24"/>
          <w:w w:val="105"/>
          <w:sz w:val="18"/>
        </w:rPr>
        <w:t> </w:t>
      </w:r>
      <w:r>
        <w:rPr>
          <w:w w:val="105"/>
          <w:sz w:val="18"/>
        </w:rPr>
        <w:t>our</w:t>
      </w:r>
      <w:r>
        <w:rPr>
          <w:spacing w:val="24"/>
          <w:w w:val="105"/>
          <w:sz w:val="18"/>
        </w:rPr>
        <w:t> </w:t>
      </w:r>
      <w:r>
        <w:rPr>
          <w:w w:val="105"/>
          <w:sz w:val="18"/>
        </w:rPr>
        <w:t>calculation</w:t>
      </w:r>
      <w:r>
        <w:rPr>
          <w:spacing w:val="24"/>
          <w:w w:val="105"/>
          <w:sz w:val="18"/>
        </w:rPr>
        <w:t> </w:t>
      </w:r>
      <w:r>
        <w:rPr>
          <w:w w:val="105"/>
          <w:sz w:val="18"/>
        </w:rPr>
        <w:t>of</w:t>
      </w:r>
      <w:r>
        <w:rPr>
          <w:spacing w:val="24"/>
          <w:w w:val="105"/>
          <w:sz w:val="18"/>
        </w:rPr>
        <w:t> </w:t>
      </w:r>
      <w:r>
        <w:rPr>
          <w:w w:val="105"/>
          <w:sz w:val="18"/>
        </w:rPr>
        <w:t>the</w:t>
      </w:r>
      <w:r>
        <w:rPr>
          <w:spacing w:val="24"/>
          <w:w w:val="105"/>
          <w:sz w:val="18"/>
        </w:rPr>
        <w:t> </w:t>
      </w:r>
      <w:r>
        <w:rPr>
          <w:w w:val="105"/>
          <w:sz w:val="18"/>
        </w:rPr>
        <w:t>value</w:t>
      </w:r>
      <w:r>
        <w:rPr>
          <w:spacing w:val="24"/>
          <w:w w:val="105"/>
          <w:sz w:val="18"/>
        </w:rPr>
        <w:t> </w:t>
      </w:r>
      <w:r>
        <w:rPr>
          <w:w w:val="105"/>
          <w:sz w:val="18"/>
        </w:rPr>
        <w:t>of</w:t>
      </w:r>
      <w:r>
        <w:rPr>
          <w:spacing w:val="24"/>
          <w:w w:val="105"/>
          <w:sz w:val="18"/>
        </w:rPr>
        <w:t> </w:t>
      </w:r>
      <w:r>
        <w:rPr>
          <w:w w:val="105"/>
          <w:sz w:val="18"/>
        </w:rPr>
        <w:t>these</w:t>
      </w:r>
      <w:r>
        <w:rPr>
          <w:spacing w:val="24"/>
          <w:w w:val="105"/>
          <w:sz w:val="18"/>
        </w:rPr>
        <w:t> </w:t>
      </w:r>
      <w:r>
        <w:rPr>
          <w:w w:val="105"/>
          <w:sz w:val="18"/>
        </w:rPr>
        <w:t>awards,</w:t>
      </w:r>
      <w:r>
        <w:rPr>
          <w:spacing w:val="24"/>
          <w:w w:val="105"/>
          <w:sz w:val="18"/>
        </w:rPr>
        <w:t> </w:t>
      </w:r>
      <w:r>
        <w:rPr>
          <w:w w:val="105"/>
          <w:sz w:val="18"/>
        </w:rPr>
        <w:t>and</w:t>
      </w:r>
      <w:r>
        <w:rPr>
          <w:spacing w:val="24"/>
          <w:w w:val="105"/>
          <w:sz w:val="18"/>
        </w:rPr>
        <w:t> </w:t>
      </w:r>
      <w:r>
        <w:rPr>
          <w:w w:val="105"/>
          <w:sz w:val="18"/>
        </w:rPr>
        <w:t>do</w:t>
      </w:r>
      <w:r>
        <w:rPr>
          <w:spacing w:val="24"/>
          <w:w w:val="105"/>
          <w:sz w:val="18"/>
        </w:rPr>
        <w:t> </w:t>
      </w:r>
      <w:r>
        <w:rPr>
          <w:w w:val="105"/>
          <w:sz w:val="18"/>
        </w:rPr>
        <w:t>not</w:t>
      </w:r>
      <w:r>
        <w:rPr>
          <w:spacing w:val="24"/>
          <w:w w:val="105"/>
          <w:sz w:val="18"/>
        </w:rPr>
        <w:t> </w:t>
      </w:r>
      <w:r>
        <w:rPr>
          <w:w w:val="105"/>
          <w:sz w:val="18"/>
        </w:rPr>
        <w:t>necessarily</w:t>
      </w:r>
      <w:r>
        <w:rPr>
          <w:spacing w:val="24"/>
          <w:w w:val="105"/>
          <w:sz w:val="18"/>
        </w:rPr>
        <w:t> </w:t>
      </w:r>
      <w:r>
        <w:rPr>
          <w:w w:val="105"/>
          <w:sz w:val="18"/>
        </w:rPr>
        <w:t>correspond</w:t>
      </w:r>
      <w:r>
        <w:rPr>
          <w:w w:val="105"/>
          <w:sz w:val="18"/>
        </w:rPr>
        <w:t> to the actual value that was or may ultimately be realized by the NEOs.</w:t>
      </w:r>
    </w:p>
    <w:p>
      <w:pPr>
        <w:pStyle w:val="ListParagraph"/>
        <w:numPr>
          <w:ilvl w:val="0"/>
          <w:numId w:val="30"/>
        </w:numPr>
        <w:tabs>
          <w:tab w:pos="1773" w:val="left" w:leader="none"/>
        </w:tabs>
        <w:spacing w:line="259" w:lineRule="auto" w:before="85" w:after="0"/>
        <w:ind w:left="1772" w:right="1562" w:hanging="373"/>
        <w:jc w:val="left"/>
        <w:rPr>
          <w:sz w:val="18"/>
        </w:rPr>
      </w:pPr>
      <w:r>
        <w:rPr>
          <w:w w:val="105"/>
          <w:sz w:val="18"/>
        </w:rPr>
        <w:t>This column represents annual cash incentives earned for fiscal year 2022 under the MIP and as discussed in “Compensation Discussion and Analysis — Fiscal Year 2022 Compensation Program and Pay Decisions — Annual Cash Incentives.”</w:t>
      </w:r>
    </w:p>
    <w:p>
      <w:pPr>
        <w:spacing w:after="0" w:line="259" w:lineRule="auto"/>
        <w:jc w:val="left"/>
        <w:rPr>
          <w:sz w:val="18"/>
        </w:rPr>
        <w:sectPr>
          <w:type w:val="continuous"/>
          <w:pgSz w:w="12240" w:h="15840"/>
          <w:pgMar w:header="529" w:footer="1498" w:top="600" w:bottom="960" w:left="480" w:right="460"/>
        </w:sectPr>
      </w:pPr>
    </w:p>
    <w:p>
      <w:pPr>
        <w:pStyle w:val="BodyText"/>
        <w:rPr>
          <w:sz w:val="20"/>
        </w:rPr>
      </w:pPr>
    </w:p>
    <w:p>
      <w:pPr>
        <w:pStyle w:val="BodyText"/>
        <w:rPr>
          <w:sz w:val="20"/>
        </w:rPr>
      </w:pPr>
    </w:p>
    <w:p>
      <w:pPr>
        <w:pStyle w:val="BodyText"/>
        <w:spacing w:before="2"/>
        <w:rPr>
          <w:sz w:val="27"/>
        </w:rPr>
      </w:pPr>
    </w:p>
    <w:p>
      <w:pPr>
        <w:pStyle w:val="ListParagraph"/>
        <w:numPr>
          <w:ilvl w:val="0"/>
          <w:numId w:val="30"/>
        </w:numPr>
        <w:tabs>
          <w:tab w:pos="1773" w:val="left" w:leader="none"/>
        </w:tabs>
        <w:spacing w:line="259" w:lineRule="auto" w:before="98" w:after="0"/>
        <w:ind w:left="1772" w:right="1453" w:hanging="373"/>
        <w:jc w:val="left"/>
        <w:rPr>
          <w:sz w:val="18"/>
        </w:rPr>
      </w:pPr>
      <w:r>
        <w:rPr>
          <w:w w:val="105"/>
          <w:sz w:val="18"/>
        </w:rPr>
        <w:t>Set forth in the table below are the material components of the “All Other Compensation” column for</w:t>
      </w:r>
      <w:r>
        <w:rPr>
          <w:spacing w:val="40"/>
          <w:w w:val="105"/>
          <w:sz w:val="18"/>
        </w:rPr>
        <w:t> </w:t>
      </w:r>
      <w:r>
        <w:rPr>
          <w:w w:val="105"/>
          <w:sz w:val="18"/>
        </w:rPr>
        <w:t>fiscal</w:t>
      </w:r>
      <w:r>
        <w:rPr>
          <w:spacing w:val="23"/>
          <w:w w:val="105"/>
          <w:sz w:val="18"/>
        </w:rPr>
        <w:t> </w:t>
      </w:r>
      <w:r>
        <w:rPr>
          <w:w w:val="105"/>
          <w:sz w:val="18"/>
        </w:rPr>
        <w:t>year</w:t>
      </w:r>
      <w:r>
        <w:rPr>
          <w:spacing w:val="23"/>
          <w:w w:val="105"/>
          <w:sz w:val="18"/>
        </w:rPr>
        <w:t> </w:t>
      </w:r>
      <w:r>
        <w:rPr>
          <w:w w:val="105"/>
          <w:sz w:val="18"/>
        </w:rPr>
        <w:t>2022. Amounts</w:t>
      </w:r>
      <w:r>
        <w:rPr>
          <w:spacing w:val="23"/>
          <w:w w:val="105"/>
          <w:sz w:val="18"/>
        </w:rPr>
        <w:t> </w:t>
      </w:r>
      <w:r>
        <w:rPr>
          <w:w w:val="105"/>
          <w:sz w:val="18"/>
        </w:rPr>
        <w:t>for</w:t>
      </w:r>
      <w:r>
        <w:rPr>
          <w:spacing w:val="23"/>
          <w:w w:val="105"/>
          <w:sz w:val="18"/>
        </w:rPr>
        <w:t> </w:t>
      </w:r>
      <w:r>
        <w:rPr>
          <w:w w:val="105"/>
          <w:sz w:val="18"/>
        </w:rPr>
        <w:t>fiscal</w:t>
      </w:r>
      <w:r>
        <w:rPr>
          <w:spacing w:val="23"/>
          <w:w w:val="105"/>
          <w:sz w:val="18"/>
        </w:rPr>
        <w:t> </w:t>
      </w:r>
      <w:r>
        <w:rPr>
          <w:w w:val="105"/>
          <w:sz w:val="18"/>
        </w:rPr>
        <w:t>years</w:t>
      </w:r>
      <w:r>
        <w:rPr>
          <w:spacing w:val="23"/>
          <w:w w:val="105"/>
          <w:sz w:val="18"/>
        </w:rPr>
        <w:t> </w:t>
      </w:r>
      <w:r>
        <w:rPr>
          <w:w w:val="105"/>
          <w:sz w:val="18"/>
        </w:rPr>
        <w:t>2021</w:t>
      </w:r>
      <w:r>
        <w:rPr>
          <w:spacing w:val="23"/>
          <w:w w:val="105"/>
          <w:sz w:val="18"/>
        </w:rPr>
        <w:t> </w:t>
      </w:r>
      <w:r>
        <w:rPr>
          <w:w w:val="105"/>
          <w:sz w:val="18"/>
        </w:rPr>
        <w:t>and</w:t>
      </w:r>
      <w:r>
        <w:rPr>
          <w:spacing w:val="23"/>
          <w:w w:val="105"/>
          <w:sz w:val="18"/>
        </w:rPr>
        <w:t> </w:t>
      </w:r>
      <w:r>
        <w:rPr>
          <w:w w:val="105"/>
          <w:sz w:val="18"/>
        </w:rPr>
        <w:t>2020</w:t>
      </w:r>
      <w:r>
        <w:rPr>
          <w:spacing w:val="23"/>
          <w:w w:val="105"/>
          <w:sz w:val="18"/>
        </w:rPr>
        <w:t> </w:t>
      </w:r>
      <w:r>
        <w:rPr>
          <w:w w:val="105"/>
          <w:sz w:val="18"/>
        </w:rPr>
        <w:t>have</w:t>
      </w:r>
      <w:r>
        <w:rPr>
          <w:spacing w:val="23"/>
          <w:w w:val="105"/>
          <w:sz w:val="18"/>
        </w:rPr>
        <w:t> </w:t>
      </w:r>
      <w:r>
        <w:rPr>
          <w:w w:val="105"/>
          <w:sz w:val="18"/>
        </w:rPr>
        <w:t>been</w:t>
      </w:r>
      <w:r>
        <w:rPr>
          <w:spacing w:val="23"/>
          <w:w w:val="105"/>
          <w:sz w:val="18"/>
        </w:rPr>
        <w:t> </w:t>
      </w:r>
      <w:r>
        <w:rPr>
          <w:w w:val="105"/>
          <w:sz w:val="18"/>
        </w:rPr>
        <w:t>adjusted</w:t>
      </w:r>
      <w:r>
        <w:rPr>
          <w:spacing w:val="23"/>
          <w:w w:val="105"/>
          <w:sz w:val="18"/>
        </w:rPr>
        <w:t> </w:t>
      </w:r>
      <w:r>
        <w:rPr>
          <w:w w:val="105"/>
          <w:sz w:val="18"/>
        </w:rPr>
        <w:t>to</w:t>
      </w:r>
      <w:r>
        <w:rPr>
          <w:spacing w:val="23"/>
          <w:w w:val="105"/>
          <w:sz w:val="18"/>
        </w:rPr>
        <w:t> </w:t>
      </w:r>
      <w:r>
        <w:rPr>
          <w:w w:val="105"/>
          <w:sz w:val="18"/>
        </w:rPr>
        <w:t>deduct</w:t>
      </w:r>
      <w:r>
        <w:rPr>
          <w:spacing w:val="23"/>
          <w:w w:val="105"/>
          <w:sz w:val="18"/>
        </w:rPr>
        <w:t> </w:t>
      </w:r>
      <w:r>
        <w:rPr>
          <w:w w:val="105"/>
          <w:sz w:val="18"/>
        </w:rPr>
        <w:t>$1,000 employer contributions to Health Savings Accounts for Messrs. Sanyal, Giambattista and Hartman, and Ms. Honeysett, as such contributions are available to all Company employees, and to reflect Company matching 401(k) plan contribution corrections made during fiscal year 2022 for fiscal year 2020 for</w:t>
      </w:r>
      <w:r>
        <w:rPr>
          <w:spacing w:val="40"/>
          <w:w w:val="105"/>
          <w:sz w:val="18"/>
        </w:rPr>
        <w:t> </w:t>
      </w:r>
      <w:r>
        <w:rPr>
          <w:w w:val="105"/>
          <w:sz w:val="18"/>
        </w:rPr>
        <w:t>Messrs. Sanyal, Giambattista and Hartman, and Ms. Honeysett.</w:t>
      </w:r>
    </w:p>
    <w:p>
      <w:pPr>
        <w:pStyle w:val="BodyText"/>
        <w:spacing w:before="6"/>
        <w:rPr>
          <w:sz w:val="16"/>
        </w:rPr>
      </w:pPr>
    </w:p>
    <w:tbl>
      <w:tblPr>
        <w:tblW w:w="0" w:type="auto"/>
        <w:jc w:val="left"/>
        <w:tblInd w:w="2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4"/>
        <w:gridCol w:w="224"/>
        <w:gridCol w:w="867"/>
        <w:gridCol w:w="218"/>
        <w:gridCol w:w="607"/>
      </w:tblGrid>
      <w:tr>
        <w:trPr>
          <w:trHeight w:val="324" w:hRule="atLeast"/>
        </w:trPr>
        <w:tc>
          <w:tcPr>
            <w:tcW w:w="6068" w:type="dxa"/>
            <w:gridSpan w:val="2"/>
          </w:tcPr>
          <w:p>
            <w:pPr>
              <w:pStyle w:val="TableParagraph"/>
              <w:rPr>
                <w:sz w:val="16"/>
              </w:rPr>
            </w:pPr>
          </w:p>
        </w:tc>
        <w:tc>
          <w:tcPr>
            <w:tcW w:w="867" w:type="dxa"/>
          </w:tcPr>
          <w:p>
            <w:pPr>
              <w:pStyle w:val="TableParagraph"/>
              <w:spacing w:line="163" w:lineRule="exact"/>
              <w:ind w:left="1"/>
              <w:jc w:val="center"/>
              <w:rPr>
                <w:b/>
                <w:sz w:val="15"/>
              </w:rPr>
            </w:pPr>
            <w:r>
              <w:rPr>
                <w:b/>
                <w:spacing w:val="-2"/>
                <w:sz w:val="15"/>
              </w:rPr>
              <w:t>Company</w:t>
            </w:r>
          </w:p>
          <w:p>
            <w:pPr>
              <w:pStyle w:val="TableParagraph"/>
              <w:spacing w:line="141" w:lineRule="exact"/>
              <w:ind w:left="1"/>
              <w:jc w:val="center"/>
              <w:rPr>
                <w:b/>
                <w:sz w:val="15"/>
              </w:rPr>
            </w:pPr>
            <w:r>
              <w:rPr>
                <w:b/>
                <w:spacing w:val="-5"/>
                <w:sz w:val="15"/>
              </w:rPr>
              <w:t>Contributions</w:t>
            </w:r>
          </w:p>
        </w:tc>
        <w:tc>
          <w:tcPr>
            <w:tcW w:w="825" w:type="dxa"/>
            <w:gridSpan w:val="2"/>
          </w:tcPr>
          <w:p>
            <w:pPr>
              <w:pStyle w:val="TableParagraph"/>
              <w:rPr>
                <w:sz w:val="16"/>
              </w:rPr>
            </w:pPr>
          </w:p>
        </w:tc>
      </w:tr>
      <w:tr>
        <w:trPr>
          <w:trHeight w:val="227" w:hRule="atLeast"/>
        </w:trPr>
        <w:tc>
          <w:tcPr>
            <w:tcW w:w="5844" w:type="dxa"/>
            <w:tcBorders>
              <w:bottom w:val="single" w:sz="6" w:space="0" w:color="000000"/>
            </w:tcBorders>
          </w:tcPr>
          <w:p>
            <w:pPr>
              <w:pStyle w:val="TableParagraph"/>
              <w:spacing w:before="4"/>
              <w:ind w:left="4"/>
              <w:rPr>
                <w:b/>
                <w:sz w:val="15"/>
              </w:rPr>
            </w:pPr>
            <w:r>
              <w:rPr>
                <w:b/>
                <w:spacing w:val="-4"/>
                <w:sz w:val="15"/>
              </w:rPr>
              <w:t>Name</w:t>
            </w:r>
          </w:p>
        </w:tc>
        <w:tc>
          <w:tcPr>
            <w:tcW w:w="224" w:type="dxa"/>
          </w:tcPr>
          <w:p>
            <w:pPr>
              <w:pStyle w:val="TableParagraph"/>
              <w:rPr>
                <w:sz w:val="16"/>
              </w:rPr>
            </w:pPr>
          </w:p>
        </w:tc>
        <w:tc>
          <w:tcPr>
            <w:tcW w:w="867" w:type="dxa"/>
            <w:tcBorders>
              <w:bottom w:val="single" w:sz="6" w:space="0" w:color="000000"/>
            </w:tcBorders>
          </w:tcPr>
          <w:p>
            <w:pPr>
              <w:pStyle w:val="TableParagraph"/>
              <w:spacing w:before="4"/>
              <w:jc w:val="center"/>
              <w:rPr>
                <w:b/>
                <w:sz w:val="15"/>
              </w:rPr>
            </w:pPr>
            <w:r>
              <w:rPr>
                <w:b/>
                <w:spacing w:val="-2"/>
                <w:sz w:val="15"/>
              </w:rPr>
              <w:t>to</w:t>
            </w:r>
            <w:r>
              <w:rPr>
                <w:b/>
                <w:spacing w:val="-8"/>
                <w:sz w:val="15"/>
              </w:rPr>
              <w:t> </w:t>
            </w:r>
            <w:r>
              <w:rPr>
                <w:b/>
                <w:spacing w:val="-2"/>
                <w:sz w:val="15"/>
              </w:rPr>
              <w:t>401(k)</w:t>
            </w:r>
            <w:r>
              <w:rPr>
                <w:b/>
                <w:spacing w:val="-2"/>
                <w:sz w:val="15"/>
                <w:vertAlign w:val="superscript"/>
              </w:rPr>
              <w:t>(a)</w:t>
            </w:r>
          </w:p>
        </w:tc>
        <w:tc>
          <w:tcPr>
            <w:tcW w:w="218" w:type="dxa"/>
          </w:tcPr>
          <w:p>
            <w:pPr>
              <w:pStyle w:val="TableParagraph"/>
              <w:rPr>
                <w:sz w:val="16"/>
              </w:rPr>
            </w:pPr>
          </w:p>
        </w:tc>
        <w:tc>
          <w:tcPr>
            <w:tcW w:w="607" w:type="dxa"/>
            <w:tcBorders>
              <w:bottom w:val="single" w:sz="6" w:space="0" w:color="000000"/>
            </w:tcBorders>
          </w:tcPr>
          <w:p>
            <w:pPr>
              <w:pStyle w:val="TableParagraph"/>
              <w:spacing w:before="4"/>
              <w:ind w:left="38" w:right="39"/>
              <w:jc w:val="center"/>
              <w:rPr>
                <w:b/>
                <w:sz w:val="15"/>
              </w:rPr>
            </w:pPr>
            <w:r>
              <w:rPr>
                <w:b/>
                <w:spacing w:val="-2"/>
                <w:sz w:val="15"/>
              </w:rPr>
              <w:t>Other</w:t>
            </w:r>
            <w:r>
              <w:rPr>
                <w:b/>
                <w:spacing w:val="-2"/>
                <w:sz w:val="15"/>
                <w:vertAlign w:val="superscript"/>
              </w:rPr>
              <w:t>(b)</w:t>
            </w:r>
          </w:p>
        </w:tc>
      </w:tr>
      <w:tr>
        <w:trPr>
          <w:trHeight w:val="286" w:hRule="atLeast"/>
        </w:trPr>
        <w:tc>
          <w:tcPr>
            <w:tcW w:w="5844" w:type="dxa"/>
            <w:tcBorders>
              <w:top w:val="single" w:sz="6" w:space="0" w:color="000000"/>
            </w:tcBorders>
          </w:tcPr>
          <w:p>
            <w:pPr>
              <w:pStyle w:val="TableParagraph"/>
              <w:spacing w:before="41"/>
              <w:ind w:left="4"/>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4" w:type="dxa"/>
          </w:tcPr>
          <w:p>
            <w:pPr>
              <w:pStyle w:val="TableParagraph"/>
              <w:rPr>
                <w:sz w:val="16"/>
              </w:rPr>
            </w:pPr>
          </w:p>
        </w:tc>
        <w:tc>
          <w:tcPr>
            <w:tcW w:w="867" w:type="dxa"/>
            <w:tcBorders>
              <w:top w:val="single" w:sz="6" w:space="0" w:color="000000"/>
            </w:tcBorders>
          </w:tcPr>
          <w:p>
            <w:pPr>
              <w:pStyle w:val="TableParagraph"/>
              <w:spacing w:before="41"/>
              <w:jc w:val="center"/>
              <w:rPr>
                <w:sz w:val="18"/>
              </w:rPr>
            </w:pPr>
            <w:r>
              <w:rPr>
                <w:w w:val="105"/>
                <w:sz w:val="18"/>
              </w:rPr>
              <w:t>$</w:t>
            </w:r>
            <w:r>
              <w:rPr>
                <w:spacing w:val="50"/>
                <w:w w:val="105"/>
                <w:sz w:val="18"/>
              </w:rPr>
              <w:t> </w:t>
            </w:r>
            <w:r>
              <w:rPr>
                <w:spacing w:val="-4"/>
                <w:w w:val="105"/>
                <w:sz w:val="18"/>
              </w:rPr>
              <w:t>9,685</w:t>
            </w:r>
          </w:p>
        </w:tc>
        <w:tc>
          <w:tcPr>
            <w:tcW w:w="218" w:type="dxa"/>
          </w:tcPr>
          <w:p>
            <w:pPr>
              <w:pStyle w:val="TableParagraph"/>
              <w:rPr>
                <w:sz w:val="16"/>
              </w:rPr>
            </w:pPr>
          </w:p>
        </w:tc>
        <w:tc>
          <w:tcPr>
            <w:tcW w:w="607" w:type="dxa"/>
            <w:tcBorders>
              <w:top w:val="single" w:sz="6" w:space="0" w:color="000000"/>
            </w:tcBorders>
          </w:tcPr>
          <w:p>
            <w:pPr>
              <w:pStyle w:val="TableParagraph"/>
              <w:spacing w:before="41"/>
              <w:ind w:left="-2"/>
              <w:jc w:val="center"/>
              <w:rPr>
                <w:sz w:val="18"/>
              </w:rPr>
            </w:pPr>
            <w:r>
              <w:rPr>
                <w:spacing w:val="-2"/>
                <w:sz w:val="18"/>
              </w:rPr>
              <w:t>$20,000</w:t>
            </w:r>
          </w:p>
        </w:tc>
      </w:tr>
      <w:tr>
        <w:trPr>
          <w:trHeight w:val="279" w:hRule="atLeast"/>
        </w:trPr>
        <w:tc>
          <w:tcPr>
            <w:tcW w:w="5844" w:type="dxa"/>
          </w:tcPr>
          <w:p>
            <w:pPr>
              <w:pStyle w:val="TableParagraph"/>
              <w:spacing w:before="34"/>
              <w:ind w:left="4"/>
              <w:rPr>
                <w:sz w:val="18"/>
              </w:rPr>
            </w:pPr>
            <w:r>
              <w:rPr>
                <w:w w:val="105"/>
                <w:sz w:val="18"/>
              </w:rPr>
              <w:t>Shubham</w:t>
            </w:r>
            <w:r>
              <w:rPr>
                <w:spacing w:val="11"/>
                <w:w w:val="105"/>
                <w:sz w:val="18"/>
              </w:rPr>
              <w:t> </w:t>
            </w:r>
            <w:r>
              <w:rPr>
                <w:spacing w:val="-2"/>
                <w:w w:val="105"/>
                <w:sz w:val="18"/>
              </w:rPr>
              <w:t>Maheshwari</w:t>
            </w:r>
          </w:p>
        </w:tc>
        <w:tc>
          <w:tcPr>
            <w:tcW w:w="224" w:type="dxa"/>
          </w:tcPr>
          <w:p>
            <w:pPr>
              <w:pStyle w:val="TableParagraph"/>
              <w:rPr>
                <w:sz w:val="16"/>
              </w:rPr>
            </w:pPr>
          </w:p>
        </w:tc>
        <w:tc>
          <w:tcPr>
            <w:tcW w:w="867" w:type="dxa"/>
          </w:tcPr>
          <w:p>
            <w:pPr>
              <w:pStyle w:val="TableParagraph"/>
              <w:spacing w:before="34"/>
              <w:jc w:val="center"/>
              <w:rPr>
                <w:sz w:val="18"/>
              </w:rPr>
            </w:pPr>
            <w:r>
              <w:rPr>
                <w:spacing w:val="-2"/>
                <w:w w:val="105"/>
                <w:sz w:val="18"/>
              </w:rPr>
              <w:t>$10,939</w:t>
            </w:r>
          </w:p>
        </w:tc>
        <w:tc>
          <w:tcPr>
            <w:tcW w:w="218" w:type="dxa"/>
          </w:tcPr>
          <w:p>
            <w:pPr>
              <w:pStyle w:val="TableParagraph"/>
              <w:rPr>
                <w:sz w:val="16"/>
              </w:rPr>
            </w:pPr>
          </w:p>
        </w:tc>
        <w:tc>
          <w:tcPr>
            <w:tcW w:w="607" w:type="dxa"/>
          </w:tcPr>
          <w:p>
            <w:pPr>
              <w:pStyle w:val="TableParagraph"/>
              <w:spacing w:before="34"/>
              <w:ind w:left="-2"/>
              <w:jc w:val="center"/>
              <w:rPr>
                <w:sz w:val="18"/>
              </w:rPr>
            </w:pPr>
            <w:r>
              <w:rPr>
                <w:spacing w:val="-2"/>
                <w:sz w:val="18"/>
              </w:rPr>
              <w:t>$57,142</w:t>
            </w:r>
          </w:p>
        </w:tc>
      </w:tr>
      <w:tr>
        <w:trPr>
          <w:trHeight w:val="279" w:hRule="atLeast"/>
        </w:trPr>
        <w:tc>
          <w:tcPr>
            <w:tcW w:w="5844" w:type="dxa"/>
          </w:tcPr>
          <w:p>
            <w:pPr>
              <w:pStyle w:val="TableParagraph"/>
              <w:spacing w:before="34"/>
              <w:ind w:left="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4" w:type="dxa"/>
          </w:tcPr>
          <w:p>
            <w:pPr>
              <w:pStyle w:val="TableParagraph"/>
              <w:rPr>
                <w:sz w:val="16"/>
              </w:rPr>
            </w:pPr>
          </w:p>
        </w:tc>
        <w:tc>
          <w:tcPr>
            <w:tcW w:w="867" w:type="dxa"/>
          </w:tcPr>
          <w:p>
            <w:pPr>
              <w:pStyle w:val="TableParagraph"/>
              <w:spacing w:before="34"/>
              <w:jc w:val="center"/>
              <w:rPr>
                <w:sz w:val="18"/>
              </w:rPr>
            </w:pPr>
            <w:r>
              <w:rPr>
                <w:spacing w:val="-2"/>
                <w:w w:val="105"/>
                <w:sz w:val="18"/>
              </w:rPr>
              <w:t>$12,523</w:t>
            </w:r>
          </w:p>
        </w:tc>
        <w:tc>
          <w:tcPr>
            <w:tcW w:w="218" w:type="dxa"/>
          </w:tcPr>
          <w:p>
            <w:pPr>
              <w:pStyle w:val="TableParagraph"/>
              <w:rPr>
                <w:sz w:val="16"/>
              </w:rPr>
            </w:pPr>
          </w:p>
        </w:tc>
        <w:tc>
          <w:tcPr>
            <w:tcW w:w="607" w:type="dxa"/>
          </w:tcPr>
          <w:p>
            <w:pPr>
              <w:pStyle w:val="TableParagraph"/>
              <w:tabs>
                <w:tab w:pos="511" w:val="left" w:leader="none"/>
              </w:tabs>
              <w:spacing w:before="34"/>
              <w:ind w:left="-2"/>
              <w:jc w:val="center"/>
              <w:rPr>
                <w:sz w:val="18"/>
              </w:rPr>
            </w:pPr>
            <w:r>
              <w:rPr>
                <w:spacing w:val="-10"/>
                <w:w w:val="105"/>
                <w:sz w:val="18"/>
              </w:rPr>
              <w:t>$</w:t>
            </w:r>
            <w:r>
              <w:rPr>
                <w:sz w:val="18"/>
              </w:rPr>
              <w:tab/>
            </w:r>
            <w:r>
              <w:rPr>
                <w:spacing w:val="-12"/>
                <w:w w:val="105"/>
                <w:sz w:val="18"/>
              </w:rPr>
              <w:t>0</w:t>
            </w:r>
          </w:p>
        </w:tc>
      </w:tr>
      <w:tr>
        <w:trPr>
          <w:trHeight w:val="279" w:hRule="atLeast"/>
        </w:trPr>
        <w:tc>
          <w:tcPr>
            <w:tcW w:w="5844" w:type="dxa"/>
          </w:tcPr>
          <w:p>
            <w:pPr>
              <w:pStyle w:val="TableParagraph"/>
              <w:spacing w:before="34"/>
              <w:ind w:left="4"/>
              <w:rPr>
                <w:sz w:val="18"/>
              </w:rPr>
            </w:pPr>
            <w:r>
              <w:rPr>
                <w:w w:val="105"/>
                <w:sz w:val="18"/>
              </w:rPr>
              <w:t>Brian</w:t>
            </w:r>
            <w:r>
              <w:rPr>
                <w:spacing w:val="-5"/>
                <w:w w:val="105"/>
                <w:sz w:val="18"/>
              </w:rPr>
              <w:t> </w:t>
            </w:r>
            <w:r>
              <w:rPr>
                <w:w w:val="105"/>
                <w:sz w:val="18"/>
              </w:rPr>
              <w:t>W. </w:t>
            </w:r>
            <w:r>
              <w:rPr>
                <w:spacing w:val="-2"/>
                <w:w w:val="105"/>
                <w:sz w:val="18"/>
              </w:rPr>
              <w:t>Giambattista</w:t>
            </w:r>
          </w:p>
        </w:tc>
        <w:tc>
          <w:tcPr>
            <w:tcW w:w="224" w:type="dxa"/>
          </w:tcPr>
          <w:p>
            <w:pPr>
              <w:pStyle w:val="TableParagraph"/>
              <w:rPr>
                <w:sz w:val="16"/>
              </w:rPr>
            </w:pPr>
          </w:p>
        </w:tc>
        <w:tc>
          <w:tcPr>
            <w:tcW w:w="867" w:type="dxa"/>
          </w:tcPr>
          <w:p>
            <w:pPr>
              <w:pStyle w:val="TableParagraph"/>
              <w:spacing w:before="34"/>
              <w:jc w:val="center"/>
              <w:rPr>
                <w:sz w:val="18"/>
              </w:rPr>
            </w:pPr>
            <w:r>
              <w:rPr>
                <w:spacing w:val="-2"/>
                <w:w w:val="105"/>
                <w:sz w:val="18"/>
              </w:rPr>
              <w:t>$10,200</w:t>
            </w:r>
          </w:p>
        </w:tc>
        <w:tc>
          <w:tcPr>
            <w:tcW w:w="218" w:type="dxa"/>
          </w:tcPr>
          <w:p>
            <w:pPr>
              <w:pStyle w:val="TableParagraph"/>
              <w:rPr>
                <w:sz w:val="16"/>
              </w:rPr>
            </w:pPr>
          </w:p>
        </w:tc>
        <w:tc>
          <w:tcPr>
            <w:tcW w:w="607" w:type="dxa"/>
          </w:tcPr>
          <w:p>
            <w:pPr>
              <w:pStyle w:val="TableParagraph"/>
              <w:tabs>
                <w:tab w:pos="511" w:val="left" w:leader="none"/>
              </w:tabs>
              <w:spacing w:before="34"/>
              <w:ind w:left="-2"/>
              <w:jc w:val="center"/>
              <w:rPr>
                <w:sz w:val="18"/>
              </w:rPr>
            </w:pPr>
            <w:r>
              <w:rPr>
                <w:spacing w:val="-10"/>
                <w:w w:val="105"/>
                <w:sz w:val="18"/>
              </w:rPr>
              <w:t>$</w:t>
            </w:r>
            <w:r>
              <w:rPr>
                <w:sz w:val="18"/>
              </w:rPr>
              <w:tab/>
            </w:r>
            <w:r>
              <w:rPr>
                <w:spacing w:val="-12"/>
                <w:w w:val="105"/>
                <w:sz w:val="18"/>
              </w:rPr>
              <w:t>0</w:t>
            </w:r>
          </w:p>
        </w:tc>
      </w:tr>
      <w:tr>
        <w:trPr>
          <w:trHeight w:val="242" w:hRule="atLeast"/>
        </w:trPr>
        <w:tc>
          <w:tcPr>
            <w:tcW w:w="5844" w:type="dxa"/>
          </w:tcPr>
          <w:p>
            <w:pPr>
              <w:pStyle w:val="TableParagraph"/>
              <w:spacing w:line="188" w:lineRule="exact" w:before="34"/>
              <w:ind w:left="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4" w:type="dxa"/>
          </w:tcPr>
          <w:p>
            <w:pPr>
              <w:pStyle w:val="TableParagraph"/>
              <w:rPr>
                <w:sz w:val="16"/>
              </w:rPr>
            </w:pPr>
          </w:p>
        </w:tc>
        <w:tc>
          <w:tcPr>
            <w:tcW w:w="867" w:type="dxa"/>
          </w:tcPr>
          <w:p>
            <w:pPr>
              <w:pStyle w:val="TableParagraph"/>
              <w:spacing w:line="188" w:lineRule="exact" w:before="34"/>
              <w:jc w:val="center"/>
              <w:rPr>
                <w:sz w:val="18"/>
              </w:rPr>
            </w:pPr>
            <w:r>
              <w:rPr>
                <w:w w:val="105"/>
                <w:sz w:val="18"/>
              </w:rPr>
              <w:t>$</w:t>
            </w:r>
            <w:r>
              <w:rPr>
                <w:spacing w:val="50"/>
                <w:w w:val="105"/>
                <w:sz w:val="18"/>
              </w:rPr>
              <w:t> </w:t>
            </w:r>
            <w:r>
              <w:rPr>
                <w:spacing w:val="-4"/>
                <w:w w:val="105"/>
                <w:sz w:val="18"/>
              </w:rPr>
              <w:t>7,454</w:t>
            </w:r>
          </w:p>
        </w:tc>
        <w:tc>
          <w:tcPr>
            <w:tcW w:w="218" w:type="dxa"/>
          </w:tcPr>
          <w:p>
            <w:pPr>
              <w:pStyle w:val="TableParagraph"/>
              <w:rPr>
                <w:sz w:val="16"/>
              </w:rPr>
            </w:pPr>
          </w:p>
        </w:tc>
        <w:tc>
          <w:tcPr>
            <w:tcW w:w="607" w:type="dxa"/>
          </w:tcPr>
          <w:p>
            <w:pPr>
              <w:pStyle w:val="TableParagraph"/>
              <w:spacing w:line="188" w:lineRule="exact" w:before="34"/>
              <w:ind w:left="-2"/>
              <w:jc w:val="center"/>
              <w:rPr>
                <w:sz w:val="18"/>
              </w:rPr>
            </w:pPr>
            <w:r>
              <w:rPr>
                <w:w w:val="105"/>
                <w:sz w:val="18"/>
              </w:rPr>
              <w:t>$</w:t>
            </w:r>
            <w:r>
              <w:rPr>
                <w:spacing w:val="43"/>
                <w:w w:val="105"/>
                <w:sz w:val="18"/>
              </w:rPr>
              <w:t> </w:t>
            </w:r>
            <w:r>
              <w:rPr>
                <w:spacing w:val="-4"/>
                <w:w w:val="105"/>
                <w:sz w:val="18"/>
              </w:rPr>
              <w:t>3,395</w:t>
            </w:r>
          </w:p>
        </w:tc>
      </w:tr>
    </w:tbl>
    <w:p>
      <w:pPr>
        <w:pStyle w:val="BodyText"/>
        <w:spacing w:before="2"/>
        <w:rPr>
          <w:sz w:val="20"/>
        </w:rPr>
      </w:pPr>
      <w:r>
        <w:rPr/>
        <w:pict>
          <v:rect style="position:absolute;margin-left:112.879082pt;margin-top:12.840729pt;width:100.654902pt;height:.698992pt;mso-position-horizontal-relative:page;mso-position-vertical-relative:paragraph;z-index:-15678464;mso-wrap-distance-left:0;mso-wrap-distance-right:0" id="docshape354" filled="true" fillcolor="#000000" stroked="false">
            <v:fill type="solid"/>
            <w10:wrap type="topAndBottom"/>
          </v:rect>
        </w:pict>
      </w:r>
    </w:p>
    <w:p>
      <w:pPr>
        <w:pStyle w:val="ListParagraph"/>
        <w:numPr>
          <w:ilvl w:val="1"/>
          <w:numId w:val="30"/>
        </w:numPr>
        <w:tabs>
          <w:tab w:pos="2146" w:val="left" w:leader="none"/>
        </w:tabs>
        <w:spacing w:line="259" w:lineRule="auto" w:before="125" w:after="0"/>
        <w:ind w:left="2145" w:right="2203" w:hanging="373"/>
        <w:jc w:val="left"/>
        <w:rPr>
          <w:sz w:val="18"/>
        </w:rPr>
      </w:pPr>
      <w:r>
        <w:rPr>
          <w:w w:val="105"/>
          <w:sz w:val="18"/>
        </w:rPr>
        <w:t>Amount represents Company matching contributions to the NEO’s contributions to the Company’s 401(k) plan during the fiscal year, matched at a level of $1.00 for each dollar contributed, up to 4% of eligible earnings.</w:t>
      </w:r>
    </w:p>
    <w:p>
      <w:pPr>
        <w:pStyle w:val="ListParagraph"/>
        <w:numPr>
          <w:ilvl w:val="1"/>
          <w:numId w:val="30"/>
        </w:numPr>
        <w:tabs>
          <w:tab w:pos="2146" w:val="left" w:leader="none"/>
        </w:tabs>
        <w:spacing w:line="259" w:lineRule="auto" w:before="57" w:after="0"/>
        <w:ind w:left="2145" w:right="1521" w:hanging="373"/>
        <w:jc w:val="left"/>
        <w:rPr>
          <w:sz w:val="18"/>
        </w:rPr>
      </w:pPr>
      <w:r>
        <w:rPr>
          <w:w w:val="105"/>
          <w:sz w:val="18"/>
        </w:rPr>
        <w:t>The amounts for Messrs. Sanyal and Hartmann represent Financial Planning reimbursement. The amount for Mr. Maheshwari represents a moving reimbursement of $34,912 and an associated tax reimbursement of $22,230, pursuant to the Company’s relocation program.</w:t>
      </w:r>
    </w:p>
    <w:p>
      <w:pPr>
        <w:pStyle w:val="ListParagraph"/>
        <w:numPr>
          <w:ilvl w:val="0"/>
          <w:numId w:val="30"/>
        </w:numPr>
        <w:tabs>
          <w:tab w:pos="1773" w:val="left" w:leader="none"/>
        </w:tabs>
        <w:spacing w:line="259" w:lineRule="auto" w:before="70" w:after="0"/>
        <w:ind w:left="1772" w:right="1520" w:hanging="373"/>
        <w:jc w:val="left"/>
        <w:rPr>
          <w:sz w:val="18"/>
        </w:rPr>
      </w:pPr>
      <w:r>
        <w:rPr>
          <w:w w:val="105"/>
          <w:sz w:val="18"/>
        </w:rPr>
        <w:t>Mr. Maheshwari joined the Company in July 2020, and his compensation is prorated based on his start date with the Company.</w:t>
      </w:r>
    </w:p>
    <w:p>
      <w:pPr>
        <w:pStyle w:val="ListParagraph"/>
        <w:numPr>
          <w:ilvl w:val="0"/>
          <w:numId w:val="30"/>
        </w:numPr>
        <w:tabs>
          <w:tab w:pos="1773" w:val="left" w:leader="none"/>
        </w:tabs>
        <w:spacing w:line="240" w:lineRule="auto" w:before="56" w:after="0"/>
        <w:ind w:left="1772" w:right="0" w:hanging="373"/>
        <w:jc w:val="left"/>
        <w:rPr>
          <w:sz w:val="18"/>
        </w:rPr>
      </w:pPr>
      <w:r>
        <w:rPr>
          <w:w w:val="105"/>
          <w:sz w:val="18"/>
        </w:rPr>
        <w:t>Mr.</w:t>
      </w:r>
      <w:r>
        <w:rPr>
          <w:spacing w:val="7"/>
          <w:w w:val="105"/>
          <w:sz w:val="18"/>
        </w:rPr>
        <w:t> </w:t>
      </w:r>
      <w:r>
        <w:rPr>
          <w:w w:val="105"/>
          <w:sz w:val="18"/>
        </w:rPr>
        <w:t>Hartmann</w:t>
      </w:r>
      <w:r>
        <w:rPr>
          <w:spacing w:val="8"/>
          <w:w w:val="105"/>
          <w:sz w:val="18"/>
        </w:rPr>
        <w:t> </w:t>
      </w:r>
      <w:r>
        <w:rPr>
          <w:w w:val="105"/>
          <w:sz w:val="18"/>
        </w:rPr>
        <w:t>became</w:t>
      </w:r>
      <w:r>
        <w:rPr>
          <w:spacing w:val="8"/>
          <w:w w:val="105"/>
          <w:sz w:val="18"/>
        </w:rPr>
        <w:t> </w:t>
      </w:r>
      <w:r>
        <w:rPr>
          <w:w w:val="105"/>
          <w:sz w:val="18"/>
        </w:rPr>
        <w:t>an</w:t>
      </w:r>
      <w:r>
        <w:rPr>
          <w:spacing w:val="8"/>
          <w:w w:val="105"/>
          <w:sz w:val="18"/>
        </w:rPr>
        <w:t> </w:t>
      </w:r>
      <w:r>
        <w:rPr>
          <w:w w:val="105"/>
          <w:sz w:val="18"/>
        </w:rPr>
        <w:t>NEO</w:t>
      </w:r>
      <w:r>
        <w:rPr>
          <w:spacing w:val="8"/>
          <w:w w:val="105"/>
          <w:sz w:val="18"/>
        </w:rPr>
        <w:t> </w:t>
      </w:r>
      <w:r>
        <w:rPr>
          <w:w w:val="105"/>
          <w:sz w:val="18"/>
        </w:rPr>
        <w:t>in</w:t>
      </w:r>
      <w:r>
        <w:rPr>
          <w:spacing w:val="8"/>
          <w:w w:val="105"/>
          <w:sz w:val="18"/>
        </w:rPr>
        <w:t> </w:t>
      </w:r>
      <w:r>
        <w:rPr>
          <w:w w:val="105"/>
          <w:sz w:val="18"/>
        </w:rPr>
        <w:t>fiscal</w:t>
      </w:r>
      <w:r>
        <w:rPr>
          <w:spacing w:val="8"/>
          <w:w w:val="105"/>
          <w:sz w:val="18"/>
        </w:rPr>
        <w:t> </w:t>
      </w:r>
      <w:r>
        <w:rPr>
          <w:w w:val="105"/>
          <w:sz w:val="18"/>
        </w:rPr>
        <w:t>year</w:t>
      </w:r>
      <w:r>
        <w:rPr>
          <w:spacing w:val="8"/>
          <w:w w:val="105"/>
          <w:sz w:val="18"/>
        </w:rPr>
        <w:t> </w:t>
      </w:r>
      <w:r>
        <w:rPr>
          <w:spacing w:val="-2"/>
          <w:w w:val="105"/>
          <w:sz w:val="18"/>
        </w:rPr>
        <w:t>2021.</w:t>
      </w:r>
    </w:p>
    <w:p>
      <w:pPr>
        <w:pStyle w:val="BodyText"/>
        <w:spacing w:before="2"/>
        <w:rPr>
          <w:sz w:val="11"/>
        </w:rPr>
      </w:pPr>
    </w:p>
    <w:p>
      <w:pPr>
        <w:pStyle w:val="Heading2"/>
        <w:spacing w:before="98"/>
      </w:pPr>
      <w:r>
        <w:rPr>
          <w:spacing w:val="-2"/>
        </w:rPr>
        <w:t>Grants</w:t>
      </w:r>
      <w:r>
        <w:rPr>
          <w:spacing w:val="-1"/>
        </w:rPr>
        <w:t> </w:t>
      </w:r>
      <w:r>
        <w:rPr>
          <w:spacing w:val="-2"/>
        </w:rPr>
        <w:t>of</w:t>
      </w:r>
      <w:r>
        <w:rPr>
          <w:spacing w:val="-1"/>
        </w:rPr>
        <w:t> </w:t>
      </w:r>
      <w:r>
        <w:rPr>
          <w:spacing w:val="-2"/>
        </w:rPr>
        <w:t>Plan-Based</w:t>
      </w:r>
      <w:r>
        <w:rPr>
          <w:spacing w:val="-14"/>
        </w:rPr>
        <w:t> </w:t>
      </w:r>
      <w:r>
        <w:rPr>
          <w:spacing w:val="-2"/>
        </w:rPr>
        <w:t>Awards</w:t>
      </w:r>
      <w:r>
        <w:rPr/>
        <w:t> </w:t>
      </w:r>
      <w:r>
        <w:rPr>
          <w:spacing w:val="-2"/>
        </w:rPr>
        <w:t>for</w:t>
      </w:r>
      <w:r>
        <w:rPr>
          <w:spacing w:val="-6"/>
        </w:rPr>
        <w:t> </w:t>
      </w:r>
      <w:r>
        <w:rPr>
          <w:spacing w:val="-4"/>
        </w:rPr>
        <w:t>2022</w:t>
      </w:r>
    </w:p>
    <w:p>
      <w:pPr>
        <w:pStyle w:val="BodyText"/>
        <w:spacing w:line="242" w:lineRule="auto" w:before="170"/>
        <w:ind w:left="1400" w:right="1551" w:firstLine="372"/>
      </w:pPr>
      <w:r>
        <w:rPr>
          <w:w w:val="105"/>
        </w:rPr>
        <w:t>The following table provides information on plan-based awards made in fiscal year 2022 to each of our</w:t>
      </w:r>
      <w:r>
        <w:rPr>
          <w:spacing w:val="40"/>
          <w:w w:val="105"/>
        </w:rPr>
        <w:t> </w:t>
      </w:r>
      <w:r>
        <w:rPr>
          <w:spacing w:val="-2"/>
          <w:w w:val="105"/>
        </w:rPr>
        <w:t>NEOs:</w:t>
      </w:r>
    </w:p>
    <w:p>
      <w:pPr>
        <w:spacing w:after="0" w:line="242" w:lineRule="auto"/>
        <w:sectPr>
          <w:headerReference w:type="default" r:id="rId141"/>
          <w:footerReference w:type="default" r:id="rId142"/>
          <w:pgSz w:w="12240" w:h="15840"/>
          <w:pgMar w:header="529" w:footer="1218" w:top="720" w:bottom="1400" w:left="480" w:right="460"/>
        </w:sectPr>
      </w:pPr>
    </w:p>
    <w:p>
      <w:pPr>
        <w:pStyle w:val="BodyText"/>
        <w:rPr>
          <w:sz w:val="16"/>
        </w:rPr>
      </w:pPr>
    </w:p>
    <w:p>
      <w:pPr>
        <w:pStyle w:val="BodyText"/>
        <w:rPr>
          <w:sz w:val="16"/>
        </w:rPr>
      </w:pPr>
    </w:p>
    <w:p>
      <w:pPr>
        <w:pStyle w:val="BodyText"/>
        <w:rPr>
          <w:sz w:val="16"/>
        </w:rPr>
      </w:pPr>
    </w:p>
    <w:p>
      <w:pPr>
        <w:pStyle w:val="BodyText"/>
        <w:spacing w:before="11"/>
        <w:rPr>
          <w:sz w:val="16"/>
        </w:rPr>
      </w:pPr>
    </w:p>
    <w:p>
      <w:pPr>
        <w:spacing w:line="232" w:lineRule="auto" w:before="0"/>
        <w:ind w:left="4650" w:right="0" w:firstLine="51"/>
        <w:jc w:val="left"/>
        <w:rPr>
          <w:b/>
          <w:sz w:val="15"/>
        </w:rPr>
      </w:pPr>
      <w:r>
        <w:rPr/>
        <w:pict>
          <v:shape style="position:absolute;margin-left:91.506287pt;margin-top:14.131827pt;width:430pt;height:214.85pt;mso-position-horizontal-relative:page;mso-position-vertical-relative:paragraph;z-index:15780352" type="#_x0000_t202" id="docshape35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5"/>
                    <w:gridCol w:w="112"/>
                    <w:gridCol w:w="881"/>
                    <w:gridCol w:w="741"/>
                    <w:gridCol w:w="112"/>
                    <w:gridCol w:w="643"/>
                    <w:gridCol w:w="112"/>
                    <w:gridCol w:w="828"/>
                    <w:gridCol w:w="640"/>
                    <w:gridCol w:w="107"/>
                    <w:gridCol w:w="690"/>
                    <w:gridCol w:w="112"/>
                    <w:gridCol w:w="531"/>
                    <w:gridCol w:w="107"/>
                    <w:gridCol w:w="810"/>
                  </w:tblGrid>
                  <w:tr>
                    <w:trPr>
                      <w:trHeight w:val="156" w:hRule="atLeast"/>
                    </w:trPr>
                    <w:tc>
                      <w:tcPr>
                        <w:tcW w:w="2287" w:type="dxa"/>
                        <w:gridSpan w:val="2"/>
                      </w:tcPr>
                      <w:p>
                        <w:pPr>
                          <w:pStyle w:val="TableParagraph"/>
                          <w:rPr>
                            <w:sz w:val="10"/>
                          </w:rPr>
                        </w:pPr>
                      </w:p>
                    </w:tc>
                    <w:tc>
                      <w:tcPr>
                        <w:tcW w:w="881" w:type="dxa"/>
                      </w:tcPr>
                      <w:p>
                        <w:pPr>
                          <w:pStyle w:val="TableParagraph"/>
                          <w:spacing w:line="136" w:lineRule="exact"/>
                          <w:ind w:left="198"/>
                          <w:rPr>
                            <w:b/>
                            <w:sz w:val="15"/>
                          </w:rPr>
                        </w:pPr>
                        <w:r>
                          <w:rPr>
                            <w:b/>
                            <w:spacing w:val="-2"/>
                            <w:sz w:val="15"/>
                          </w:rPr>
                          <w:t>Grant</w:t>
                        </w:r>
                      </w:p>
                    </w:tc>
                    <w:tc>
                      <w:tcPr>
                        <w:tcW w:w="741" w:type="dxa"/>
                      </w:tcPr>
                      <w:p>
                        <w:pPr>
                          <w:pStyle w:val="TableParagraph"/>
                          <w:rPr>
                            <w:sz w:val="10"/>
                          </w:rPr>
                        </w:pPr>
                      </w:p>
                    </w:tc>
                    <w:tc>
                      <w:tcPr>
                        <w:tcW w:w="112" w:type="dxa"/>
                      </w:tcPr>
                      <w:p>
                        <w:pPr>
                          <w:pStyle w:val="TableParagraph"/>
                          <w:rPr>
                            <w:sz w:val="10"/>
                          </w:rPr>
                        </w:pPr>
                      </w:p>
                    </w:tc>
                    <w:tc>
                      <w:tcPr>
                        <w:tcW w:w="643" w:type="dxa"/>
                      </w:tcPr>
                      <w:p>
                        <w:pPr>
                          <w:pStyle w:val="TableParagraph"/>
                          <w:rPr>
                            <w:sz w:val="10"/>
                          </w:rPr>
                        </w:pPr>
                      </w:p>
                    </w:tc>
                    <w:tc>
                      <w:tcPr>
                        <w:tcW w:w="112" w:type="dxa"/>
                      </w:tcPr>
                      <w:p>
                        <w:pPr>
                          <w:pStyle w:val="TableParagraph"/>
                          <w:rPr>
                            <w:sz w:val="10"/>
                          </w:rPr>
                        </w:pPr>
                      </w:p>
                    </w:tc>
                    <w:tc>
                      <w:tcPr>
                        <w:tcW w:w="828" w:type="dxa"/>
                      </w:tcPr>
                      <w:p>
                        <w:pPr>
                          <w:pStyle w:val="TableParagraph"/>
                          <w:rPr>
                            <w:sz w:val="10"/>
                          </w:rPr>
                        </w:pPr>
                      </w:p>
                    </w:tc>
                    <w:tc>
                      <w:tcPr>
                        <w:tcW w:w="640" w:type="dxa"/>
                      </w:tcPr>
                      <w:p>
                        <w:pPr>
                          <w:pStyle w:val="TableParagraph"/>
                          <w:spacing w:line="136" w:lineRule="exact"/>
                          <w:ind w:right="9"/>
                          <w:jc w:val="right"/>
                          <w:rPr>
                            <w:b/>
                            <w:sz w:val="15"/>
                          </w:rPr>
                        </w:pPr>
                        <w:r>
                          <w:rPr>
                            <w:b/>
                            <w:spacing w:val="-5"/>
                            <w:sz w:val="15"/>
                          </w:rPr>
                          <w:t>Shares</w:t>
                        </w:r>
                        <w:r>
                          <w:rPr>
                            <w:b/>
                            <w:sz w:val="15"/>
                          </w:rPr>
                          <w:t> </w:t>
                        </w:r>
                        <w:r>
                          <w:rPr>
                            <w:b/>
                            <w:spacing w:val="-5"/>
                            <w:sz w:val="15"/>
                          </w:rPr>
                          <w:t>of</w:t>
                        </w:r>
                      </w:p>
                    </w:tc>
                    <w:tc>
                      <w:tcPr>
                        <w:tcW w:w="107" w:type="dxa"/>
                      </w:tcPr>
                      <w:p>
                        <w:pPr>
                          <w:pStyle w:val="TableParagraph"/>
                          <w:rPr>
                            <w:sz w:val="10"/>
                          </w:rPr>
                        </w:pPr>
                      </w:p>
                    </w:tc>
                    <w:tc>
                      <w:tcPr>
                        <w:tcW w:w="690" w:type="dxa"/>
                      </w:tcPr>
                      <w:p>
                        <w:pPr>
                          <w:pStyle w:val="TableParagraph"/>
                          <w:spacing w:line="136" w:lineRule="exact"/>
                          <w:ind w:right="-15"/>
                          <w:jc w:val="right"/>
                          <w:rPr>
                            <w:b/>
                            <w:sz w:val="15"/>
                          </w:rPr>
                        </w:pPr>
                        <w:r>
                          <w:rPr>
                            <w:b/>
                            <w:spacing w:val="-4"/>
                            <w:sz w:val="15"/>
                          </w:rPr>
                          <w:t>Underlying</w:t>
                        </w:r>
                      </w:p>
                    </w:tc>
                    <w:tc>
                      <w:tcPr>
                        <w:tcW w:w="112" w:type="dxa"/>
                      </w:tcPr>
                      <w:p>
                        <w:pPr>
                          <w:pStyle w:val="TableParagraph"/>
                          <w:rPr>
                            <w:sz w:val="10"/>
                          </w:rPr>
                        </w:pPr>
                      </w:p>
                    </w:tc>
                    <w:tc>
                      <w:tcPr>
                        <w:tcW w:w="531" w:type="dxa"/>
                      </w:tcPr>
                      <w:p>
                        <w:pPr>
                          <w:pStyle w:val="TableParagraph"/>
                          <w:spacing w:line="136" w:lineRule="exact"/>
                          <w:ind w:right="48"/>
                          <w:jc w:val="right"/>
                          <w:rPr>
                            <w:b/>
                            <w:sz w:val="15"/>
                          </w:rPr>
                        </w:pPr>
                        <w:r>
                          <w:rPr>
                            <w:b/>
                            <w:spacing w:val="-2"/>
                            <w:sz w:val="15"/>
                          </w:rPr>
                          <w:t>Option</w:t>
                        </w:r>
                      </w:p>
                    </w:tc>
                    <w:tc>
                      <w:tcPr>
                        <w:tcW w:w="107" w:type="dxa"/>
                      </w:tcPr>
                      <w:p>
                        <w:pPr>
                          <w:pStyle w:val="TableParagraph"/>
                          <w:rPr>
                            <w:sz w:val="10"/>
                          </w:rPr>
                        </w:pPr>
                      </w:p>
                    </w:tc>
                    <w:tc>
                      <w:tcPr>
                        <w:tcW w:w="810" w:type="dxa"/>
                      </w:tcPr>
                      <w:p>
                        <w:pPr>
                          <w:pStyle w:val="TableParagraph"/>
                          <w:spacing w:line="136" w:lineRule="exact"/>
                          <w:ind w:left="163"/>
                          <w:rPr>
                            <w:b/>
                            <w:sz w:val="15"/>
                          </w:rPr>
                        </w:pPr>
                        <w:r>
                          <w:rPr>
                            <w:b/>
                            <w:spacing w:val="-2"/>
                            <w:sz w:val="15"/>
                          </w:rPr>
                          <w:t>Option</w:t>
                        </w:r>
                      </w:p>
                    </w:tc>
                  </w:tr>
                  <w:tr>
                    <w:trPr>
                      <w:trHeight w:val="227" w:hRule="atLeast"/>
                    </w:trPr>
                    <w:tc>
                      <w:tcPr>
                        <w:tcW w:w="2175" w:type="dxa"/>
                        <w:tcBorders>
                          <w:bottom w:val="single" w:sz="6" w:space="0" w:color="000000"/>
                        </w:tcBorders>
                      </w:tcPr>
                      <w:p>
                        <w:pPr>
                          <w:pStyle w:val="TableParagraph"/>
                          <w:spacing w:before="4"/>
                          <w:ind w:left="50"/>
                          <w:rPr>
                            <w:b/>
                            <w:sz w:val="15"/>
                          </w:rPr>
                        </w:pPr>
                        <w:r>
                          <w:rPr>
                            <w:b/>
                            <w:spacing w:val="-4"/>
                            <w:sz w:val="15"/>
                          </w:rPr>
                          <w:t>Name</w:t>
                        </w:r>
                      </w:p>
                    </w:tc>
                    <w:tc>
                      <w:tcPr>
                        <w:tcW w:w="112" w:type="dxa"/>
                      </w:tcPr>
                      <w:p>
                        <w:pPr>
                          <w:pStyle w:val="TableParagraph"/>
                          <w:rPr>
                            <w:sz w:val="16"/>
                          </w:rPr>
                        </w:pPr>
                      </w:p>
                    </w:tc>
                    <w:tc>
                      <w:tcPr>
                        <w:tcW w:w="881" w:type="dxa"/>
                        <w:tcBorders>
                          <w:bottom w:val="single" w:sz="6" w:space="0" w:color="000000"/>
                        </w:tcBorders>
                      </w:tcPr>
                      <w:p>
                        <w:pPr>
                          <w:pStyle w:val="TableParagraph"/>
                          <w:spacing w:before="4"/>
                          <w:ind w:left="243"/>
                          <w:rPr>
                            <w:b/>
                            <w:sz w:val="15"/>
                          </w:rPr>
                        </w:pPr>
                        <w:r>
                          <w:rPr>
                            <w:b/>
                            <w:spacing w:val="-4"/>
                            <w:sz w:val="15"/>
                          </w:rPr>
                          <w:t>Date</w:t>
                        </w:r>
                      </w:p>
                    </w:tc>
                    <w:tc>
                      <w:tcPr>
                        <w:tcW w:w="741" w:type="dxa"/>
                        <w:tcBorders>
                          <w:bottom w:val="single" w:sz="6" w:space="0" w:color="000000"/>
                        </w:tcBorders>
                      </w:tcPr>
                      <w:p>
                        <w:pPr>
                          <w:pStyle w:val="TableParagraph"/>
                          <w:spacing w:before="4"/>
                          <w:ind w:right="1"/>
                          <w:jc w:val="right"/>
                          <w:rPr>
                            <w:b/>
                            <w:sz w:val="15"/>
                          </w:rPr>
                        </w:pPr>
                        <w:r>
                          <w:rPr>
                            <w:b/>
                            <w:spacing w:val="-5"/>
                            <w:sz w:val="15"/>
                          </w:rPr>
                          <w:t>Threshold</w:t>
                        </w:r>
                        <w:r>
                          <w:rPr>
                            <w:b/>
                            <w:spacing w:val="-5"/>
                            <w:sz w:val="15"/>
                            <w:vertAlign w:val="superscript"/>
                          </w:rPr>
                          <w:t>(1)</w:t>
                        </w:r>
                      </w:p>
                    </w:tc>
                    <w:tc>
                      <w:tcPr>
                        <w:tcW w:w="112" w:type="dxa"/>
                      </w:tcPr>
                      <w:p>
                        <w:pPr>
                          <w:pStyle w:val="TableParagraph"/>
                          <w:rPr>
                            <w:sz w:val="16"/>
                          </w:rPr>
                        </w:pPr>
                      </w:p>
                    </w:tc>
                    <w:tc>
                      <w:tcPr>
                        <w:tcW w:w="643" w:type="dxa"/>
                        <w:tcBorders>
                          <w:bottom w:val="single" w:sz="6" w:space="0" w:color="000000"/>
                        </w:tcBorders>
                      </w:tcPr>
                      <w:p>
                        <w:pPr>
                          <w:pStyle w:val="TableParagraph"/>
                          <w:spacing w:before="4"/>
                          <w:ind w:left="71"/>
                          <w:rPr>
                            <w:b/>
                            <w:sz w:val="15"/>
                          </w:rPr>
                        </w:pPr>
                        <w:r>
                          <w:rPr>
                            <w:b/>
                            <w:spacing w:val="-2"/>
                            <w:sz w:val="15"/>
                          </w:rPr>
                          <w:t>Target</w:t>
                        </w:r>
                        <w:r>
                          <w:rPr>
                            <w:b/>
                            <w:spacing w:val="-2"/>
                            <w:sz w:val="15"/>
                            <w:vertAlign w:val="superscript"/>
                          </w:rPr>
                          <w:t>(1)</w:t>
                        </w:r>
                      </w:p>
                    </w:tc>
                    <w:tc>
                      <w:tcPr>
                        <w:tcW w:w="112" w:type="dxa"/>
                      </w:tcPr>
                      <w:p>
                        <w:pPr>
                          <w:pStyle w:val="TableParagraph"/>
                          <w:rPr>
                            <w:sz w:val="16"/>
                          </w:rPr>
                        </w:pPr>
                      </w:p>
                    </w:tc>
                    <w:tc>
                      <w:tcPr>
                        <w:tcW w:w="828" w:type="dxa"/>
                        <w:tcBorders>
                          <w:bottom w:val="single" w:sz="6" w:space="0" w:color="000000"/>
                        </w:tcBorders>
                      </w:tcPr>
                      <w:p>
                        <w:pPr>
                          <w:pStyle w:val="TableParagraph"/>
                          <w:spacing w:before="4"/>
                          <w:ind w:right="68"/>
                          <w:jc w:val="right"/>
                          <w:rPr>
                            <w:b/>
                            <w:sz w:val="15"/>
                          </w:rPr>
                        </w:pPr>
                        <w:r>
                          <w:rPr>
                            <w:b/>
                            <w:spacing w:val="-5"/>
                            <w:sz w:val="15"/>
                          </w:rPr>
                          <w:t>Maximum</w:t>
                        </w:r>
                        <w:r>
                          <w:rPr>
                            <w:b/>
                            <w:spacing w:val="-5"/>
                            <w:sz w:val="15"/>
                            <w:vertAlign w:val="superscript"/>
                          </w:rPr>
                          <w:t>(1)</w:t>
                        </w:r>
                      </w:p>
                    </w:tc>
                    <w:tc>
                      <w:tcPr>
                        <w:tcW w:w="640" w:type="dxa"/>
                        <w:tcBorders>
                          <w:bottom w:val="single" w:sz="6" w:space="0" w:color="000000"/>
                        </w:tcBorders>
                      </w:tcPr>
                      <w:p>
                        <w:pPr>
                          <w:pStyle w:val="TableParagraph"/>
                          <w:spacing w:before="4"/>
                          <w:ind w:right="68"/>
                          <w:jc w:val="right"/>
                          <w:rPr>
                            <w:b/>
                            <w:sz w:val="15"/>
                          </w:rPr>
                        </w:pPr>
                        <w:r>
                          <w:rPr>
                            <w:b/>
                            <w:spacing w:val="-2"/>
                            <w:sz w:val="15"/>
                          </w:rPr>
                          <w:t>RSUs</w:t>
                        </w:r>
                        <w:r>
                          <w:rPr>
                            <w:b/>
                            <w:spacing w:val="-2"/>
                            <w:sz w:val="15"/>
                            <w:vertAlign w:val="superscript"/>
                          </w:rPr>
                          <w:t>(2)</w:t>
                        </w:r>
                      </w:p>
                    </w:tc>
                    <w:tc>
                      <w:tcPr>
                        <w:tcW w:w="107" w:type="dxa"/>
                      </w:tcPr>
                      <w:p>
                        <w:pPr>
                          <w:pStyle w:val="TableParagraph"/>
                          <w:rPr>
                            <w:sz w:val="16"/>
                          </w:rPr>
                        </w:pPr>
                      </w:p>
                    </w:tc>
                    <w:tc>
                      <w:tcPr>
                        <w:tcW w:w="690" w:type="dxa"/>
                        <w:tcBorders>
                          <w:bottom w:val="single" w:sz="6" w:space="0" w:color="000000"/>
                        </w:tcBorders>
                      </w:tcPr>
                      <w:p>
                        <w:pPr>
                          <w:pStyle w:val="TableParagraph"/>
                          <w:spacing w:before="4"/>
                          <w:ind w:right="48"/>
                          <w:jc w:val="right"/>
                          <w:rPr>
                            <w:b/>
                            <w:sz w:val="15"/>
                          </w:rPr>
                        </w:pPr>
                        <w:r>
                          <w:rPr>
                            <w:b/>
                            <w:spacing w:val="-2"/>
                            <w:sz w:val="15"/>
                          </w:rPr>
                          <w:t>Options</w:t>
                        </w:r>
                        <w:r>
                          <w:rPr>
                            <w:b/>
                            <w:spacing w:val="-2"/>
                            <w:sz w:val="15"/>
                            <w:vertAlign w:val="superscript"/>
                          </w:rPr>
                          <w:t>(3)</w:t>
                        </w:r>
                      </w:p>
                    </w:tc>
                    <w:tc>
                      <w:tcPr>
                        <w:tcW w:w="112" w:type="dxa"/>
                      </w:tcPr>
                      <w:p>
                        <w:pPr>
                          <w:pStyle w:val="TableParagraph"/>
                          <w:rPr>
                            <w:sz w:val="16"/>
                          </w:rPr>
                        </w:pPr>
                      </w:p>
                    </w:tc>
                    <w:tc>
                      <w:tcPr>
                        <w:tcW w:w="531" w:type="dxa"/>
                        <w:tcBorders>
                          <w:bottom w:val="single" w:sz="6" w:space="0" w:color="000000"/>
                        </w:tcBorders>
                      </w:tcPr>
                      <w:p>
                        <w:pPr>
                          <w:pStyle w:val="TableParagraph"/>
                          <w:spacing w:before="4"/>
                          <w:ind w:right="29"/>
                          <w:jc w:val="right"/>
                          <w:rPr>
                            <w:b/>
                            <w:sz w:val="15"/>
                          </w:rPr>
                        </w:pPr>
                        <w:r>
                          <w:rPr>
                            <w:b/>
                            <w:spacing w:val="-2"/>
                            <w:sz w:val="15"/>
                          </w:rPr>
                          <w:t>Awards</w:t>
                        </w:r>
                      </w:p>
                    </w:tc>
                    <w:tc>
                      <w:tcPr>
                        <w:tcW w:w="107" w:type="dxa"/>
                      </w:tcPr>
                      <w:p>
                        <w:pPr>
                          <w:pStyle w:val="TableParagraph"/>
                          <w:rPr>
                            <w:sz w:val="16"/>
                          </w:rPr>
                        </w:pPr>
                      </w:p>
                    </w:tc>
                    <w:tc>
                      <w:tcPr>
                        <w:tcW w:w="810" w:type="dxa"/>
                        <w:tcBorders>
                          <w:bottom w:val="single" w:sz="6" w:space="0" w:color="000000"/>
                        </w:tcBorders>
                      </w:tcPr>
                      <w:p>
                        <w:pPr>
                          <w:pStyle w:val="TableParagraph"/>
                          <w:spacing w:before="4"/>
                          <w:ind w:left="93"/>
                          <w:rPr>
                            <w:b/>
                            <w:sz w:val="15"/>
                          </w:rPr>
                        </w:pPr>
                        <w:r>
                          <w:rPr>
                            <w:b/>
                            <w:spacing w:val="-2"/>
                            <w:sz w:val="15"/>
                          </w:rPr>
                          <w:t>Awards</w:t>
                        </w:r>
                        <w:r>
                          <w:rPr>
                            <w:b/>
                            <w:spacing w:val="-2"/>
                            <w:sz w:val="15"/>
                            <w:vertAlign w:val="superscript"/>
                          </w:rPr>
                          <w:t>(4)</w:t>
                        </w:r>
                      </w:p>
                    </w:tc>
                  </w:tr>
                  <w:tr>
                    <w:trPr>
                      <w:trHeight w:val="278" w:hRule="atLeast"/>
                    </w:trPr>
                    <w:tc>
                      <w:tcPr>
                        <w:tcW w:w="2175" w:type="dxa"/>
                        <w:tcBorders>
                          <w:top w:val="single" w:sz="6" w:space="0" w:color="000000"/>
                        </w:tcBorders>
                      </w:tcPr>
                      <w:p>
                        <w:pPr>
                          <w:pStyle w:val="TableParagraph"/>
                          <w:spacing w:before="60"/>
                          <w:ind w:left="50"/>
                          <w:rPr>
                            <w:sz w:val="16"/>
                          </w:rPr>
                        </w:pPr>
                        <w:r>
                          <w:rPr>
                            <w:w w:val="105"/>
                            <w:sz w:val="16"/>
                          </w:rPr>
                          <w:t>Sunny</w:t>
                        </w:r>
                        <w:r>
                          <w:rPr>
                            <w:spacing w:val="10"/>
                            <w:w w:val="105"/>
                            <w:sz w:val="16"/>
                          </w:rPr>
                          <w:t> </w:t>
                        </w:r>
                        <w:r>
                          <w:rPr>
                            <w:w w:val="105"/>
                            <w:sz w:val="16"/>
                          </w:rPr>
                          <w:t>S.</w:t>
                        </w:r>
                        <w:r>
                          <w:rPr>
                            <w:spacing w:val="11"/>
                            <w:w w:val="105"/>
                            <w:sz w:val="16"/>
                          </w:rPr>
                          <w:t> </w:t>
                        </w:r>
                        <w:r>
                          <w:rPr>
                            <w:spacing w:val="-2"/>
                            <w:w w:val="105"/>
                            <w:sz w:val="16"/>
                          </w:rPr>
                          <w:t>Sanyal</w:t>
                        </w:r>
                      </w:p>
                    </w:tc>
                    <w:tc>
                      <w:tcPr>
                        <w:tcW w:w="112" w:type="dxa"/>
                      </w:tcPr>
                      <w:p>
                        <w:pPr>
                          <w:pStyle w:val="TableParagraph"/>
                          <w:rPr>
                            <w:sz w:val="16"/>
                          </w:rPr>
                        </w:pPr>
                      </w:p>
                    </w:tc>
                    <w:tc>
                      <w:tcPr>
                        <w:tcW w:w="881" w:type="dxa"/>
                        <w:tcBorders>
                          <w:top w:val="single" w:sz="6" w:space="0" w:color="000000"/>
                        </w:tcBorders>
                      </w:tcPr>
                      <w:p>
                        <w:pPr>
                          <w:pStyle w:val="TableParagraph"/>
                          <w:spacing w:before="60"/>
                          <w:ind w:right="108"/>
                          <w:jc w:val="right"/>
                          <w:rPr>
                            <w:sz w:val="16"/>
                          </w:rPr>
                        </w:pPr>
                        <w:r>
                          <w:rPr>
                            <w:w w:val="104"/>
                            <w:sz w:val="16"/>
                          </w:rPr>
                          <w:t>—</w:t>
                        </w:r>
                      </w:p>
                    </w:tc>
                    <w:tc>
                      <w:tcPr>
                        <w:tcW w:w="741" w:type="dxa"/>
                        <w:tcBorders>
                          <w:top w:val="single" w:sz="6" w:space="0" w:color="000000"/>
                        </w:tcBorders>
                      </w:tcPr>
                      <w:p>
                        <w:pPr>
                          <w:pStyle w:val="TableParagraph"/>
                          <w:spacing w:before="60"/>
                          <w:ind w:right="48"/>
                          <w:jc w:val="right"/>
                          <w:rPr>
                            <w:sz w:val="16"/>
                          </w:rPr>
                        </w:pPr>
                        <w:r>
                          <w:rPr>
                            <w:spacing w:val="-2"/>
                            <w:w w:val="105"/>
                            <w:sz w:val="16"/>
                          </w:rPr>
                          <w:t>$221,400</w:t>
                        </w:r>
                      </w:p>
                    </w:tc>
                    <w:tc>
                      <w:tcPr>
                        <w:tcW w:w="112" w:type="dxa"/>
                      </w:tcPr>
                      <w:p>
                        <w:pPr>
                          <w:pStyle w:val="TableParagraph"/>
                          <w:rPr>
                            <w:sz w:val="16"/>
                          </w:rPr>
                        </w:pPr>
                      </w:p>
                    </w:tc>
                    <w:tc>
                      <w:tcPr>
                        <w:tcW w:w="643" w:type="dxa"/>
                        <w:tcBorders>
                          <w:top w:val="single" w:sz="6" w:space="0" w:color="000000"/>
                        </w:tcBorders>
                      </w:tcPr>
                      <w:p>
                        <w:pPr>
                          <w:pStyle w:val="TableParagraph"/>
                          <w:spacing w:before="60"/>
                          <w:ind w:right="2"/>
                          <w:jc w:val="right"/>
                          <w:rPr>
                            <w:sz w:val="16"/>
                          </w:rPr>
                        </w:pPr>
                        <w:r>
                          <w:rPr>
                            <w:spacing w:val="-2"/>
                            <w:w w:val="105"/>
                            <w:sz w:val="16"/>
                          </w:rPr>
                          <w:t>$738,000</w:t>
                        </w:r>
                      </w:p>
                    </w:tc>
                    <w:tc>
                      <w:tcPr>
                        <w:tcW w:w="112" w:type="dxa"/>
                      </w:tcPr>
                      <w:p>
                        <w:pPr>
                          <w:pStyle w:val="TableParagraph"/>
                          <w:rPr>
                            <w:sz w:val="16"/>
                          </w:rPr>
                        </w:pPr>
                      </w:p>
                    </w:tc>
                    <w:tc>
                      <w:tcPr>
                        <w:tcW w:w="828" w:type="dxa"/>
                        <w:tcBorders>
                          <w:top w:val="single" w:sz="6" w:space="0" w:color="000000"/>
                        </w:tcBorders>
                      </w:tcPr>
                      <w:p>
                        <w:pPr>
                          <w:pStyle w:val="TableParagraph"/>
                          <w:spacing w:before="60"/>
                          <w:ind w:right="62"/>
                          <w:jc w:val="right"/>
                          <w:rPr>
                            <w:sz w:val="16"/>
                          </w:rPr>
                        </w:pPr>
                        <w:r>
                          <w:rPr>
                            <w:spacing w:val="-2"/>
                            <w:w w:val="105"/>
                            <w:sz w:val="16"/>
                          </w:rPr>
                          <w:t>$1,476,000</w:t>
                        </w:r>
                      </w:p>
                    </w:tc>
                    <w:tc>
                      <w:tcPr>
                        <w:tcW w:w="640" w:type="dxa"/>
                        <w:tcBorders>
                          <w:top w:val="single" w:sz="6" w:space="0" w:color="000000"/>
                        </w:tcBorders>
                      </w:tcPr>
                      <w:p>
                        <w:pPr>
                          <w:pStyle w:val="TableParagraph"/>
                          <w:spacing w:before="60"/>
                          <w:ind w:right="61"/>
                          <w:jc w:val="right"/>
                          <w:rPr>
                            <w:sz w:val="16"/>
                          </w:rPr>
                        </w:pPr>
                        <w:r>
                          <w:rPr>
                            <w:w w:val="104"/>
                            <w:sz w:val="16"/>
                          </w:rPr>
                          <w:t>—</w:t>
                        </w:r>
                      </w:p>
                    </w:tc>
                    <w:tc>
                      <w:tcPr>
                        <w:tcW w:w="107" w:type="dxa"/>
                      </w:tcPr>
                      <w:p>
                        <w:pPr>
                          <w:pStyle w:val="TableParagraph"/>
                          <w:rPr>
                            <w:sz w:val="16"/>
                          </w:rPr>
                        </w:pPr>
                      </w:p>
                    </w:tc>
                    <w:tc>
                      <w:tcPr>
                        <w:tcW w:w="690" w:type="dxa"/>
                        <w:tcBorders>
                          <w:top w:val="single" w:sz="6" w:space="0" w:color="000000"/>
                        </w:tcBorders>
                      </w:tcPr>
                      <w:p>
                        <w:pPr>
                          <w:pStyle w:val="TableParagraph"/>
                          <w:spacing w:before="60"/>
                          <w:ind w:right="67"/>
                          <w:jc w:val="right"/>
                          <w:rPr>
                            <w:sz w:val="16"/>
                          </w:rPr>
                        </w:pPr>
                        <w:r>
                          <w:rPr>
                            <w:w w:val="104"/>
                            <w:sz w:val="16"/>
                          </w:rPr>
                          <w:t>—</w:t>
                        </w:r>
                      </w:p>
                    </w:tc>
                    <w:tc>
                      <w:tcPr>
                        <w:tcW w:w="112" w:type="dxa"/>
                      </w:tcPr>
                      <w:p>
                        <w:pPr>
                          <w:pStyle w:val="TableParagraph"/>
                          <w:rPr>
                            <w:sz w:val="16"/>
                          </w:rPr>
                        </w:pPr>
                      </w:p>
                    </w:tc>
                    <w:tc>
                      <w:tcPr>
                        <w:tcW w:w="531" w:type="dxa"/>
                        <w:tcBorders>
                          <w:top w:val="single" w:sz="6" w:space="0" w:color="000000"/>
                        </w:tcBorders>
                      </w:tcPr>
                      <w:p>
                        <w:pPr>
                          <w:pStyle w:val="TableParagraph"/>
                          <w:spacing w:before="60"/>
                          <w:ind w:right="33"/>
                          <w:jc w:val="right"/>
                          <w:rPr>
                            <w:sz w:val="16"/>
                          </w:rPr>
                        </w:pPr>
                        <w:r>
                          <w:rPr>
                            <w:w w:val="104"/>
                            <w:sz w:val="16"/>
                          </w:rPr>
                          <w:t>—</w:t>
                        </w:r>
                      </w:p>
                    </w:tc>
                    <w:tc>
                      <w:tcPr>
                        <w:tcW w:w="107" w:type="dxa"/>
                      </w:tcPr>
                      <w:p>
                        <w:pPr>
                          <w:pStyle w:val="TableParagraph"/>
                          <w:rPr>
                            <w:sz w:val="16"/>
                          </w:rPr>
                        </w:pPr>
                      </w:p>
                    </w:tc>
                    <w:tc>
                      <w:tcPr>
                        <w:tcW w:w="810" w:type="dxa"/>
                        <w:tcBorders>
                          <w:top w:val="single" w:sz="6" w:space="0" w:color="000000"/>
                        </w:tcBorders>
                      </w:tcPr>
                      <w:p>
                        <w:pPr>
                          <w:pStyle w:val="TableParagraph"/>
                          <w:spacing w:before="60"/>
                          <w:ind w:right="49"/>
                          <w:jc w:val="right"/>
                          <w:rPr>
                            <w:sz w:val="16"/>
                          </w:rPr>
                        </w:pPr>
                        <w:r>
                          <w:rPr>
                            <w:w w:val="104"/>
                            <w:sz w:val="16"/>
                          </w:rPr>
                          <w:t>—</w:t>
                        </w:r>
                      </w:p>
                    </w:tc>
                  </w:tr>
                  <w:tr>
                    <w:trPr>
                      <w:trHeight w:val="258" w:hRule="atLeast"/>
                    </w:trPr>
                    <w:tc>
                      <w:tcPr>
                        <w:tcW w:w="2175" w:type="dxa"/>
                      </w:tcPr>
                      <w:p>
                        <w:pPr>
                          <w:pStyle w:val="TableParagraph"/>
                          <w:rPr>
                            <w:sz w:val="16"/>
                          </w:rPr>
                        </w:pPr>
                      </w:p>
                    </w:tc>
                    <w:tc>
                      <w:tcPr>
                        <w:tcW w:w="112" w:type="dxa"/>
                      </w:tcPr>
                      <w:p>
                        <w:pPr>
                          <w:pStyle w:val="TableParagraph"/>
                          <w:rPr>
                            <w:sz w:val="16"/>
                          </w:rPr>
                        </w:pPr>
                      </w:p>
                    </w:tc>
                    <w:tc>
                      <w:tcPr>
                        <w:tcW w:w="881" w:type="dxa"/>
                      </w:tcPr>
                      <w:p>
                        <w:pPr>
                          <w:pStyle w:val="TableParagraph"/>
                          <w:spacing w:before="33"/>
                          <w:ind w:right="108"/>
                          <w:jc w:val="right"/>
                          <w:rPr>
                            <w:sz w:val="16"/>
                          </w:rPr>
                        </w:pPr>
                        <w:r>
                          <w:rPr>
                            <w:spacing w:val="-2"/>
                            <w:w w:val="105"/>
                            <w:sz w:val="16"/>
                          </w:rPr>
                          <w:t>12/10/2021</w:t>
                        </w:r>
                      </w:p>
                    </w:tc>
                    <w:tc>
                      <w:tcPr>
                        <w:tcW w:w="741" w:type="dxa"/>
                      </w:tcPr>
                      <w:p>
                        <w:pPr>
                          <w:pStyle w:val="TableParagraph"/>
                          <w:spacing w:before="33"/>
                          <w:ind w:right="48"/>
                          <w:jc w:val="right"/>
                          <w:rPr>
                            <w:sz w:val="16"/>
                          </w:rPr>
                        </w:pPr>
                        <w:r>
                          <w:rPr>
                            <w:w w:val="104"/>
                            <w:sz w:val="16"/>
                          </w:rPr>
                          <w:t>—</w:t>
                        </w:r>
                      </w:p>
                    </w:tc>
                    <w:tc>
                      <w:tcPr>
                        <w:tcW w:w="112" w:type="dxa"/>
                      </w:tcPr>
                      <w:p>
                        <w:pPr>
                          <w:pStyle w:val="TableParagraph"/>
                          <w:rPr>
                            <w:sz w:val="16"/>
                          </w:rPr>
                        </w:pPr>
                      </w:p>
                    </w:tc>
                    <w:tc>
                      <w:tcPr>
                        <w:tcW w:w="643" w:type="dxa"/>
                      </w:tcPr>
                      <w:p>
                        <w:pPr>
                          <w:pStyle w:val="TableParagraph"/>
                          <w:spacing w:before="33"/>
                          <w:ind w:right="2"/>
                          <w:jc w:val="right"/>
                          <w:rPr>
                            <w:sz w:val="16"/>
                          </w:rPr>
                        </w:pPr>
                        <w:r>
                          <w:rPr>
                            <w:w w:val="104"/>
                            <w:sz w:val="16"/>
                          </w:rPr>
                          <w:t>—</w:t>
                        </w:r>
                      </w:p>
                    </w:tc>
                    <w:tc>
                      <w:tcPr>
                        <w:tcW w:w="112" w:type="dxa"/>
                      </w:tcPr>
                      <w:p>
                        <w:pPr>
                          <w:pStyle w:val="TableParagraph"/>
                          <w:rPr>
                            <w:sz w:val="16"/>
                          </w:rPr>
                        </w:pPr>
                      </w:p>
                    </w:tc>
                    <w:tc>
                      <w:tcPr>
                        <w:tcW w:w="828" w:type="dxa"/>
                      </w:tcPr>
                      <w:p>
                        <w:pPr>
                          <w:pStyle w:val="TableParagraph"/>
                          <w:spacing w:before="33"/>
                          <w:ind w:right="62"/>
                          <w:jc w:val="right"/>
                          <w:rPr>
                            <w:sz w:val="16"/>
                          </w:rPr>
                        </w:pPr>
                        <w:r>
                          <w:rPr>
                            <w:w w:val="104"/>
                            <w:sz w:val="16"/>
                          </w:rPr>
                          <w:t>—</w:t>
                        </w:r>
                      </w:p>
                    </w:tc>
                    <w:tc>
                      <w:tcPr>
                        <w:tcW w:w="640" w:type="dxa"/>
                      </w:tcPr>
                      <w:p>
                        <w:pPr>
                          <w:pStyle w:val="TableParagraph"/>
                          <w:spacing w:before="33"/>
                          <w:ind w:right="61"/>
                          <w:jc w:val="right"/>
                          <w:rPr>
                            <w:sz w:val="16"/>
                          </w:rPr>
                        </w:pPr>
                        <w:r>
                          <w:rPr>
                            <w:spacing w:val="-2"/>
                            <w:w w:val="105"/>
                            <w:sz w:val="16"/>
                          </w:rPr>
                          <w:t>53,304</w:t>
                        </w:r>
                      </w:p>
                    </w:tc>
                    <w:tc>
                      <w:tcPr>
                        <w:tcW w:w="107" w:type="dxa"/>
                      </w:tcPr>
                      <w:p>
                        <w:pPr>
                          <w:pStyle w:val="TableParagraph"/>
                          <w:rPr>
                            <w:sz w:val="16"/>
                          </w:rPr>
                        </w:pPr>
                      </w:p>
                    </w:tc>
                    <w:tc>
                      <w:tcPr>
                        <w:tcW w:w="690" w:type="dxa"/>
                      </w:tcPr>
                      <w:p>
                        <w:pPr>
                          <w:pStyle w:val="TableParagraph"/>
                          <w:spacing w:before="33"/>
                          <w:ind w:right="67"/>
                          <w:jc w:val="right"/>
                          <w:rPr>
                            <w:sz w:val="16"/>
                          </w:rPr>
                        </w:pPr>
                        <w:r>
                          <w:rPr>
                            <w:w w:val="104"/>
                            <w:sz w:val="16"/>
                          </w:rPr>
                          <w:t>—</w:t>
                        </w:r>
                      </w:p>
                    </w:tc>
                    <w:tc>
                      <w:tcPr>
                        <w:tcW w:w="112" w:type="dxa"/>
                      </w:tcPr>
                      <w:p>
                        <w:pPr>
                          <w:pStyle w:val="TableParagraph"/>
                          <w:rPr>
                            <w:sz w:val="16"/>
                          </w:rPr>
                        </w:pPr>
                      </w:p>
                    </w:tc>
                    <w:tc>
                      <w:tcPr>
                        <w:tcW w:w="531" w:type="dxa"/>
                      </w:tcPr>
                      <w:p>
                        <w:pPr>
                          <w:pStyle w:val="TableParagraph"/>
                          <w:spacing w:before="33"/>
                          <w:ind w:right="33"/>
                          <w:jc w:val="right"/>
                          <w:rPr>
                            <w:sz w:val="16"/>
                          </w:rPr>
                        </w:pPr>
                        <w:r>
                          <w:rPr>
                            <w:w w:val="104"/>
                            <w:sz w:val="16"/>
                          </w:rPr>
                          <w:t>—</w:t>
                        </w:r>
                      </w:p>
                    </w:tc>
                    <w:tc>
                      <w:tcPr>
                        <w:tcW w:w="107" w:type="dxa"/>
                      </w:tcPr>
                      <w:p>
                        <w:pPr>
                          <w:pStyle w:val="TableParagraph"/>
                          <w:rPr>
                            <w:sz w:val="16"/>
                          </w:rPr>
                        </w:pPr>
                      </w:p>
                    </w:tc>
                    <w:tc>
                      <w:tcPr>
                        <w:tcW w:w="810" w:type="dxa"/>
                      </w:tcPr>
                      <w:p>
                        <w:pPr>
                          <w:pStyle w:val="TableParagraph"/>
                          <w:spacing w:before="33"/>
                          <w:ind w:right="49"/>
                          <w:jc w:val="right"/>
                          <w:rPr>
                            <w:sz w:val="16"/>
                          </w:rPr>
                        </w:pPr>
                        <w:r>
                          <w:rPr>
                            <w:spacing w:val="-2"/>
                            <w:w w:val="105"/>
                            <w:sz w:val="16"/>
                          </w:rPr>
                          <w:t>$1,499,975</w:t>
                        </w:r>
                      </w:p>
                    </w:tc>
                  </w:tr>
                  <w:tr>
                    <w:trPr>
                      <w:trHeight w:val="225" w:hRule="atLeast"/>
                    </w:trPr>
                    <w:tc>
                      <w:tcPr>
                        <w:tcW w:w="2175" w:type="dxa"/>
                      </w:tcPr>
                      <w:p>
                        <w:pPr>
                          <w:pStyle w:val="TableParagraph"/>
                          <w:rPr>
                            <w:sz w:val="16"/>
                          </w:rPr>
                        </w:pPr>
                      </w:p>
                    </w:tc>
                    <w:tc>
                      <w:tcPr>
                        <w:tcW w:w="112" w:type="dxa"/>
                      </w:tcPr>
                      <w:p>
                        <w:pPr>
                          <w:pStyle w:val="TableParagraph"/>
                          <w:rPr>
                            <w:sz w:val="16"/>
                          </w:rPr>
                        </w:pPr>
                      </w:p>
                    </w:tc>
                    <w:tc>
                      <w:tcPr>
                        <w:tcW w:w="881" w:type="dxa"/>
                      </w:tcPr>
                      <w:p>
                        <w:pPr>
                          <w:pStyle w:val="TableParagraph"/>
                          <w:spacing w:line="166" w:lineRule="exact" w:before="40"/>
                          <w:ind w:right="108"/>
                          <w:jc w:val="right"/>
                          <w:rPr>
                            <w:sz w:val="16"/>
                          </w:rPr>
                        </w:pPr>
                        <w:r>
                          <w:rPr>
                            <w:spacing w:val="-2"/>
                            <w:w w:val="105"/>
                            <w:sz w:val="16"/>
                          </w:rPr>
                          <w:t>12/10/2021</w:t>
                        </w:r>
                      </w:p>
                    </w:tc>
                    <w:tc>
                      <w:tcPr>
                        <w:tcW w:w="741" w:type="dxa"/>
                      </w:tcPr>
                      <w:p>
                        <w:pPr>
                          <w:pStyle w:val="TableParagraph"/>
                          <w:spacing w:line="166" w:lineRule="exact" w:before="40"/>
                          <w:ind w:right="48"/>
                          <w:jc w:val="right"/>
                          <w:rPr>
                            <w:sz w:val="16"/>
                          </w:rPr>
                        </w:pPr>
                        <w:r>
                          <w:rPr>
                            <w:w w:val="104"/>
                            <w:sz w:val="16"/>
                          </w:rPr>
                          <w:t>—</w:t>
                        </w:r>
                      </w:p>
                    </w:tc>
                    <w:tc>
                      <w:tcPr>
                        <w:tcW w:w="112" w:type="dxa"/>
                      </w:tcPr>
                      <w:p>
                        <w:pPr>
                          <w:pStyle w:val="TableParagraph"/>
                          <w:rPr>
                            <w:sz w:val="16"/>
                          </w:rPr>
                        </w:pPr>
                      </w:p>
                    </w:tc>
                    <w:tc>
                      <w:tcPr>
                        <w:tcW w:w="643" w:type="dxa"/>
                      </w:tcPr>
                      <w:p>
                        <w:pPr>
                          <w:pStyle w:val="TableParagraph"/>
                          <w:spacing w:line="166" w:lineRule="exact" w:before="40"/>
                          <w:ind w:right="2"/>
                          <w:jc w:val="right"/>
                          <w:rPr>
                            <w:sz w:val="16"/>
                          </w:rPr>
                        </w:pPr>
                        <w:r>
                          <w:rPr>
                            <w:w w:val="104"/>
                            <w:sz w:val="16"/>
                          </w:rPr>
                          <w:t>—</w:t>
                        </w:r>
                      </w:p>
                    </w:tc>
                    <w:tc>
                      <w:tcPr>
                        <w:tcW w:w="112" w:type="dxa"/>
                      </w:tcPr>
                      <w:p>
                        <w:pPr>
                          <w:pStyle w:val="TableParagraph"/>
                          <w:rPr>
                            <w:sz w:val="16"/>
                          </w:rPr>
                        </w:pPr>
                      </w:p>
                    </w:tc>
                    <w:tc>
                      <w:tcPr>
                        <w:tcW w:w="828" w:type="dxa"/>
                      </w:tcPr>
                      <w:p>
                        <w:pPr>
                          <w:pStyle w:val="TableParagraph"/>
                          <w:spacing w:line="166" w:lineRule="exact" w:before="40"/>
                          <w:ind w:right="62"/>
                          <w:jc w:val="right"/>
                          <w:rPr>
                            <w:sz w:val="16"/>
                          </w:rPr>
                        </w:pPr>
                        <w:r>
                          <w:rPr>
                            <w:w w:val="104"/>
                            <w:sz w:val="16"/>
                          </w:rPr>
                          <w:t>—</w:t>
                        </w:r>
                      </w:p>
                    </w:tc>
                    <w:tc>
                      <w:tcPr>
                        <w:tcW w:w="640" w:type="dxa"/>
                      </w:tcPr>
                      <w:p>
                        <w:pPr>
                          <w:pStyle w:val="TableParagraph"/>
                          <w:spacing w:line="166" w:lineRule="exact" w:before="40"/>
                          <w:ind w:right="61"/>
                          <w:jc w:val="right"/>
                          <w:rPr>
                            <w:sz w:val="16"/>
                          </w:rPr>
                        </w:pPr>
                        <w:r>
                          <w:rPr>
                            <w:w w:val="104"/>
                            <w:sz w:val="16"/>
                          </w:rPr>
                          <w:t>—</w:t>
                        </w:r>
                      </w:p>
                    </w:tc>
                    <w:tc>
                      <w:tcPr>
                        <w:tcW w:w="107" w:type="dxa"/>
                      </w:tcPr>
                      <w:p>
                        <w:pPr>
                          <w:pStyle w:val="TableParagraph"/>
                          <w:rPr>
                            <w:sz w:val="16"/>
                          </w:rPr>
                        </w:pPr>
                      </w:p>
                    </w:tc>
                    <w:tc>
                      <w:tcPr>
                        <w:tcW w:w="690" w:type="dxa"/>
                      </w:tcPr>
                      <w:p>
                        <w:pPr>
                          <w:pStyle w:val="TableParagraph"/>
                          <w:spacing w:line="166" w:lineRule="exact" w:before="40"/>
                          <w:ind w:right="67"/>
                          <w:jc w:val="right"/>
                          <w:rPr>
                            <w:sz w:val="16"/>
                          </w:rPr>
                        </w:pPr>
                        <w:r>
                          <w:rPr>
                            <w:spacing w:val="-2"/>
                            <w:w w:val="105"/>
                            <w:sz w:val="16"/>
                          </w:rPr>
                          <w:t>124,275</w:t>
                        </w:r>
                      </w:p>
                    </w:tc>
                    <w:tc>
                      <w:tcPr>
                        <w:tcW w:w="112" w:type="dxa"/>
                      </w:tcPr>
                      <w:p>
                        <w:pPr>
                          <w:pStyle w:val="TableParagraph"/>
                          <w:rPr>
                            <w:sz w:val="16"/>
                          </w:rPr>
                        </w:pPr>
                      </w:p>
                    </w:tc>
                    <w:tc>
                      <w:tcPr>
                        <w:tcW w:w="531" w:type="dxa"/>
                      </w:tcPr>
                      <w:p>
                        <w:pPr>
                          <w:pStyle w:val="TableParagraph"/>
                          <w:spacing w:line="166" w:lineRule="exact" w:before="40"/>
                          <w:ind w:right="33"/>
                          <w:jc w:val="right"/>
                          <w:rPr>
                            <w:sz w:val="16"/>
                          </w:rPr>
                        </w:pPr>
                        <w:r>
                          <w:rPr>
                            <w:spacing w:val="-2"/>
                            <w:w w:val="105"/>
                            <w:sz w:val="16"/>
                          </w:rPr>
                          <w:t>$30.95</w:t>
                        </w:r>
                      </w:p>
                    </w:tc>
                    <w:tc>
                      <w:tcPr>
                        <w:tcW w:w="107" w:type="dxa"/>
                      </w:tcPr>
                      <w:p>
                        <w:pPr>
                          <w:pStyle w:val="TableParagraph"/>
                          <w:rPr>
                            <w:sz w:val="16"/>
                          </w:rPr>
                        </w:pPr>
                      </w:p>
                    </w:tc>
                    <w:tc>
                      <w:tcPr>
                        <w:tcW w:w="810" w:type="dxa"/>
                      </w:tcPr>
                      <w:p>
                        <w:pPr>
                          <w:pStyle w:val="TableParagraph"/>
                          <w:spacing w:line="166" w:lineRule="exact" w:before="40"/>
                          <w:ind w:right="49"/>
                          <w:jc w:val="right"/>
                          <w:rPr>
                            <w:sz w:val="16"/>
                          </w:rPr>
                        </w:pPr>
                        <w:r>
                          <w:rPr>
                            <w:spacing w:val="-2"/>
                            <w:w w:val="105"/>
                            <w:sz w:val="16"/>
                          </w:rPr>
                          <w:t>$1,499,999</w:t>
                        </w:r>
                      </w:p>
                    </w:tc>
                  </w:tr>
                  <w:tr>
                    <w:trPr>
                      <w:trHeight w:val="265" w:hRule="atLeast"/>
                    </w:trPr>
                    <w:tc>
                      <w:tcPr>
                        <w:tcW w:w="2175" w:type="dxa"/>
                      </w:tcPr>
                      <w:p>
                        <w:pPr>
                          <w:pStyle w:val="TableParagraph"/>
                          <w:spacing w:line="166" w:lineRule="exact" w:before="80"/>
                          <w:ind w:left="50"/>
                          <w:rPr>
                            <w:sz w:val="16"/>
                          </w:rPr>
                        </w:pPr>
                        <w:r>
                          <w:rPr>
                            <w:w w:val="105"/>
                            <w:sz w:val="16"/>
                          </w:rPr>
                          <w:t>Shubham</w:t>
                        </w:r>
                        <w:r>
                          <w:rPr>
                            <w:spacing w:val="17"/>
                            <w:w w:val="105"/>
                            <w:sz w:val="16"/>
                          </w:rPr>
                          <w:t> </w:t>
                        </w:r>
                        <w:r>
                          <w:rPr>
                            <w:spacing w:val="-2"/>
                            <w:w w:val="105"/>
                            <w:sz w:val="16"/>
                          </w:rPr>
                          <w:t>Maheshwari</w:t>
                        </w:r>
                      </w:p>
                    </w:tc>
                    <w:tc>
                      <w:tcPr>
                        <w:tcW w:w="112" w:type="dxa"/>
                      </w:tcPr>
                      <w:p>
                        <w:pPr>
                          <w:pStyle w:val="TableParagraph"/>
                          <w:spacing w:line="166" w:lineRule="exact" w:before="80"/>
                          <w:ind w:right="-778"/>
                          <w:jc w:val="right"/>
                          <w:rPr>
                            <w:sz w:val="16"/>
                          </w:rPr>
                        </w:pPr>
                        <w:r>
                          <w:rPr>
                            <w:w w:val="104"/>
                            <w:sz w:val="16"/>
                          </w:rPr>
                          <w:t>—</w:t>
                        </w:r>
                      </w:p>
                    </w:tc>
                    <w:tc>
                      <w:tcPr>
                        <w:tcW w:w="1622" w:type="dxa"/>
                        <w:gridSpan w:val="2"/>
                      </w:tcPr>
                      <w:p>
                        <w:pPr>
                          <w:pStyle w:val="TableParagraph"/>
                          <w:spacing w:line="166" w:lineRule="exact" w:before="80"/>
                          <w:ind w:left="939"/>
                          <w:rPr>
                            <w:sz w:val="16"/>
                          </w:rPr>
                        </w:pPr>
                        <w:r>
                          <w:rPr>
                            <w:w w:val="105"/>
                            <w:sz w:val="16"/>
                          </w:rPr>
                          <w:t>$</w:t>
                        </w:r>
                        <w:r>
                          <w:rPr>
                            <w:spacing w:val="44"/>
                            <w:w w:val="105"/>
                            <w:sz w:val="16"/>
                          </w:rPr>
                          <w:t> </w:t>
                        </w:r>
                        <w:r>
                          <w:rPr>
                            <w:spacing w:val="-2"/>
                            <w:w w:val="105"/>
                            <w:sz w:val="16"/>
                          </w:rPr>
                          <w:t>92,430</w:t>
                        </w:r>
                      </w:p>
                    </w:tc>
                    <w:tc>
                      <w:tcPr>
                        <w:tcW w:w="755" w:type="dxa"/>
                        <w:gridSpan w:val="2"/>
                      </w:tcPr>
                      <w:p>
                        <w:pPr>
                          <w:pStyle w:val="TableParagraph"/>
                          <w:spacing w:line="166" w:lineRule="exact" w:before="80"/>
                          <w:ind w:left="118"/>
                          <w:rPr>
                            <w:sz w:val="16"/>
                          </w:rPr>
                        </w:pPr>
                        <w:r>
                          <w:rPr>
                            <w:spacing w:val="-2"/>
                            <w:w w:val="105"/>
                            <w:sz w:val="16"/>
                          </w:rPr>
                          <w:t>$308,100</w:t>
                        </w:r>
                      </w:p>
                    </w:tc>
                    <w:tc>
                      <w:tcPr>
                        <w:tcW w:w="112" w:type="dxa"/>
                      </w:tcPr>
                      <w:p>
                        <w:pPr>
                          <w:pStyle w:val="TableParagraph"/>
                          <w:spacing w:line="166" w:lineRule="exact" w:before="80"/>
                          <w:ind w:right="-101"/>
                          <w:jc w:val="right"/>
                          <w:rPr>
                            <w:sz w:val="16"/>
                          </w:rPr>
                        </w:pPr>
                        <w:r>
                          <w:rPr>
                            <w:w w:val="104"/>
                            <w:sz w:val="16"/>
                          </w:rPr>
                          <w:t>$</w:t>
                        </w:r>
                      </w:p>
                    </w:tc>
                    <w:tc>
                      <w:tcPr>
                        <w:tcW w:w="828" w:type="dxa"/>
                      </w:tcPr>
                      <w:p>
                        <w:pPr>
                          <w:pStyle w:val="TableParagraph"/>
                          <w:spacing w:line="166" w:lineRule="exact" w:before="80"/>
                          <w:ind w:left="218"/>
                          <w:rPr>
                            <w:sz w:val="16"/>
                          </w:rPr>
                        </w:pPr>
                        <w:r>
                          <w:rPr>
                            <w:spacing w:val="-2"/>
                            <w:w w:val="105"/>
                            <w:sz w:val="16"/>
                          </w:rPr>
                          <w:t>616,200</w:t>
                        </w:r>
                      </w:p>
                    </w:tc>
                    <w:tc>
                      <w:tcPr>
                        <w:tcW w:w="640" w:type="dxa"/>
                      </w:tcPr>
                      <w:p>
                        <w:pPr>
                          <w:pStyle w:val="TableParagraph"/>
                          <w:spacing w:line="166" w:lineRule="exact" w:before="80"/>
                          <w:ind w:right="61"/>
                          <w:jc w:val="right"/>
                          <w:rPr>
                            <w:sz w:val="16"/>
                          </w:rPr>
                        </w:pPr>
                        <w:r>
                          <w:rPr>
                            <w:w w:val="104"/>
                            <w:sz w:val="16"/>
                          </w:rPr>
                          <w:t>—</w:t>
                        </w:r>
                      </w:p>
                    </w:tc>
                    <w:tc>
                      <w:tcPr>
                        <w:tcW w:w="797" w:type="dxa"/>
                        <w:gridSpan w:val="2"/>
                      </w:tcPr>
                      <w:p>
                        <w:pPr>
                          <w:pStyle w:val="TableParagraph"/>
                          <w:spacing w:line="166" w:lineRule="exact" w:before="80"/>
                          <w:ind w:right="67"/>
                          <w:jc w:val="right"/>
                          <w:rPr>
                            <w:sz w:val="16"/>
                          </w:rPr>
                        </w:pPr>
                        <w:r>
                          <w:rPr>
                            <w:w w:val="104"/>
                            <w:sz w:val="16"/>
                          </w:rPr>
                          <w:t>—</w:t>
                        </w:r>
                      </w:p>
                    </w:tc>
                    <w:tc>
                      <w:tcPr>
                        <w:tcW w:w="643" w:type="dxa"/>
                        <w:gridSpan w:val="2"/>
                      </w:tcPr>
                      <w:p>
                        <w:pPr>
                          <w:pStyle w:val="TableParagraph"/>
                          <w:spacing w:line="166" w:lineRule="exact" w:before="80"/>
                          <w:ind w:right="33"/>
                          <w:jc w:val="right"/>
                          <w:rPr>
                            <w:sz w:val="16"/>
                          </w:rPr>
                        </w:pPr>
                        <w:r>
                          <w:rPr>
                            <w:w w:val="104"/>
                            <w:sz w:val="16"/>
                          </w:rPr>
                          <w:t>—</w:t>
                        </w:r>
                      </w:p>
                    </w:tc>
                    <w:tc>
                      <w:tcPr>
                        <w:tcW w:w="917" w:type="dxa"/>
                        <w:gridSpan w:val="2"/>
                      </w:tcPr>
                      <w:p>
                        <w:pPr>
                          <w:pStyle w:val="TableParagraph"/>
                          <w:spacing w:line="166" w:lineRule="exact" w:before="80"/>
                          <w:ind w:right="49"/>
                          <w:jc w:val="right"/>
                          <w:rPr>
                            <w:sz w:val="16"/>
                          </w:rPr>
                        </w:pPr>
                        <w:r>
                          <w:rPr>
                            <w:w w:val="104"/>
                            <w:sz w:val="16"/>
                          </w:rPr>
                          <w:t>—</w:t>
                        </w:r>
                      </w:p>
                    </w:tc>
                  </w:tr>
                  <w:tr>
                    <w:trPr>
                      <w:trHeight w:val="298" w:hRule="atLeast"/>
                    </w:trPr>
                    <w:tc>
                      <w:tcPr>
                        <w:tcW w:w="2175" w:type="dxa"/>
                      </w:tcPr>
                      <w:p>
                        <w:pPr>
                          <w:pStyle w:val="TableParagraph"/>
                          <w:rPr>
                            <w:sz w:val="16"/>
                          </w:rPr>
                        </w:pPr>
                      </w:p>
                    </w:tc>
                    <w:tc>
                      <w:tcPr>
                        <w:tcW w:w="112" w:type="dxa"/>
                      </w:tcPr>
                      <w:p>
                        <w:pPr>
                          <w:pStyle w:val="TableParagraph"/>
                          <w:spacing w:before="80"/>
                          <w:ind w:right="-778"/>
                          <w:jc w:val="right"/>
                          <w:rPr>
                            <w:sz w:val="16"/>
                          </w:rPr>
                        </w:pPr>
                        <w:r>
                          <w:rPr>
                            <w:spacing w:val="-2"/>
                            <w:w w:val="105"/>
                            <w:sz w:val="16"/>
                          </w:rPr>
                          <w:t>12/10/2021</w:t>
                        </w:r>
                      </w:p>
                    </w:tc>
                    <w:tc>
                      <w:tcPr>
                        <w:tcW w:w="1622" w:type="dxa"/>
                        <w:gridSpan w:val="2"/>
                      </w:tcPr>
                      <w:p>
                        <w:pPr>
                          <w:pStyle w:val="TableParagraph"/>
                          <w:spacing w:before="80"/>
                          <w:ind w:right="48"/>
                          <w:jc w:val="right"/>
                          <w:rPr>
                            <w:sz w:val="16"/>
                          </w:rPr>
                        </w:pPr>
                        <w:r>
                          <w:rPr>
                            <w:w w:val="104"/>
                            <w:sz w:val="16"/>
                          </w:rPr>
                          <w:t>—</w:t>
                        </w:r>
                      </w:p>
                    </w:tc>
                    <w:tc>
                      <w:tcPr>
                        <w:tcW w:w="755" w:type="dxa"/>
                        <w:gridSpan w:val="2"/>
                      </w:tcPr>
                      <w:p>
                        <w:pPr>
                          <w:pStyle w:val="TableParagraph"/>
                          <w:spacing w:before="80"/>
                          <w:ind w:right="2"/>
                          <w:jc w:val="right"/>
                          <w:rPr>
                            <w:sz w:val="16"/>
                          </w:rPr>
                        </w:pPr>
                        <w:r>
                          <w:rPr>
                            <w:w w:val="104"/>
                            <w:sz w:val="16"/>
                          </w:rPr>
                          <w:t>—</w:t>
                        </w:r>
                      </w:p>
                    </w:tc>
                    <w:tc>
                      <w:tcPr>
                        <w:tcW w:w="940" w:type="dxa"/>
                        <w:gridSpan w:val="2"/>
                      </w:tcPr>
                      <w:p>
                        <w:pPr>
                          <w:pStyle w:val="TableParagraph"/>
                          <w:spacing w:before="80"/>
                          <w:ind w:right="62"/>
                          <w:jc w:val="right"/>
                          <w:rPr>
                            <w:sz w:val="16"/>
                          </w:rPr>
                        </w:pPr>
                        <w:r>
                          <w:rPr>
                            <w:w w:val="104"/>
                            <w:sz w:val="16"/>
                          </w:rPr>
                          <w:t>—</w:t>
                        </w:r>
                      </w:p>
                    </w:tc>
                    <w:tc>
                      <w:tcPr>
                        <w:tcW w:w="640" w:type="dxa"/>
                      </w:tcPr>
                      <w:p>
                        <w:pPr>
                          <w:pStyle w:val="TableParagraph"/>
                          <w:spacing w:before="80"/>
                          <w:ind w:right="61"/>
                          <w:jc w:val="right"/>
                          <w:rPr>
                            <w:sz w:val="16"/>
                          </w:rPr>
                        </w:pPr>
                        <w:r>
                          <w:rPr>
                            <w:spacing w:val="-2"/>
                            <w:w w:val="105"/>
                            <w:sz w:val="16"/>
                          </w:rPr>
                          <w:t>14,125</w:t>
                        </w:r>
                      </w:p>
                    </w:tc>
                    <w:tc>
                      <w:tcPr>
                        <w:tcW w:w="797" w:type="dxa"/>
                        <w:gridSpan w:val="2"/>
                      </w:tcPr>
                      <w:p>
                        <w:pPr>
                          <w:pStyle w:val="TableParagraph"/>
                          <w:spacing w:before="80"/>
                          <w:ind w:right="67"/>
                          <w:jc w:val="right"/>
                          <w:rPr>
                            <w:sz w:val="16"/>
                          </w:rPr>
                        </w:pPr>
                        <w:r>
                          <w:rPr>
                            <w:w w:val="104"/>
                            <w:sz w:val="16"/>
                          </w:rPr>
                          <w:t>—</w:t>
                        </w:r>
                      </w:p>
                    </w:tc>
                    <w:tc>
                      <w:tcPr>
                        <w:tcW w:w="643" w:type="dxa"/>
                        <w:gridSpan w:val="2"/>
                      </w:tcPr>
                      <w:p>
                        <w:pPr>
                          <w:pStyle w:val="TableParagraph"/>
                          <w:spacing w:before="80"/>
                          <w:ind w:right="33"/>
                          <w:jc w:val="right"/>
                          <w:rPr>
                            <w:sz w:val="16"/>
                          </w:rPr>
                        </w:pPr>
                        <w:r>
                          <w:rPr>
                            <w:w w:val="104"/>
                            <w:sz w:val="16"/>
                          </w:rPr>
                          <w:t>—</w:t>
                        </w:r>
                      </w:p>
                    </w:tc>
                    <w:tc>
                      <w:tcPr>
                        <w:tcW w:w="917" w:type="dxa"/>
                        <w:gridSpan w:val="2"/>
                      </w:tcPr>
                      <w:p>
                        <w:pPr>
                          <w:pStyle w:val="TableParagraph"/>
                          <w:spacing w:before="80"/>
                          <w:ind w:left="106"/>
                          <w:rPr>
                            <w:sz w:val="16"/>
                          </w:rPr>
                        </w:pPr>
                        <w:r>
                          <w:rPr>
                            <w:w w:val="105"/>
                            <w:sz w:val="16"/>
                          </w:rPr>
                          <w:t>$</w:t>
                        </w:r>
                        <w:r>
                          <w:rPr>
                            <w:spacing w:val="69"/>
                            <w:w w:val="150"/>
                            <w:sz w:val="16"/>
                          </w:rPr>
                          <w:t> </w:t>
                        </w:r>
                        <w:r>
                          <w:rPr>
                            <w:spacing w:val="-2"/>
                            <w:w w:val="105"/>
                            <w:sz w:val="16"/>
                          </w:rPr>
                          <w:t>397,478</w:t>
                        </w:r>
                      </w:p>
                    </w:tc>
                  </w:tr>
                  <w:tr>
                    <w:trPr>
                      <w:trHeight w:val="258" w:hRule="atLeast"/>
                    </w:trPr>
                    <w:tc>
                      <w:tcPr>
                        <w:tcW w:w="2175" w:type="dxa"/>
                      </w:tcPr>
                      <w:p>
                        <w:pPr>
                          <w:pStyle w:val="TableParagraph"/>
                          <w:rPr>
                            <w:sz w:val="16"/>
                          </w:rPr>
                        </w:pPr>
                      </w:p>
                    </w:tc>
                    <w:tc>
                      <w:tcPr>
                        <w:tcW w:w="112" w:type="dxa"/>
                      </w:tcPr>
                      <w:p>
                        <w:pPr>
                          <w:pStyle w:val="TableParagraph"/>
                          <w:spacing w:before="33"/>
                          <w:ind w:right="-778"/>
                          <w:jc w:val="right"/>
                          <w:rPr>
                            <w:sz w:val="16"/>
                          </w:rPr>
                        </w:pPr>
                        <w:r>
                          <w:rPr>
                            <w:spacing w:val="-2"/>
                            <w:w w:val="105"/>
                            <w:sz w:val="16"/>
                          </w:rPr>
                          <w:t>12/10/2021</w:t>
                        </w:r>
                      </w:p>
                    </w:tc>
                    <w:tc>
                      <w:tcPr>
                        <w:tcW w:w="1622" w:type="dxa"/>
                        <w:gridSpan w:val="2"/>
                      </w:tcPr>
                      <w:p>
                        <w:pPr>
                          <w:pStyle w:val="TableParagraph"/>
                          <w:spacing w:before="33"/>
                          <w:ind w:right="48"/>
                          <w:jc w:val="right"/>
                          <w:rPr>
                            <w:sz w:val="16"/>
                          </w:rPr>
                        </w:pPr>
                        <w:r>
                          <w:rPr>
                            <w:w w:val="104"/>
                            <w:sz w:val="16"/>
                          </w:rPr>
                          <w:t>—</w:t>
                        </w:r>
                      </w:p>
                    </w:tc>
                    <w:tc>
                      <w:tcPr>
                        <w:tcW w:w="755" w:type="dxa"/>
                        <w:gridSpan w:val="2"/>
                      </w:tcPr>
                      <w:p>
                        <w:pPr>
                          <w:pStyle w:val="TableParagraph"/>
                          <w:spacing w:before="33"/>
                          <w:ind w:right="2"/>
                          <w:jc w:val="right"/>
                          <w:rPr>
                            <w:sz w:val="16"/>
                          </w:rPr>
                        </w:pPr>
                        <w:r>
                          <w:rPr>
                            <w:w w:val="104"/>
                            <w:sz w:val="16"/>
                          </w:rPr>
                          <w:t>—</w:t>
                        </w:r>
                      </w:p>
                    </w:tc>
                    <w:tc>
                      <w:tcPr>
                        <w:tcW w:w="940" w:type="dxa"/>
                        <w:gridSpan w:val="2"/>
                      </w:tcPr>
                      <w:p>
                        <w:pPr>
                          <w:pStyle w:val="TableParagraph"/>
                          <w:spacing w:before="33"/>
                          <w:ind w:right="62"/>
                          <w:jc w:val="right"/>
                          <w:rPr>
                            <w:sz w:val="16"/>
                          </w:rPr>
                        </w:pPr>
                        <w:r>
                          <w:rPr>
                            <w:w w:val="104"/>
                            <w:sz w:val="16"/>
                          </w:rPr>
                          <w:t>—</w:t>
                        </w:r>
                      </w:p>
                    </w:tc>
                    <w:tc>
                      <w:tcPr>
                        <w:tcW w:w="640" w:type="dxa"/>
                      </w:tcPr>
                      <w:p>
                        <w:pPr>
                          <w:pStyle w:val="TableParagraph"/>
                          <w:spacing w:before="33"/>
                          <w:ind w:right="61"/>
                          <w:jc w:val="right"/>
                          <w:rPr>
                            <w:sz w:val="16"/>
                          </w:rPr>
                        </w:pPr>
                        <w:r>
                          <w:rPr>
                            <w:w w:val="104"/>
                            <w:sz w:val="16"/>
                          </w:rPr>
                          <w:t>—</w:t>
                        </w:r>
                      </w:p>
                    </w:tc>
                    <w:tc>
                      <w:tcPr>
                        <w:tcW w:w="797" w:type="dxa"/>
                        <w:gridSpan w:val="2"/>
                      </w:tcPr>
                      <w:p>
                        <w:pPr>
                          <w:pStyle w:val="TableParagraph"/>
                          <w:spacing w:before="33"/>
                          <w:ind w:left="266"/>
                          <w:rPr>
                            <w:sz w:val="16"/>
                          </w:rPr>
                        </w:pPr>
                        <w:r>
                          <w:rPr>
                            <w:spacing w:val="-2"/>
                            <w:w w:val="105"/>
                            <w:sz w:val="16"/>
                          </w:rPr>
                          <w:t>32,932</w:t>
                        </w:r>
                      </w:p>
                    </w:tc>
                    <w:tc>
                      <w:tcPr>
                        <w:tcW w:w="643" w:type="dxa"/>
                        <w:gridSpan w:val="2"/>
                      </w:tcPr>
                      <w:p>
                        <w:pPr>
                          <w:pStyle w:val="TableParagraph"/>
                          <w:spacing w:before="33"/>
                          <w:ind w:left="143"/>
                          <w:rPr>
                            <w:sz w:val="16"/>
                          </w:rPr>
                        </w:pPr>
                        <w:r>
                          <w:rPr>
                            <w:spacing w:val="-2"/>
                            <w:w w:val="105"/>
                            <w:sz w:val="16"/>
                          </w:rPr>
                          <w:t>$30.95</w:t>
                        </w:r>
                      </w:p>
                    </w:tc>
                    <w:tc>
                      <w:tcPr>
                        <w:tcW w:w="917" w:type="dxa"/>
                        <w:gridSpan w:val="2"/>
                      </w:tcPr>
                      <w:p>
                        <w:pPr>
                          <w:pStyle w:val="TableParagraph"/>
                          <w:spacing w:before="33"/>
                          <w:ind w:left="106"/>
                          <w:rPr>
                            <w:sz w:val="16"/>
                          </w:rPr>
                        </w:pPr>
                        <w:r>
                          <w:rPr>
                            <w:w w:val="105"/>
                            <w:sz w:val="16"/>
                          </w:rPr>
                          <w:t>$</w:t>
                        </w:r>
                        <w:r>
                          <w:rPr>
                            <w:spacing w:val="69"/>
                            <w:w w:val="150"/>
                            <w:sz w:val="16"/>
                          </w:rPr>
                          <w:t> </w:t>
                        </w:r>
                        <w:r>
                          <w:rPr>
                            <w:spacing w:val="-2"/>
                            <w:w w:val="105"/>
                            <w:sz w:val="16"/>
                          </w:rPr>
                          <w:t>397,489</w:t>
                        </w:r>
                      </w:p>
                    </w:tc>
                  </w:tr>
                  <w:tr>
                    <w:trPr>
                      <w:trHeight w:val="265" w:hRule="atLeast"/>
                    </w:trPr>
                    <w:tc>
                      <w:tcPr>
                        <w:tcW w:w="2175" w:type="dxa"/>
                      </w:tcPr>
                      <w:p>
                        <w:pPr>
                          <w:pStyle w:val="TableParagraph"/>
                          <w:spacing w:before="40"/>
                          <w:ind w:left="50"/>
                          <w:rPr>
                            <w:sz w:val="16"/>
                          </w:rPr>
                        </w:pPr>
                        <w:r>
                          <w:rPr>
                            <w:w w:val="105"/>
                            <w:sz w:val="16"/>
                          </w:rPr>
                          <w:t>Kimberley</w:t>
                        </w:r>
                        <w:r>
                          <w:rPr>
                            <w:spacing w:val="15"/>
                            <w:w w:val="105"/>
                            <w:sz w:val="16"/>
                          </w:rPr>
                          <w:t> </w:t>
                        </w:r>
                        <w:r>
                          <w:rPr>
                            <w:w w:val="105"/>
                            <w:sz w:val="16"/>
                          </w:rPr>
                          <w:t>E.</w:t>
                        </w:r>
                        <w:r>
                          <w:rPr>
                            <w:spacing w:val="15"/>
                            <w:w w:val="105"/>
                            <w:sz w:val="16"/>
                          </w:rPr>
                          <w:t> </w:t>
                        </w:r>
                        <w:r>
                          <w:rPr>
                            <w:spacing w:val="-2"/>
                            <w:w w:val="105"/>
                            <w:sz w:val="16"/>
                          </w:rPr>
                          <w:t>Honeysett</w:t>
                        </w:r>
                      </w:p>
                    </w:tc>
                    <w:tc>
                      <w:tcPr>
                        <w:tcW w:w="112" w:type="dxa"/>
                      </w:tcPr>
                      <w:p>
                        <w:pPr>
                          <w:pStyle w:val="TableParagraph"/>
                          <w:spacing w:before="40"/>
                          <w:ind w:right="-778"/>
                          <w:jc w:val="right"/>
                          <w:rPr>
                            <w:sz w:val="16"/>
                          </w:rPr>
                        </w:pPr>
                        <w:r>
                          <w:rPr>
                            <w:w w:val="104"/>
                            <w:sz w:val="16"/>
                          </w:rPr>
                          <w:t>—</w:t>
                        </w:r>
                      </w:p>
                    </w:tc>
                    <w:tc>
                      <w:tcPr>
                        <w:tcW w:w="1622" w:type="dxa"/>
                        <w:gridSpan w:val="2"/>
                      </w:tcPr>
                      <w:p>
                        <w:pPr>
                          <w:pStyle w:val="TableParagraph"/>
                          <w:spacing w:before="40"/>
                          <w:ind w:left="939"/>
                          <w:rPr>
                            <w:sz w:val="16"/>
                          </w:rPr>
                        </w:pPr>
                        <w:r>
                          <w:rPr>
                            <w:w w:val="105"/>
                            <w:sz w:val="16"/>
                          </w:rPr>
                          <w:t>$</w:t>
                        </w:r>
                        <w:r>
                          <w:rPr>
                            <w:spacing w:val="44"/>
                            <w:w w:val="105"/>
                            <w:sz w:val="16"/>
                          </w:rPr>
                          <w:t> </w:t>
                        </w:r>
                        <w:r>
                          <w:rPr>
                            <w:spacing w:val="-2"/>
                            <w:w w:val="105"/>
                            <w:sz w:val="16"/>
                          </w:rPr>
                          <w:t>62,700</w:t>
                        </w:r>
                      </w:p>
                    </w:tc>
                    <w:tc>
                      <w:tcPr>
                        <w:tcW w:w="755" w:type="dxa"/>
                        <w:gridSpan w:val="2"/>
                      </w:tcPr>
                      <w:p>
                        <w:pPr>
                          <w:pStyle w:val="TableParagraph"/>
                          <w:spacing w:before="40"/>
                          <w:ind w:left="118"/>
                          <w:rPr>
                            <w:sz w:val="16"/>
                          </w:rPr>
                        </w:pPr>
                        <w:r>
                          <w:rPr>
                            <w:spacing w:val="-2"/>
                            <w:w w:val="105"/>
                            <w:sz w:val="16"/>
                          </w:rPr>
                          <w:t>$209,000</w:t>
                        </w:r>
                      </w:p>
                    </w:tc>
                    <w:tc>
                      <w:tcPr>
                        <w:tcW w:w="940" w:type="dxa"/>
                        <w:gridSpan w:val="2"/>
                      </w:tcPr>
                      <w:p>
                        <w:pPr>
                          <w:pStyle w:val="TableParagraph"/>
                          <w:spacing w:before="40"/>
                          <w:ind w:left="116"/>
                          <w:rPr>
                            <w:sz w:val="16"/>
                          </w:rPr>
                        </w:pPr>
                        <w:r>
                          <w:rPr>
                            <w:w w:val="105"/>
                            <w:sz w:val="16"/>
                          </w:rPr>
                          <w:t>$</w:t>
                        </w:r>
                        <w:r>
                          <w:rPr>
                            <w:spacing w:val="68"/>
                            <w:w w:val="150"/>
                            <w:sz w:val="16"/>
                          </w:rPr>
                          <w:t> </w:t>
                        </w:r>
                        <w:r>
                          <w:rPr>
                            <w:spacing w:val="-2"/>
                            <w:w w:val="105"/>
                            <w:sz w:val="16"/>
                          </w:rPr>
                          <w:t>418,000</w:t>
                        </w:r>
                      </w:p>
                    </w:tc>
                    <w:tc>
                      <w:tcPr>
                        <w:tcW w:w="640" w:type="dxa"/>
                      </w:tcPr>
                      <w:p>
                        <w:pPr>
                          <w:pStyle w:val="TableParagraph"/>
                          <w:spacing w:before="40"/>
                          <w:ind w:right="61"/>
                          <w:jc w:val="right"/>
                          <w:rPr>
                            <w:sz w:val="16"/>
                          </w:rPr>
                        </w:pPr>
                        <w:r>
                          <w:rPr>
                            <w:w w:val="104"/>
                            <w:sz w:val="16"/>
                          </w:rPr>
                          <w:t>—</w:t>
                        </w:r>
                      </w:p>
                    </w:tc>
                    <w:tc>
                      <w:tcPr>
                        <w:tcW w:w="797" w:type="dxa"/>
                        <w:gridSpan w:val="2"/>
                      </w:tcPr>
                      <w:p>
                        <w:pPr>
                          <w:pStyle w:val="TableParagraph"/>
                          <w:spacing w:before="40"/>
                          <w:ind w:right="67"/>
                          <w:jc w:val="right"/>
                          <w:rPr>
                            <w:sz w:val="16"/>
                          </w:rPr>
                        </w:pPr>
                        <w:r>
                          <w:rPr>
                            <w:w w:val="104"/>
                            <w:sz w:val="16"/>
                          </w:rPr>
                          <w:t>—</w:t>
                        </w:r>
                      </w:p>
                    </w:tc>
                    <w:tc>
                      <w:tcPr>
                        <w:tcW w:w="643" w:type="dxa"/>
                        <w:gridSpan w:val="2"/>
                      </w:tcPr>
                      <w:p>
                        <w:pPr>
                          <w:pStyle w:val="TableParagraph"/>
                          <w:spacing w:before="40"/>
                          <w:ind w:right="33"/>
                          <w:jc w:val="right"/>
                          <w:rPr>
                            <w:sz w:val="16"/>
                          </w:rPr>
                        </w:pPr>
                        <w:r>
                          <w:rPr>
                            <w:w w:val="104"/>
                            <w:sz w:val="16"/>
                          </w:rPr>
                          <w:t>—</w:t>
                        </w:r>
                      </w:p>
                    </w:tc>
                    <w:tc>
                      <w:tcPr>
                        <w:tcW w:w="917" w:type="dxa"/>
                        <w:gridSpan w:val="2"/>
                      </w:tcPr>
                      <w:p>
                        <w:pPr>
                          <w:pStyle w:val="TableParagraph"/>
                          <w:spacing w:before="40"/>
                          <w:ind w:right="49"/>
                          <w:jc w:val="right"/>
                          <w:rPr>
                            <w:sz w:val="16"/>
                          </w:rPr>
                        </w:pPr>
                        <w:r>
                          <w:rPr>
                            <w:w w:val="104"/>
                            <w:sz w:val="16"/>
                          </w:rPr>
                          <w:t>—</w:t>
                        </w:r>
                      </w:p>
                    </w:tc>
                  </w:tr>
                  <w:tr>
                    <w:trPr>
                      <w:trHeight w:val="265" w:hRule="atLeast"/>
                    </w:trPr>
                    <w:tc>
                      <w:tcPr>
                        <w:tcW w:w="2175" w:type="dxa"/>
                      </w:tcPr>
                      <w:p>
                        <w:pPr>
                          <w:pStyle w:val="TableParagraph"/>
                          <w:rPr>
                            <w:sz w:val="16"/>
                          </w:rPr>
                        </w:pPr>
                      </w:p>
                    </w:tc>
                    <w:tc>
                      <w:tcPr>
                        <w:tcW w:w="112" w:type="dxa"/>
                      </w:tcPr>
                      <w:p>
                        <w:pPr>
                          <w:pStyle w:val="TableParagraph"/>
                          <w:spacing w:before="40"/>
                          <w:ind w:right="-778"/>
                          <w:jc w:val="right"/>
                          <w:rPr>
                            <w:sz w:val="16"/>
                          </w:rPr>
                        </w:pPr>
                        <w:r>
                          <w:rPr>
                            <w:spacing w:val="-2"/>
                            <w:w w:val="105"/>
                            <w:sz w:val="16"/>
                          </w:rPr>
                          <w:t>12/10/2021</w:t>
                        </w:r>
                      </w:p>
                    </w:tc>
                    <w:tc>
                      <w:tcPr>
                        <w:tcW w:w="1622" w:type="dxa"/>
                        <w:gridSpan w:val="2"/>
                      </w:tcPr>
                      <w:p>
                        <w:pPr>
                          <w:pStyle w:val="TableParagraph"/>
                          <w:spacing w:before="40"/>
                          <w:ind w:right="48"/>
                          <w:jc w:val="right"/>
                          <w:rPr>
                            <w:sz w:val="16"/>
                          </w:rPr>
                        </w:pPr>
                        <w:r>
                          <w:rPr>
                            <w:w w:val="104"/>
                            <w:sz w:val="16"/>
                          </w:rPr>
                          <w:t>—</w:t>
                        </w:r>
                      </w:p>
                    </w:tc>
                    <w:tc>
                      <w:tcPr>
                        <w:tcW w:w="755" w:type="dxa"/>
                        <w:gridSpan w:val="2"/>
                      </w:tcPr>
                      <w:p>
                        <w:pPr>
                          <w:pStyle w:val="TableParagraph"/>
                          <w:spacing w:before="40"/>
                          <w:ind w:right="2"/>
                          <w:jc w:val="right"/>
                          <w:rPr>
                            <w:sz w:val="16"/>
                          </w:rPr>
                        </w:pPr>
                        <w:r>
                          <w:rPr>
                            <w:w w:val="104"/>
                            <w:sz w:val="16"/>
                          </w:rPr>
                          <w:t>—</w:t>
                        </w:r>
                      </w:p>
                    </w:tc>
                    <w:tc>
                      <w:tcPr>
                        <w:tcW w:w="940" w:type="dxa"/>
                        <w:gridSpan w:val="2"/>
                      </w:tcPr>
                      <w:p>
                        <w:pPr>
                          <w:pStyle w:val="TableParagraph"/>
                          <w:spacing w:before="40"/>
                          <w:ind w:right="62"/>
                          <w:jc w:val="right"/>
                          <w:rPr>
                            <w:sz w:val="16"/>
                          </w:rPr>
                        </w:pPr>
                        <w:r>
                          <w:rPr>
                            <w:w w:val="104"/>
                            <w:sz w:val="16"/>
                          </w:rPr>
                          <w:t>—</w:t>
                        </w:r>
                      </w:p>
                    </w:tc>
                    <w:tc>
                      <w:tcPr>
                        <w:tcW w:w="640" w:type="dxa"/>
                      </w:tcPr>
                      <w:p>
                        <w:pPr>
                          <w:pStyle w:val="TableParagraph"/>
                          <w:spacing w:before="40"/>
                          <w:ind w:right="61"/>
                          <w:jc w:val="right"/>
                          <w:rPr>
                            <w:sz w:val="16"/>
                          </w:rPr>
                        </w:pPr>
                        <w:r>
                          <w:rPr>
                            <w:spacing w:val="-2"/>
                            <w:w w:val="105"/>
                            <w:sz w:val="16"/>
                          </w:rPr>
                          <w:t>10,216</w:t>
                        </w:r>
                      </w:p>
                    </w:tc>
                    <w:tc>
                      <w:tcPr>
                        <w:tcW w:w="797" w:type="dxa"/>
                        <w:gridSpan w:val="2"/>
                      </w:tcPr>
                      <w:p>
                        <w:pPr>
                          <w:pStyle w:val="TableParagraph"/>
                          <w:spacing w:before="40"/>
                          <w:ind w:right="67"/>
                          <w:jc w:val="right"/>
                          <w:rPr>
                            <w:sz w:val="16"/>
                          </w:rPr>
                        </w:pPr>
                        <w:r>
                          <w:rPr>
                            <w:w w:val="104"/>
                            <w:sz w:val="16"/>
                          </w:rPr>
                          <w:t>—</w:t>
                        </w:r>
                      </w:p>
                    </w:tc>
                    <w:tc>
                      <w:tcPr>
                        <w:tcW w:w="643" w:type="dxa"/>
                        <w:gridSpan w:val="2"/>
                      </w:tcPr>
                      <w:p>
                        <w:pPr>
                          <w:pStyle w:val="TableParagraph"/>
                          <w:spacing w:before="40"/>
                          <w:ind w:right="33"/>
                          <w:jc w:val="right"/>
                          <w:rPr>
                            <w:sz w:val="16"/>
                          </w:rPr>
                        </w:pPr>
                        <w:r>
                          <w:rPr>
                            <w:w w:val="104"/>
                            <w:sz w:val="16"/>
                          </w:rPr>
                          <w:t>—</w:t>
                        </w:r>
                      </w:p>
                    </w:tc>
                    <w:tc>
                      <w:tcPr>
                        <w:tcW w:w="917" w:type="dxa"/>
                        <w:gridSpan w:val="2"/>
                      </w:tcPr>
                      <w:p>
                        <w:pPr>
                          <w:pStyle w:val="TableParagraph"/>
                          <w:spacing w:before="40"/>
                          <w:ind w:left="106"/>
                          <w:rPr>
                            <w:sz w:val="16"/>
                          </w:rPr>
                        </w:pPr>
                        <w:r>
                          <w:rPr>
                            <w:w w:val="105"/>
                            <w:sz w:val="16"/>
                          </w:rPr>
                          <w:t>$</w:t>
                        </w:r>
                        <w:r>
                          <w:rPr>
                            <w:spacing w:val="69"/>
                            <w:w w:val="150"/>
                            <w:sz w:val="16"/>
                          </w:rPr>
                          <w:t> </w:t>
                        </w:r>
                        <w:r>
                          <w:rPr>
                            <w:spacing w:val="-2"/>
                            <w:w w:val="105"/>
                            <w:sz w:val="16"/>
                          </w:rPr>
                          <w:t>287,478</w:t>
                        </w:r>
                      </w:p>
                    </w:tc>
                  </w:tr>
                  <w:tr>
                    <w:trPr>
                      <w:trHeight w:val="258" w:hRule="atLeast"/>
                    </w:trPr>
                    <w:tc>
                      <w:tcPr>
                        <w:tcW w:w="2175" w:type="dxa"/>
                      </w:tcPr>
                      <w:p>
                        <w:pPr>
                          <w:pStyle w:val="TableParagraph"/>
                          <w:rPr>
                            <w:sz w:val="16"/>
                          </w:rPr>
                        </w:pPr>
                      </w:p>
                    </w:tc>
                    <w:tc>
                      <w:tcPr>
                        <w:tcW w:w="112" w:type="dxa"/>
                      </w:tcPr>
                      <w:p>
                        <w:pPr>
                          <w:pStyle w:val="TableParagraph"/>
                          <w:spacing w:before="40"/>
                          <w:ind w:right="-778"/>
                          <w:jc w:val="right"/>
                          <w:rPr>
                            <w:sz w:val="16"/>
                          </w:rPr>
                        </w:pPr>
                        <w:r>
                          <w:rPr>
                            <w:spacing w:val="-2"/>
                            <w:w w:val="105"/>
                            <w:sz w:val="16"/>
                          </w:rPr>
                          <w:t>12/10/2021</w:t>
                        </w:r>
                      </w:p>
                    </w:tc>
                    <w:tc>
                      <w:tcPr>
                        <w:tcW w:w="1622" w:type="dxa"/>
                        <w:gridSpan w:val="2"/>
                      </w:tcPr>
                      <w:p>
                        <w:pPr>
                          <w:pStyle w:val="TableParagraph"/>
                          <w:spacing w:before="40"/>
                          <w:ind w:right="48"/>
                          <w:jc w:val="right"/>
                          <w:rPr>
                            <w:sz w:val="16"/>
                          </w:rPr>
                        </w:pPr>
                        <w:r>
                          <w:rPr>
                            <w:w w:val="104"/>
                            <w:sz w:val="16"/>
                          </w:rPr>
                          <w:t>—</w:t>
                        </w:r>
                      </w:p>
                    </w:tc>
                    <w:tc>
                      <w:tcPr>
                        <w:tcW w:w="755" w:type="dxa"/>
                        <w:gridSpan w:val="2"/>
                      </w:tcPr>
                      <w:p>
                        <w:pPr>
                          <w:pStyle w:val="TableParagraph"/>
                          <w:spacing w:before="40"/>
                          <w:ind w:right="2"/>
                          <w:jc w:val="right"/>
                          <w:rPr>
                            <w:sz w:val="16"/>
                          </w:rPr>
                        </w:pPr>
                        <w:r>
                          <w:rPr>
                            <w:w w:val="104"/>
                            <w:sz w:val="16"/>
                          </w:rPr>
                          <w:t>—</w:t>
                        </w:r>
                      </w:p>
                    </w:tc>
                    <w:tc>
                      <w:tcPr>
                        <w:tcW w:w="940" w:type="dxa"/>
                        <w:gridSpan w:val="2"/>
                      </w:tcPr>
                      <w:p>
                        <w:pPr>
                          <w:pStyle w:val="TableParagraph"/>
                          <w:spacing w:before="40"/>
                          <w:ind w:right="62"/>
                          <w:jc w:val="right"/>
                          <w:rPr>
                            <w:sz w:val="16"/>
                          </w:rPr>
                        </w:pPr>
                        <w:r>
                          <w:rPr>
                            <w:w w:val="104"/>
                            <w:sz w:val="16"/>
                          </w:rPr>
                          <w:t>—</w:t>
                        </w:r>
                      </w:p>
                    </w:tc>
                    <w:tc>
                      <w:tcPr>
                        <w:tcW w:w="640" w:type="dxa"/>
                      </w:tcPr>
                      <w:p>
                        <w:pPr>
                          <w:pStyle w:val="TableParagraph"/>
                          <w:spacing w:before="40"/>
                          <w:ind w:right="61"/>
                          <w:jc w:val="right"/>
                          <w:rPr>
                            <w:sz w:val="16"/>
                          </w:rPr>
                        </w:pPr>
                        <w:r>
                          <w:rPr>
                            <w:w w:val="104"/>
                            <w:sz w:val="16"/>
                          </w:rPr>
                          <w:t>—</w:t>
                        </w:r>
                      </w:p>
                    </w:tc>
                    <w:tc>
                      <w:tcPr>
                        <w:tcW w:w="797" w:type="dxa"/>
                        <w:gridSpan w:val="2"/>
                      </w:tcPr>
                      <w:p>
                        <w:pPr>
                          <w:pStyle w:val="TableParagraph"/>
                          <w:spacing w:before="40"/>
                          <w:ind w:left="266"/>
                          <w:rPr>
                            <w:sz w:val="16"/>
                          </w:rPr>
                        </w:pPr>
                        <w:r>
                          <w:rPr>
                            <w:spacing w:val="-2"/>
                            <w:w w:val="105"/>
                            <w:sz w:val="16"/>
                          </w:rPr>
                          <w:t>23,819</w:t>
                        </w:r>
                      </w:p>
                    </w:tc>
                    <w:tc>
                      <w:tcPr>
                        <w:tcW w:w="643" w:type="dxa"/>
                        <w:gridSpan w:val="2"/>
                      </w:tcPr>
                      <w:p>
                        <w:pPr>
                          <w:pStyle w:val="TableParagraph"/>
                          <w:spacing w:before="40"/>
                          <w:ind w:left="143"/>
                          <w:rPr>
                            <w:sz w:val="16"/>
                          </w:rPr>
                        </w:pPr>
                        <w:r>
                          <w:rPr>
                            <w:spacing w:val="-2"/>
                            <w:w w:val="105"/>
                            <w:sz w:val="16"/>
                          </w:rPr>
                          <w:t>$30.95</w:t>
                        </w:r>
                      </w:p>
                    </w:tc>
                    <w:tc>
                      <w:tcPr>
                        <w:tcW w:w="917" w:type="dxa"/>
                        <w:gridSpan w:val="2"/>
                      </w:tcPr>
                      <w:p>
                        <w:pPr>
                          <w:pStyle w:val="TableParagraph"/>
                          <w:spacing w:before="40"/>
                          <w:ind w:left="106"/>
                          <w:rPr>
                            <w:sz w:val="16"/>
                          </w:rPr>
                        </w:pPr>
                        <w:r>
                          <w:rPr>
                            <w:w w:val="105"/>
                            <w:sz w:val="16"/>
                          </w:rPr>
                          <w:t>$</w:t>
                        </w:r>
                        <w:r>
                          <w:rPr>
                            <w:spacing w:val="69"/>
                            <w:w w:val="150"/>
                            <w:sz w:val="16"/>
                          </w:rPr>
                          <w:t> </w:t>
                        </w:r>
                        <w:r>
                          <w:rPr>
                            <w:spacing w:val="-2"/>
                            <w:w w:val="105"/>
                            <w:sz w:val="16"/>
                          </w:rPr>
                          <w:t>287,495</w:t>
                        </w:r>
                      </w:p>
                    </w:tc>
                  </w:tr>
                  <w:tr>
                    <w:trPr>
                      <w:trHeight w:val="258" w:hRule="atLeast"/>
                    </w:trPr>
                    <w:tc>
                      <w:tcPr>
                        <w:tcW w:w="2175" w:type="dxa"/>
                      </w:tcPr>
                      <w:p>
                        <w:pPr>
                          <w:pStyle w:val="TableParagraph"/>
                          <w:spacing w:before="33"/>
                          <w:ind w:left="50"/>
                          <w:rPr>
                            <w:sz w:val="16"/>
                          </w:rPr>
                        </w:pPr>
                        <w:r>
                          <w:rPr>
                            <w:w w:val="105"/>
                            <w:sz w:val="16"/>
                          </w:rPr>
                          <w:t>Brian</w:t>
                        </w:r>
                        <w:r>
                          <w:rPr>
                            <w:spacing w:val="-1"/>
                            <w:w w:val="105"/>
                            <w:sz w:val="16"/>
                          </w:rPr>
                          <w:t> </w:t>
                        </w:r>
                        <w:r>
                          <w:rPr>
                            <w:w w:val="105"/>
                            <w:sz w:val="16"/>
                          </w:rPr>
                          <w:t>W.</w:t>
                        </w:r>
                        <w:r>
                          <w:rPr>
                            <w:spacing w:val="3"/>
                            <w:w w:val="105"/>
                            <w:sz w:val="16"/>
                          </w:rPr>
                          <w:t> </w:t>
                        </w:r>
                        <w:r>
                          <w:rPr>
                            <w:spacing w:val="-2"/>
                            <w:w w:val="105"/>
                            <w:sz w:val="16"/>
                          </w:rPr>
                          <w:t>Giambattista</w:t>
                        </w:r>
                      </w:p>
                    </w:tc>
                    <w:tc>
                      <w:tcPr>
                        <w:tcW w:w="112" w:type="dxa"/>
                      </w:tcPr>
                      <w:p>
                        <w:pPr>
                          <w:pStyle w:val="TableParagraph"/>
                          <w:spacing w:before="33"/>
                          <w:ind w:right="-778"/>
                          <w:jc w:val="right"/>
                          <w:rPr>
                            <w:sz w:val="16"/>
                          </w:rPr>
                        </w:pPr>
                        <w:r>
                          <w:rPr>
                            <w:w w:val="104"/>
                            <w:sz w:val="16"/>
                          </w:rPr>
                          <w:t>—</w:t>
                        </w:r>
                      </w:p>
                    </w:tc>
                    <w:tc>
                      <w:tcPr>
                        <w:tcW w:w="1622" w:type="dxa"/>
                        <w:gridSpan w:val="2"/>
                      </w:tcPr>
                      <w:p>
                        <w:pPr>
                          <w:pStyle w:val="TableParagraph"/>
                          <w:spacing w:before="33"/>
                          <w:ind w:left="939"/>
                          <w:rPr>
                            <w:sz w:val="16"/>
                          </w:rPr>
                        </w:pPr>
                        <w:r>
                          <w:rPr>
                            <w:w w:val="105"/>
                            <w:sz w:val="16"/>
                          </w:rPr>
                          <w:t>$</w:t>
                        </w:r>
                        <w:r>
                          <w:rPr>
                            <w:spacing w:val="44"/>
                            <w:w w:val="105"/>
                            <w:sz w:val="16"/>
                          </w:rPr>
                          <w:t> </w:t>
                        </w:r>
                        <w:r>
                          <w:rPr>
                            <w:spacing w:val="-2"/>
                            <w:w w:val="105"/>
                            <w:sz w:val="16"/>
                          </w:rPr>
                          <w:t>62,700</w:t>
                        </w:r>
                      </w:p>
                    </w:tc>
                    <w:tc>
                      <w:tcPr>
                        <w:tcW w:w="755" w:type="dxa"/>
                        <w:gridSpan w:val="2"/>
                      </w:tcPr>
                      <w:p>
                        <w:pPr>
                          <w:pStyle w:val="TableParagraph"/>
                          <w:spacing w:before="33"/>
                          <w:ind w:left="118"/>
                          <w:rPr>
                            <w:sz w:val="16"/>
                          </w:rPr>
                        </w:pPr>
                        <w:r>
                          <w:rPr>
                            <w:spacing w:val="-2"/>
                            <w:w w:val="105"/>
                            <w:sz w:val="16"/>
                          </w:rPr>
                          <w:t>$209,000</w:t>
                        </w:r>
                      </w:p>
                    </w:tc>
                    <w:tc>
                      <w:tcPr>
                        <w:tcW w:w="940" w:type="dxa"/>
                        <w:gridSpan w:val="2"/>
                      </w:tcPr>
                      <w:p>
                        <w:pPr>
                          <w:pStyle w:val="TableParagraph"/>
                          <w:spacing w:before="33"/>
                          <w:ind w:left="116"/>
                          <w:rPr>
                            <w:sz w:val="16"/>
                          </w:rPr>
                        </w:pPr>
                        <w:r>
                          <w:rPr>
                            <w:w w:val="105"/>
                            <w:sz w:val="16"/>
                          </w:rPr>
                          <w:t>$</w:t>
                        </w:r>
                        <w:r>
                          <w:rPr>
                            <w:spacing w:val="68"/>
                            <w:w w:val="150"/>
                            <w:sz w:val="16"/>
                          </w:rPr>
                          <w:t> </w:t>
                        </w:r>
                        <w:r>
                          <w:rPr>
                            <w:spacing w:val="-2"/>
                            <w:w w:val="105"/>
                            <w:sz w:val="16"/>
                          </w:rPr>
                          <w:t>418,000</w:t>
                        </w:r>
                      </w:p>
                    </w:tc>
                    <w:tc>
                      <w:tcPr>
                        <w:tcW w:w="640" w:type="dxa"/>
                      </w:tcPr>
                      <w:p>
                        <w:pPr>
                          <w:pStyle w:val="TableParagraph"/>
                          <w:spacing w:before="33"/>
                          <w:ind w:right="61"/>
                          <w:jc w:val="right"/>
                          <w:rPr>
                            <w:sz w:val="16"/>
                          </w:rPr>
                        </w:pPr>
                        <w:r>
                          <w:rPr>
                            <w:w w:val="104"/>
                            <w:sz w:val="16"/>
                          </w:rPr>
                          <w:t>—</w:t>
                        </w:r>
                      </w:p>
                    </w:tc>
                    <w:tc>
                      <w:tcPr>
                        <w:tcW w:w="797" w:type="dxa"/>
                        <w:gridSpan w:val="2"/>
                      </w:tcPr>
                      <w:p>
                        <w:pPr>
                          <w:pStyle w:val="TableParagraph"/>
                          <w:spacing w:before="33"/>
                          <w:ind w:right="67"/>
                          <w:jc w:val="right"/>
                          <w:rPr>
                            <w:sz w:val="16"/>
                          </w:rPr>
                        </w:pPr>
                        <w:r>
                          <w:rPr>
                            <w:w w:val="104"/>
                            <w:sz w:val="16"/>
                          </w:rPr>
                          <w:t>—</w:t>
                        </w:r>
                      </w:p>
                    </w:tc>
                    <w:tc>
                      <w:tcPr>
                        <w:tcW w:w="643" w:type="dxa"/>
                        <w:gridSpan w:val="2"/>
                      </w:tcPr>
                      <w:p>
                        <w:pPr>
                          <w:pStyle w:val="TableParagraph"/>
                          <w:spacing w:before="33"/>
                          <w:ind w:right="33"/>
                          <w:jc w:val="right"/>
                          <w:rPr>
                            <w:sz w:val="16"/>
                          </w:rPr>
                        </w:pPr>
                        <w:r>
                          <w:rPr>
                            <w:w w:val="104"/>
                            <w:sz w:val="16"/>
                          </w:rPr>
                          <w:t>—</w:t>
                        </w:r>
                      </w:p>
                    </w:tc>
                    <w:tc>
                      <w:tcPr>
                        <w:tcW w:w="917" w:type="dxa"/>
                        <w:gridSpan w:val="2"/>
                      </w:tcPr>
                      <w:p>
                        <w:pPr>
                          <w:pStyle w:val="TableParagraph"/>
                          <w:spacing w:before="33"/>
                          <w:ind w:right="49"/>
                          <w:jc w:val="right"/>
                          <w:rPr>
                            <w:sz w:val="16"/>
                          </w:rPr>
                        </w:pPr>
                        <w:r>
                          <w:rPr>
                            <w:w w:val="104"/>
                            <w:sz w:val="16"/>
                          </w:rPr>
                          <w:t>—</w:t>
                        </w:r>
                      </w:p>
                    </w:tc>
                  </w:tr>
                  <w:tr>
                    <w:trPr>
                      <w:trHeight w:val="265" w:hRule="atLeast"/>
                    </w:trPr>
                    <w:tc>
                      <w:tcPr>
                        <w:tcW w:w="2175" w:type="dxa"/>
                      </w:tcPr>
                      <w:p>
                        <w:pPr>
                          <w:pStyle w:val="TableParagraph"/>
                          <w:rPr>
                            <w:sz w:val="16"/>
                          </w:rPr>
                        </w:pPr>
                      </w:p>
                    </w:tc>
                    <w:tc>
                      <w:tcPr>
                        <w:tcW w:w="112" w:type="dxa"/>
                      </w:tcPr>
                      <w:p>
                        <w:pPr>
                          <w:pStyle w:val="TableParagraph"/>
                          <w:spacing w:before="40"/>
                          <w:ind w:right="-778"/>
                          <w:jc w:val="right"/>
                          <w:rPr>
                            <w:sz w:val="16"/>
                          </w:rPr>
                        </w:pPr>
                        <w:r>
                          <w:rPr>
                            <w:spacing w:val="-2"/>
                            <w:w w:val="105"/>
                            <w:sz w:val="16"/>
                          </w:rPr>
                          <w:t>12/10/2021</w:t>
                        </w:r>
                      </w:p>
                    </w:tc>
                    <w:tc>
                      <w:tcPr>
                        <w:tcW w:w="1622" w:type="dxa"/>
                        <w:gridSpan w:val="2"/>
                      </w:tcPr>
                      <w:p>
                        <w:pPr>
                          <w:pStyle w:val="TableParagraph"/>
                          <w:spacing w:before="40"/>
                          <w:ind w:right="48"/>
                          <w:jc w:val="right"/>
                          <w:rPr>
                            <w:sz w:val="16"/>
                          </w:rPr>
                        </w:pPr>
                        <w:r>
                          <w:rPr>
                            <w:w w:val="104"/>
                            <w:sz w:val="16"/>
                          </w:rPr>
                          <w:t>—</w:t>
                        </w:r>
                      </w:p>
                    </w:tc>
                    <w:tc>
                      <w:tcPr>
                        <w:tcW w:w="755" w:type="dxa"/>
                        <w:gridSpan w:val="2"/>
                      </w:tcPr>
                      <w:p>
                        <w:pPr>
                          <w:pStyle w:val="TableParagraph"/>
                          <w:spacing w:before="40"/>
                          <w:ind w:right="2"/>
                          <w:jc w:val="right"/>
                          <w:rPr>
                            <w:sz w:val="16"/>
                          </w:rPr>
                        </w:pPr>
                        <w:r>
                          <w:rPr>
                            <w:w w:val="104"/>
                            <w:sz w:val="16"/>
                          </w:rPr>
                          <w:t>—</w:t>
                        </w:r>
                      </w:p>
                    </w:tc>
                    <w:tc>
                      <w:tcPr>
                        <w:tcW w:w="940" w:type="dxa"/>
                        <w:gridSpan w:val="2"/>
                      </w:tcPr>
                      <w:p>
                        <w:pPr>
                          <w:pStyle w:val="TableParagraph"/>
                          <w:spacing w:before="40"/>
                          <w:ind w:right="62"/>
                          <w:jc w:val="right"/>
                          <w:rPr>
                            <w:sz w:val="16"/>
                          </w:rPr>
                        </w:pPr>
                        <w:r>
                          <w:rPr>
                            <w:w w:val="104"/>
                            <w:sz w:val="16"/>
                          </w:rPr>
                          <w:t>—</w:t>
                        </w:r>
                      </w:p>
                    </w:tc>
                    <w:tc>
                      <w:tcPr>
                        <w:tcW w:w="640" w:type="dxa"/>
                      </w:tcPr>
                      <w:p>
                        <w:pPr>
                          <w:pStyle w:val="TableParagraph"/>
                          <w:spacing w:before="40"/>
                          <w:ind w:right="61"/>
                          <w:jc w:val="right"/>
                          <w:rPr>
                            <w:sz w:val="16"/>
                          </w:rPr>
                        </w:pPr>
                        <w:r>
                          <w:rPr>
                            <w:spacing w:val="-4"/>
                            <w:w w:val="105"/>
                            <w:sz w:val="16"/>
                          </w:rPr>
                          <w:t>9,328</w:t>
                        </w:r>
                      </w:p>
                    </w:tc>
                    <w:tc>
                      <w:tcPr>
                        <w:tcW w:w="797" w:type="dxa"/>
                        <w:gridSpan w:val="2"/>
                      </w:tcPr>
                      <w:p>
                        <w:pPr>
                          <w:pStyle w:val="TableParagraph"/>
                          <w:spacing w:before="40"/>
                          <w:ind w:right="67"/>
                          <w:jc w:val="right"/>
                          <w:rPr>
                            <w:sz w:val="16"/>
                          </w:rPr>
                        </w:pPr>
                        <w:r>
                          <w:rPr>
                            <w:w w:val="104"/>
                            <w:sz w:val="16"/>
                          </w:rPr>
                          <w:t>—</w:t>
                        </w:r>
                      </w:p>
                    </w:tc>
                    <w:tc>
                      <w:tcPr>
                        <w:tcW w:w="643" w:type="dxa"/>
                        <w:gridSpan w:val="2"/>
                      </w:tcPr>
                      <w:p>
                        <w:pPr>
                          <w:pStyle w:val="TableParagraph"/>
                          <w:spacing w:before="40"/>
                          <w:ind w:right="33"/>
                          <w:jc w:val="right"/>
                          <w:rPr>
                            <w:sz w:val="16"/>
                          </w:rPr>
                        </w:pPr>
                        <w:r>
                          <w:rPr>
                            <w:w w:val="104"/>
                            <w:sz w:val="16"/>
                          </w:rPr>
                          <w:t>—</w:t>
                        </w:r>
                      </w:p>
                    </w:tc>
                    <w:tc>
                      <w:tcPr>
                        <w:tcW w:w="917" w:type="dxa"/>
                        <w:gridSpan w:val="2"/>
                      </w:tcPr>
                      <w:p>
                        <w:pPr>
                          <w:pStyle w:val="TableParagraph"/>
                          <w:spacing w:before="40"/>
                          <w:ind w:left="106"/>
                          <w:rPr>
                            <w:sz w:val="16"/>
                          </w:rPr>
                        </w:pPr>
                        <w:r>
                          <w:rPr>
                            <w:w w:val="105"/>
                            <w:sz w:val="16"/>
                          </w:rPr>
                          <w:t>$</w:t>
                        </w:r>
                        <w:r>
                          <w:rPr>
                            <w:spacing w:val="69"/>
                            <w:w w:val="150"/>
                            <w:sz w:val="16"/>
                          </w:rPr>
                          <w:t> </w:t>
                        </w:r>
                        <w:r>
                          <w:rPr>
                            <w:spacing w:val="-2"/>
                            <w:w w:val="105"/>
                            <w:sz w:val="16"/>
                          </w:rPr>
                          <w:t>262,490</w:t>
                        </w:r>
                      </w:p>
                    </w:tc>
                  </w:tr>
                  <w:tr>
                    <w:trPr>
                      <w:trHeight w:val="265" w:hRule="atLeast"/>
                    </w:trPr>
                    <w:tc>
                      <w:tcPr>
                        <w:tcW w:w="2175" w:type="dxa"/>
                      </w:tcPr>
                      <w:p>
                        <w:pPr>
                          <w:pStyle w:val="TableParagraph"/>
                          <w:rPr>
                            <w:sz w:val="16"/>
                          </w:rPr>
                        </w:pPr>
                      </w:p>
                    </w:tc>
                    <w:tc>
                      <w:tcPr>
                        <w:tcW w:w="112" w:type="dxa"/>
                      </w:tcPr>
                      <w:p>
                        <w:pPr>
                          <w:pStyle w:val="TableParagraph"/>
                          <w:spacing w:before="40"/>
                          <w:ind w:right="-778"/>
                          <w:jc w:val="right"/>
                          <w:rPr>
                            <w:sz w:val="16"/>
                          </w:rPr>
                        </w:pPr>
                        <w:r>
                          <w:rPr>
                            <w:spacing w:val="-2"/>
                            <w:w w:val="105"/>
                            <w:sz w:val="16"/>
                          </w:rPr>
                          <w:t>12/10/2021</w:t>
                        </w:r>
                      </w:p>
                    </w:tc>
                    <w:tc>
                      <w:tcPr>
                        <w:tcW w:w="1622" w:type="dxa"/>
                        <w:gridSpan w:val="2"/>
                      </w:tcPr>
                      <w:p>
                        <w:pPr>
                          <w:pStyle w:val="TableParagraph"/>
                          <w:spacing w:before="40"/>
                          <w:ind w:right="48"/>
                          <w:jc w:val="right"/>
                          <w:rPr>
                            <w:sz w:val="16"/>
                          </w:rPr>
                        </w:pPr>
                        <w:r>
                          <w:rPr>
                            <w:w w:val="104"/>
                            <w:sz w:val="16"/>
                          </w:rPr>
                          <w:t>—</w:t>
                        </w:r>
                      </w:p>
                    </w:tc>
                    <w:tc>
                      <w:tcPr>
                        <w:tcW w:w="755" w:type="dxa"/>
                        <w:gridSpan w:val="2"/>
                      </w:tcPr>
                      <w:p>
                        <w:pPr>
                          <w:pStyle w:val="TableParagraph"/>
                          <w:spacing w:before="40"/>
                          <w:ind w:right="2"/>
                          <w:jc w:val="right"/>
                          <w:rPr>
                            <w:sz w:val="16"/>
                          </w:rPr>
                        </w:pPr>
                        <w:r>
                          <w:rPr>
                            <w:w w:val="104"/>
                            <w:sz w:val="16"/>
                          </w:rPr>
                          <w:t>—</w:t>
                        </w:r>
                      </w:p>
                    </w:tc>
                    <w:tc>
                      <w:tcPr>
                        <w:tcW w:w="940" w:type="dxa"/>
                        <w:gridSpan w:val="2"/>
                      </w:tcPr>
                      <w:p>
                        <w:pPr>
                          <w:pStyle w:val="TableParagraph"/>
                          <w:spacing w:before="40"/>
                          <w:ind w:right="62"/>
                          <w:jc w:val="right"/>
                          <w:rPr>
                            <w:sz w:val="16"/>
                          </w:rPr>
                        </w:pPr>
                        <w:r>
                          <w:rPr>
                            <w:w w:val="104"/>
                            <w:sz w:val="16"/>
                          </w:rPr>
                          <w:t>—</w:t>
                        </w:r>
                      </w:p>
                    </w:tc>
                    <w:tc>
                      <w:tcPr>
                        <w:tcW w:w="640" w:type="dxa"/>
                      </w:tcPr>
                      <w:p>
                        <w:pPr>
                          <w:pStyle w:val="TableParagraph"/>
                          <w:spacing w:before="40"/>
                          <w:ind w:right="61"/>
                          <w:jc w:val="right"/>
                          <w:rPr>
                            <w:sz w:val="16"/>
                          </w:rPr>
                        </w:pPr>
                        <w:r>
                          <w:rPr>
                            <w:w w:val="104"/>
                            <w:sz w:val="16"/>
                          </w:rPr>
                          <w:t>—</w:t>
                        </w:r>
                      </w:p>
                    </w:tc>
                    <w:tc>
                      <w:tcPr>
                        <w:tcW w:w="797" w:type="dxa"/>
                        <w:gridSpan w:val="2"/>
                      </w:tcPr>
                      <w:p>
                        <w:pPr>
                          <w:pStyle w:val="TableParagraph"/>
                          <w:spacing w:before="40"/>
                          <w:ind w:left="266"/>
                          <w:rPr>
                            <w:sz w:val="16"/>
                          </w:rPr>
                        </w:pPr>
                        <w:r>
                          <w:rPr>
                            <w:spacing w:val="-2"/>
                            <w:w w:val="105"/>
                            <w:sz w:val="16"/>
                          </w:rPr>
                          <w:t>21,478</w:t>
                        </w:r>
                      </w:p>
                    </w:tc>
                    <w:tc>
                      <w:tcPr>
                        <w:tcW w:w="643" w:type="dxa"/>
                        <w:gridSpan w:val="2"/>
                      </w:tcPr>
                      <w:p>
                        <w:pPr>
                          <w:pStyle w:val="TableParagraph"/>
                          <w:spacing w:before="40"/>
                          <w:ind w:left="143"/>
                          <w:rPr>
                            <w:sz w:val="16"/>
                          </w:rPr>
                        </w:pPr>
                        <w:r>
                          <w:rPr>
                            <w:spacing w:val="-2"/>
                            <w:w w:val="105"/>
                            <w:sz w:val="16"/>
                          </w:rPr>
                          <w:t>$30.95</w:t>
                        </w:r>
                      </w:p>
                    </w:tc>
                    <w:tc>
                      <w:tcPr>
                        <w:tcW w:w="917" w:type="dxa"/>
                        <w:gridSpan w:val="2"/>
                      </w:tcPr>
                      <w:p>
                        <w:pPr>
                          <w:pStyle w:val="TableParagraph"/>
                          <w:spacing w:before="40"/>
                          <w:ind w:left="106"/>
                          <w:rPr>
                            <w:sz w:val="16"/>
                          </w:rPr>
                        </w:pPr>
                        <w:r>
                          <w:rPr>
                            <w:w w:val="105"/>
                            <w:sz w:val="16"/>
                          </w:rPr>
                          <w:t>$</w:t>
                        </w:r>
                        <w:r>
                          <w:rPr>
                            <w:spacing w:val="69"/>
                            <w:w w:val="150"/>
                            <w:sz w:val="16"/>
                          </w:rPr>
                          <w:t> </w:t>
                        </w:r>
                        <w:r>
                          <w:rPr>
                            <w:spacing w:val="-2"/>
                            <w:w w:val="105"/>
                            <w:sz w:val="16"/>
                          </w:rPr>
                          <w:t>262,498</w:t>
                        </w:r>
                      </w:p>
                    </w:tc>
                  </w:tr>
                  <w:tr>
                    <w:trPr>
                      <w:trHeight w:val="258" w:hRule="atLeast"/>
                    </w:trPr>
                    <w:tc>
                      <w:tcPr>
                        <w:tcW w:w="2175" w:type="dxa"/>
                      </w:tcPr>
                      <w:p>
                        <w:pPr>
                          <w:pStyle w:val="TableParagraph"/>
                          <w:spacing w:before="40"/>
                          <w:ind w:left="50"/>
                          <w:rPr>
                            <w:sz w:val="16"/>
                          </w:rPr>
                        </w:pPr>
                        <w:r>
                          <w:rPr>
                            <w:w w:val="105"/>
                            <w:sz w:val="16"/>
                          </w:rPr>
                          <w:t>Andrew</w:t>
                        </w:r>
                        <w:r>
                          <w:rPr>
                            <w:spacing w:val="11"/>
                            <w:w w:val="105"/>
                            <w:sz w:val="16"/>
                          </w:rPr>
                          <w:t> </w:t>
                        </w:r>
                        <w:r>
                          <w:rPr>
                            <w:w w:val="105"/>
                            <w:sz w:val="16"/>
                          </w:rPr>
                          <w:t>J.</w:t>
                        </w:r>
                        <w:r>
                          <w:rPr>
                            <w:spacing w:val="12"/>
                            <w:w w:val="105"/>
                            <w:sz w:val="16"/>
                          </w:rPr>
                          <w:t> </w:t>
                        </w:r>
                        <w:r>
                          <w:rPr>
                            <w:spacing w:val="-2"/>
                            <w:w w:val="105"/>
                            <w:sz w:val="16"/>
                          </w:rPr>
                          <w:t>Hartmann</w:t>
                        </w:r>
                      </w:p>
                    </w:tc>
                    <w:tc>
                      <w:tcPr>
                        <w:tcW w:w="112" w:type="dxa"/>
                      </w:tcPr>
                      <w:p>
                        <w:pPr>
                          <w:pStyle w:val="TableParagraph"/>
                          <w:spacing w:before="40"/>
                          <w:ind w:right="-778"/>
                          <w:jc w:val="right"/>
                          <w:rPr>
                            <w:sz w:val="16"/>
                          </w:rPr>
                        </w:pPr>
                        <w:r>
                          <w:rPr>
                            <w:w w:val="104"/>
                            <w:sz w:val="16"/>
                          </w:rPr>
                          <w:t>—</w:t>
                        </w:r>
                      </w:p>
                    </w:tc>
                    <w:tc>
                      <w:tcPr>
                        <w:tcW w:w="1622" w:type="dxa"/>
                        <w:gridSpan w:val="2"/>
                      </w:tcPr>
                      <w:p>
                        <w:pPr>
                          <w:pStyle w:val="TableParagraph"/>
                          <w:spacing w:before="40"/>
                          <w:ind w:left="939"/>
                          <w:rPr>
                            <w:sz w:val="16"/>
                          </w:rPr>
                        </w:pPr>
                        <w:r>
                          <w:rPr>
                            <w:w w:val="105"/>
                            <w:sz w:val="16"/>
                          </w:rPr>
                          <w:t>$</w:t>
                        </w:r>
                        <w:r>
                          <w:rPr>
                            <w:spacing w:val="44"/>
                            <w:w w:val="105"/>
                            <w:sz w:val="16"/>
                          </w:rPr>
                          <w:t> </w:t>
                        </w:r>
                        <w:r>
                          <w:rPr>
                            <w:spacing w:val="-2"/>
                            <w:w w:val="105"/>
                            <w:sz w:val="16"/>
                          </w:rPr>
                          <w:t>63,525</w:t>
                        </w:r>
                      </w:p>
                    </w:tc>
                    <w:tc>
                      <w:tcPr>
                        <w:tcW w:w="755" w:type="dxa"/>
                        <w:gridSpan w:val="2"/>
                      </w:tcPr>
                      <w:p>
                        <w:pPr>
                          <w:pStyle w:val="TableParagraph"/>
                          <w:spacing w:before="40"/>
                          <w:ind w:left="118"/>
                          <w:rPr>
                            <w:sz w:val="16"/>
                          </w:rPr>
                        </w:pPr>
                        <w:r>
                          <w:rPr>
                            <w:spacing w:val="-2"/>
                            <w:w w:val="105"/>
                            <w:sz w:val="16"/>
                          </w:rPr>
                          <w:t>$211,750</w:t>
                        </w:r>
                      </w:p>
                    </w:tc>
                    <w:tc>
                      <w:tcPr>
                        <w:tcW w:w="940" w:type="dxa"/>
                        <w:gridSpan w:val="2"/>
                      </w:tcPr>
                      <w:p>
                        <w:pPr>
                          <w:pStyle w:val="TableParagraph"/>
                          <w:spacing w:before="40"/>
                          <w:ind w:left="116"/>
                          <w:rPr>
                            <w:sz w:val="16"/>
                          </w:rPr>
                        </w:pPr>
                        <w:r>
                          <w:rPr>
                            <w:w w:val="105"/>
                            <w:sz w:val="16"/>
                          </w:rPr>
                          <w:t>$</w:t>
                        </w:r>
                        <w:r>
                          <w:rPr>
                            <w:spacing w:val="68"/>
                            <w:w w:val="150"/>
                            <w:sz w:val="16"/>
                          </w:rPr>
                          <w:t> </w:t>
                        </w:r>
                        <w:r>
                          <w:rPr>
                            <w:spacing w:val="-2"/>
                            <w:w w:val="105"/>
                            <w:sz w:val="16"/>
                          </w:rPr>
                          <w:t>423,500</w:t>
                        </w:r>
                      </w:p>
                    </w:tc>
                    <w:tc>
                      <w:tcPr>
                        <w:tcW w:w="640" w:type="dxa"/>
                      </w:tcPr>
                      <w:p>
                        <w:pPr>
                          <w:pStyle w:val="TableParagraph"/>
                          <w:spacing w:before="40"/>
                          <w:ind w:right="61"/>
                          <w:jc w:val="right"/>
                          <w:rPr>
                            <w:sz w:val="16"/>
                          </w:rPr>
                        </w:pPr>
                        <w:r>
                          <w:rPr>
                            <w:w w:val="104"/>
                            <w:sz w:val="16"/>
                          </w:rPr>
                          <w:t>—</w:t>
                        </w:r>
                      </w:p>
                    </w:tc>
                    <w:tc>
                      <w:tcPr>
                        <w:tcW w:w="797" w:type="dxa"/>
                        <w:gridSpan w:val="2"/>
                      </w:tcPr>
                      <w:p>
                        <w:pPr>
                          <w:pStyle w:val="TableParagraph"/>
                          <w:spacing w:before="40"/>
                          <w:ind w:right="67"/>
                          <w:jc w:val="right"/>
                          <w:rPr>
                            <w:sz w:val="16"/>
                          </w:rPr>
                        </w:pPr>
                        <w:r>
                          <w:rPr>
                            <w:w w:val="104"/>
                            <w:sz w:val="16"/>
                          </w:rPr>
                          <w:t>—</w:t>
                        </w:r>
                      </w:p>
                    </w:tc>
                    <w:tc>
                      <w:tcPr>
                        <w:tcW w:w="643" w:type="dxa"/>
                        <w:gridSpan w:val="2"/>
                      </w:tcPr>
                      <w:p>
                        <w:pPr>
                          <w:pStyle w:val="TableParagraph"/>
                          <w:spacing w:before="40"/>
                          <w:ind w:right="33"/>
                          <w:jc w:val="right"/>
                          <w:rPr>
                            <w:sz w:val="16"/>
                          </w:rPr>
                        </w:pPr>
                        <w:r>
                          <w:rPr>
                            <w:w w:val="104"/>
                            <w:sz w:val="16"/>
                          </w:rPr>
                          <w:t>—</w:t>
                        </w:r>
                      </w:p>
                    </w:tc>
                    <w:tc>
                      <w:tcPr>
                        <w:tcW w:w="917" w:type="dxa"/>
                        <w:gridSpan w:val="2"/>
                      </w:tcPr>
                      <w:p>
                        <w:pPr>
                          <w:pStyle w:val="TableParagraph"/>
                          <w:spacing w:before="40"/>
                          <w:ind w:right="49"/>
                          <w:jc w:val="right"/>
                          <w:rPr>
                            <w:sz w:val="16"/>
                          </w:rPr>
                        </w:pPr>
                        <w:r>
                          <w:rPr>
                            <w:w w:val="104"/>
                            <w:sz w:val="16"/>
                          </w:rPr>
                          <w:t>—</w:t>
                        </w:r>
                      </w:p>
                    </w:tc>
                  </w:tr>
                  <w:tr>
                    <w:trPr>
                      <w:trHeight w:val="258" w:hRule="atLeast"/>
                    </w:trPr>
                    <w:tc>
                      <w:tcPr>
                        <w:tcW w:w="2175" w:type="dxa"/>
                      </w:tcPr>
                      <w:p>
                        <w:pPr>
                          <w:pStyle w:val="TableParagraph"/>
                          <w:rPr>
                            <w:sz w:val="16"/>
                          </w:rPr>
                        </w:pPr>
                      </w:p>
                    </w:tc>
                    <w:tc>
                      <w:tcPr>
                        <w:tcW w:w="112" w:type="dxa"/>
                      </w:tcPr>
                      <w:p>
                        <w:pPr>
                          <w:pStyle w:val="TableParagraph"/>
                          <w:spacing w:before="33"/>
                          <w:ind w:right="-778"/>
                          <w:jc w:val="right"/>
                          <w:rPr>
                            <w:sz w:val="16"/>
                          </w:rPr>
                        </w:pPr>
                        <w:r>
                          <w:rPr>
                            <w:spacing w:val="-2"/>
                            <w:w w:val="105"/>
                            <w:sz w:val="16"/>
                          </w:rPr>
                          <w:t>12/10/2021</w:t>
                        </w:r>
                      </w:p>
                    </w:tc>
                    <w:tc>
                      <w:tcPr>
                        <w:tcW w:w="1622" w:type="dxa"/>
                        <w:gridSpan w:val="2"/>
                      </w:tcPr>
                      <w:p>
                        <w:pPr>
                          <w:pStyle w:val="TableParagraph"/>
                          <w:spacing w:before="33"/>
                          <w:ind w:right="48"/>
                          <w:jc w:val="right"/>
                          <w:rPr>
                            <w:sz w:val="16"/>
                          </w:rPr>
                        </w:pPr>
                        <w:r>
                          <w:rPr>
                            <w:w w:val="104"/>
                            <w:sz w:val="16"/>
                          </w:rPr>
                          <w:t>—</w:t>
                        </w:r>
                      </w:p>
                    </w:tc>
                    <w:tc>
                      <w:tcPr>
                        <w:tcW w:w="755" w:type="dxa"/>
                        <w:gridSpan w:val="2"/>
                      </w:tcPr>
                      <w:p>
                        <w:pPr>
                          <w:pStyle w:val="TableParagraph"/>
                          <w:spacing w:before="33"/>
                          <w:ind w:right="2"/>
                          <w:jc w:val="right"/>
                          <w:rPr>
                            <w:sz w:val="16"/>
                          </w:rPr>
                        </w:pPr>
                        <w:r>
                          <w:rPr>
                            <w:w w:val="104"/>
                            <w:sz w:val="16"/>
                          </w:rPr>
                          <w:t>—</w:t>
                        </w:r>
                      </w:p>
                    </w:tc>
                    <w:tc>
                      <w:tcPr>
                        <w:tcW w:w="940" w:type="dxa"/>
                        <w:gridSpan w:val="2"/>
                      </w:tcPr>
                      <w:p>
                        <w:pPr>
                          <w:pStyle w:val="TableParagraph"/>
                          <w:spacing w:before="33"/>
                          <w:ind w:right="62"/>
                          <w:jc w:val="right"/>
                          <w:rPr>
                            <w:sz w:val="16"/>
                          </w:rPr>
                        </w:pPr>
                        <w:r>
                          <w:rPr>
                            <w:w w:val="104"/>
                            <w:sz w:val="16"/>
                          </w:rPr>
                          <w:t>—</w:t>
                        </w:r>
                      </w:p>
                    </w:tc>
                    <w:tc>
                      <w:tcPr>
                        <w:tcW w:w="640" w:type="dxa"/>
                      </w:tcPr>
                      <w:p>
                        <w:pPr>
                          <w:pStyle w:val="TableParagraph"/>
                          <w:spacing w:before="33"/>
                          <w:ind w:right="61"/>
                          <w:jc w:val="right"/>
                          <w:rPr>
                            <w:sz w:val="16"/>
                          </w:rPr>
                        </w:pPr>
                        <w:r>
                          <w:rPr>
                            <w:spacing w:val="-4"/>
                            <w:w w:val="105"/>
                            <w:sz w:val="16"/>
                          </w:rPr>
                          <w:t>9,328</w:t>
                        </w:r>
                      </w:p>
                    </w:tc>
                    <w:tc>
                      <w:tcPr>
                        <w:tcW w:w="797" w:type="dxa"/>
                        <w:gridSpan w:val="2"/>
                      </w:tcPr>
                      <w:p>
                        <w:pPr>
                          <w:pStyle w:val="TableParagraph"/>
                          <w:spacing w:before="33"/>
                          <w:ind w:right="67"/>
                          <w:jc w:val="right"/>
                          <w:rPr>
                            <w:sz w:val="16"/>
                          </w:rPr>
                        </w:pPr>
                        <w:r>
                          <w:rPr>
                            <w:w w:val="104"/>
                            <w:sz w:val="16"/>
                          </w:rPr>
                          <w:t>—</w:t>
                        </w:r>
                      </w:p>
                    </w:tc>
                    <w:tc>
                      <w:tcPr>
                        <w:tcW w:w="643" w:type="dxa"/>
                        <w:gridSpan w:val="2"/>
                      </w:tcPr>
                      <w:p>
                        <w:pPr>
                          <w:pStyle w:val="TableParagraph"/>
                          <w:spacing w:before="33"/>
                          <w:ind w:right="33"/>
                          <w:jc w:val="right"/>
                          <w:rPr>
                            <w:sz w:val="16"/>
                          </w:rPr>
                        </w:pPr>
                        <w:r>
                          <w:rPr>
                            <w:w w:val="104"/>
                            <w:sz w:val="16"/>
                          </w:rPr>
                          <w:t>—</w:t>
                        </w:r>
                      </w:p>
                    </w:tc>
                    <w:tc>
                      <w:tcPr>
                        <w:tcW w:w="917" w:type="dxa"/>
                        <w:gridSpan w:val="2"/>
                      </w:tcPr>
                      <w:p>
                        <w:pPr>
                          <w:pStyle w:val="TableParagraph"/>
                          <w:spacing w:before="33"/>
                          <w:ind w:left="106"/>
                          <w:rPr>
                            <w:sz w:val="16"/>
                          </w:rPr>
                        </w:pPr>
                        <w:r>
                          <w:rPr>
                            <w:w w:val="105"/>
                            <w:sz w:val="16"/>
                          </w:rPr>
                          <w:t>$</w:t>
                        </w:r>
                        <w:r>
                          <w:rPr>
                            <w:spacing w:val="69"/>
                            <w:w w:val="150"/>
                            <w:sz w:val="16"/>
                          </w:rPr>
                          <w:t> </w:t>
                        </w:r>
                        <w:r>
                          <w:rPr>
                            <w:spacing w:val="-2"/>
                            <w:w w:val="105"/>
                            <w:sz w:val="16"/>
                          </w:rPr>
                          <w:t>262,490</w:t>
                        </w:r>
                      </w:p>
                    </w:tc>
                  </w:tr>
                  <w:tr>
                    <w:trPr>
                      <w:trHeight w:val="225" w:hRule="atLeast"/>
                    </w:trPr>
                    <w:tc>
                      <w:tcPr>
                        <w:tcW w:w="2175" w:type="dxa"/>
                      </w:tcPr>
                      <w:p>
                        <w:pPr>
                          <w:pStyle w:val="TableParagraph"/>
                          <w:rPr>
                            <w:sz w:val="16"/>
                          </w:rPr>
                        </w:pPr>
                      </w:p>
                    </w:tc>
                    <w:tc>
                      <w:tcPr>
                        <w:tcW w:w="112" w:type="dxa"/>
                      </w:tcPr>
                      <w:p>
                        <w:pPr>
                          <w:pStyle w:val="TableParagraph"/>
                          <w:spacing w:line="166" w:lineRule="exact" w:before="40"/>
                          <w:ind w:right="-778"/>
                          <w:jc w:val="right"/>
                          <w:rPr>
                            <w:sz w:val="16"/>
                          </w:rPr>
                        </w:pPr>
                        <w:r>
                          <w:rPr>
                            <w:spacing w:val="-2"/>
                            <w:w w:val="105"/>
                            <w:sz w:val="16"/>
                          </w:rPr>
                          <w:t>12/10/2021</w:t>
                        </w:r>
                      </w:p>
                    </w:tc>
                    <w:tc>
                      <w:tcPr>
                        <w:tcW w:w="1622" w:type="dxa"/>
                        <w:gridSpan w:val="2"/>
                      </w:tcPr>
                      <w:p>
                        <w:pPr>
                          <w:pStyle w:val="TableParagraph"/>
                          <w:spacing w:line="166" w:lineRule="exact" w:before="40"/>
                          <w:ind w:right="48"/>
                          <w:jc w:val="right"/>
                          <w:rPr>
                            <w:sz w:val="16"/>
                          </w:rPr>
                        </w:pPr>
                        <w:r>
                          <w:rPr>
                            <w:w w:val="104"/>
                            <w:sz w:val="16"/>
                          </w:rPr>
                          <w:t>—</w:t>
                        </w:r>
                      </w:p>
                    </w:tc>
                    <w:tc>
                      <w:tcPr>
                        <w:tcW w:w="755" w:type="dxa"/>
                        <w:gridSpan w:val="2"/>
                      </w:tcPr>
                      <w:p>
                        <w:pPr>
                          <w:pStyle w:val="TableParagraph"/>
                          <w:spacing w:line="166" w:lineRule="exact" w:before="40"/>
                          <w:ind w:right="2"/>
                          <w:jc w:val="right"/>
                          <w:rPr>
                            <w:sz w:val="16"/>
                          </w:rPr>
                        </w:pPr>
                        <w:r>
                          <w:rPr>
                            <w:w w:val="104"/>
                            <w:sz w:val="16"/>
                          </w:rPr>
                          <w:t>—</w:t>
                        </w:r>
                      </w:p>
                    </w:tc>
                    <w:tc>
                      <w:tcPr>
                        <w:tcW w:w="940" w:type="dxa"/>
                        <w:gridSpan w:val="2"/>
                      </w:tcPr>
                      <w:p>
                        <w:pPr>
                          <w:pStyle w:val="TableParagraph"/>
                          <w:spacing w:line="166" w:lineRule="exact" w:before="40"/>
                          <w:ind w:right="62"/>
                          <w:jc w:val="right"/>
                          <w:rPr>
                            <w:sz w:val="16"/>
                          </w:rPr>
                        </w:pPr>
                        <w:r>
                          <w:rPr>
                            <w:w w:val="104"/>
                            <w:sz w:val="16"/>
                          </w:rPr>
                          <w:t>—</w:t>
                        </w:r>
                      </w:p>
                    </w:tc>
                    <w:tc>
                      <w:tcPr>
                        <w:tcW w:w="640" w:type="dxa"/>
                      </w:tcPr>
                      <w:p>
                        <w:pPr>
                          <w:pStyle w:val="TableParagraph"/>
                          <w:spacing w:line="166" w:lineRule="exact" w:before="40"/>
                          <w:ind w:right="61"/>
                          <w:jc w:val="right"/>
                          <w:rPr>
                            <w:sz w:val="16"/>
                          </w:rPr>
                        </w:pPr>
                        <w:r>
                          <w:rPr>
                            <w:w w:val="104"/>
                            <w:sz w:val="16"/>
                          </w:rPr>
                          <w:t>—</w:t>
                        </w:r>
                      </w:p>
                    </w:tc>
                    <w:tc>
                      <w:tcPr>
                        <w:tcW w:w="797" w:type="dxa"/>
                        <w:gridSpan w:val="2"/>
                      </w:tcPr>
                      <w:p>
                        <w:pPr>
                          <w:pStyle w:val="TableParagraph"/>
                          <w:spacing w:line="166" w:lineRule="exact" w:before="40"/>
                          <w:ind w:left="266"/>
                          <w:rPr>
                            <w:sz w:val="16"/>
                          </w:rPr>
                        </w:pPr>
                        <w:r>
                          <w:rPr>
                            <w:spacing w:val="-2"/>
                            <w:w w:val="105"/>
                            <w:sz w:val="16"/>
                          </w:rPr>
                          <w:t>21,478</w:t>
                        </w:r>
                      </w:p>
                    </w:tc>
                    <w:tc>
                      <w:tcPr>
                        <w:tcW w:w="643" w:type="dxa"/>
                        <w:gridSpan w:val="2"/>
                      </w:tcPr>
                      <w:p>
                        <w:pPr>
                          <w:pStyle w:val="TableParagraph"/>
                          <w:spacing w:line="166" w:lineRule="exact" w:before="40"/>
                          <w:ind w:left="143"/>
                          <w:rPr>
                            <w:sz w:val="16"/>
                          </w:rPr>
                        </w:pPr>
                        <w:r>
                          <w:rPr>
                            <w:spacing w:val="-2"/>
                            <w:w w:val="105"/>
                            <w:sz w:val="16"/>
                          </w:rPr>
                          <w:t>$30.95</w:t>
                        </w:r>
                      </w:p>
                    </w:tc>
                    <w:tc>
                      <w:tcPr>
                        <w:tcW w:w="917" w:type="dxa"/>
                        <w:gridSpan w:val="2"/>
                      </w:tcPr>
                      <w:p>
                        <w:pPr>
                          <w:pStyle w:val="TableParagraph"/>
                          <w:spacing w:line="166" w:lineRule="exact" w:before="40"/>
                          <w:ind w:left="106"/>
                          <w:rPr>
                            <w:sz w:val="16"/>
                          </w:rPr>
                        </w:pPr>
                        <w:r>
                          <w:rPr>
                            <w:w w:val="105"/>
                            <w:sz w:val="16"/>
                          </w:rPr>
                          <w:t>$</w:t>
                        </w:r>
                        <w:r>
                          <w:rPr>
                            <w:spacing w:val="69"/>
                            <w:w w:val="150"/>
                            <w:sz w:val="16"/>
                          </w:rPr>
                          <w:t> </w:t>
                        </w:r>
                        <w:r>
                          <w:rPr>
                            <w:spacing w:val="-2"/>
                            <w:w w:val="105"/>
                            <w:sz w:val="16"/>
                          </w:rPr>
                          <w:t>262,498</w:t>
                        </w:r>
                      </w:p>
                    </w:tc>
                  </w:tr>
                </w:tbl>
                <w:p>
                  <w:pPr>
                    <w:pStyle w:val="BodyText"/>
                  </w:pPr>
                </w:p>
              </w:txbxContent>
            </v:textbox>
            <w10:wrap type="none"/>
          </v:shape>
        </w:pict>
      </w:r>
      <w:r>
        <w:rPr>
          <w:b/>
          <w:spacing w:val="-2"/>
          <w:sz w:val="15"/>
        </w:rPr>
        <w:t>Estimated</w:t>
      </w:r>
      <w:r>
        <w:rPr>
          <w:b/>
          <w:spacing w:val="-8"/>
          <w:sz w:val="15"/>
        </w:rPr>
        <w:t> </w:t>
      </w:r>
      <w:r>
        <w:rPr>
          <w:b/>
          <w:spacing w:val="-2"/>
          <w:sz w:val="15"/>
        </w:rPr>
        <w:t>Future</w:t>
      </w:r>
      <w:r>
        <w:rPr>
          <w:b/>
          <w:spacing w:val="-7"/>
          <w:sz w:val="15"/>
        </w:rPr>
        <w:t> </w:t>
      </w:r>
      <w:r>
        <w:rPr>
          <w:b/>
          <w:spacing w:val="-2"/>
          <w:sz w:val="15"/>
        </w:rPr>
        <w:t>Payouts</w:t>
      </w:r>
      <w:r>
        <w:rPr>
          <w:b/>
          <w:spacing w:val="-8"/>
          <w:sz w:val="15"/>
        </w:rPr>
        <w:t> </w:t>
      </w:r>
      <w:r>
        <w:rPr>
          <w:b/>
          <w:spacing w:val="-2"/>
          <w:sz w:val="15"/>
        </w:rPr>
        <w:t>Under</w:t>
      </w:r>
      <w:r>
        <w:rPr>
          <w:b/>
          <w:spacing w:val="40"/>
          <w:sz w:val="15"/>
        </w:rPr>
        <w:t> </w:t>
      </w:r>
      <w:r>
        <w:rPr>
          <w:b/>
          <w:spacing w:val="-4"/>
          <w:sz w:val="15"/>
        </w:rPr>
        <w:t>Non-Equity</w:t>
      </w:r>
      <w:r>
        <w:rPr>
          <w:b/>
          <w:spacing w:val="-2"/>
          <w:sz w:val="15"/>
        </w:rPr>
        <w:t> </w:t>
      </w:r>
      <w:r>
        <w:rPr>
          <w:b/>
          <w:spacing w:val="-4"/>
          <w:sz w:val="15"/>
        </w:rPr>
        <w:t>Incentive</w:t>
      </w:r>
      <w:r>
        <w:rPr>
          <w:b/>
          <w:spacing w:val="-1"/>
          <w:sz w:val="15"/>
        </w:rPr>
        <w:t> </w:t>
      </w:r>
      <w:r>
        <w:rPr>
          <w:b/>
          <w:spacing w:val="-4"/>
          <w:sz w:val="15"/>
        </w:rPr>
        <w:t>Plan</w:t>
      </w:r>
      <w:r>
        <w:rPr>
          <w:b/>
          <w:spacing w:val="-11"/>
          <w:sz w:val="15"/>
        </w:rPr>
        <w:t> </w:t>
      </w:r>
      <w:r>
        <w:rPr>
          <w:b/>
          <w:spacing w:val="-6"/>
          <w:sz w:val="15"/>
        </w:rPr>
        <w:t>Awards</w:t>
      </w:r>
    </w:p>
    <w:p>
      <w:pPr>
        <w:spacing w:line="240" w:lineRule="auto" w:before="0"/>
        <w:rPr>
          <w:b/>
          <w:sz w:val="16"/>
        </w:rPr>
      </w:pPr>
      <w:r>
        <w:rPr/>
        <w:br w:type="column"/>
      </w:r>
      <w:r>
        <w:rPr>
          <w:b/>
          <w:sz w:val="16"/>
        </w:rPr>
      </w:r>
    </w:p>
    <w:p>
      <w:pPr>
        <w:pStyle w:val="BodyText"/>
        <w:spacing w:before="10"/>
        <w:rPr>
          <w:b/>
          <w:sz w:val="14"/>
        </w:rPr>
      </w:pPr>
    </w:p>
    <w:p>
      <w:pPr>
        <w:spacing w:line="232" w:lineRule="auto" w:before="1"/>
        <w:ind w:left="218" w:right="0" w:firstLine="0"/>
        <w:jc w:val="center"/>
        <w:rPr>
          <w:b/>
          <w:sz w:val="15"/>
        </w:rPr>
      </w:pPr>
      <w:r>
        <w:rPr>
          <w:b/>
          <w:spacing w:val="-4"/>
          <w:sz w:val="15"/>
        </w:rPr>
        <w:t>All</w:t>
      </w:r>
      <w:r>
        <w:rPr>
          <w:b/>
          <w:spacing w:val="-7"/>
          <w:sz w:val="15"/>
        </w:rPr>
        <w:t> </w:t>
      </w:r>
      <w:r>
        <w:rPr>
          <w:b/>
          <w:spacing w:val="-4"/>
          <w:sz w:val="15"/>
        </w:rPr>
        <w:t>other</w:t>
      </w:r>
      <w:r>
        <w:rPr>
          <w:b/>
          <w:spacing w:val="40"/>
          <w:sz w:val="15"/>
        </w:rPr>
        <w:t> </w:t>
      </w:r>
      <w:r>
        <w:rPr>
          <w:b/>
          <w:spacing w:val="-2"/>
          <w:sz w:val="15"/>
        </w:rPr>
        <w:t>Stock</w:t>
      </w:r>
      <w:r>
        <w:rPr>
          <w:b/>
          <w:spacing w:val="40"/>
          <w:sz w:val="15"/>
        </w:rPr>
        <w:t> </w:t>
      </w:r>
      <w:r>
        <w:rPr>
          <w:b/>
          <w:spacing w:val="-4"/>
          <w:sz w:val="15"/>
        </w:rPr>
        <w:t>Awards:</w:t>
      </w:r>
      <w:r>
        <w:rPr>
          <w:b/>
          <w:spacing w:val="40"/>
          <w:sz w:val="15"/>
        </w:rPr>
        <w:t> </w:t>
      </w:r>
      <w:r>
        <w:rPr>
          <w:b/>
          <w:sz w:val="15"/>
        </w:rPr>
        <w:t>#</w:t>
      </w:r>
      <w:r>
        <w:rPr>
          <w:b/>
          <w:spacing w:val="-10"/>
          <w:sz w:val="15"/>
        </w:rPr>
        <w:t> </w:t>
      </w:r>
      <w:r>
        <w:rPr>
          <w:b/>
          <w:sz w:val="15"/>
        </w:rPr>
        <w:t>of</w:t>
      </w:r>
    </w:p>
    <w:p>
      <w:pPr>
        <w:spacing w:line="240" w:lineRule="auto" w:before="4"/>
        <w:rPr>
          <w:b/>
          <w:sz w:val="16"/>
        </w:rPr>
      </w:pPr>
      <w:r>
        <w:rPr/>
        <w:br w:type="column"/>
      </w:r>
      <w:r>
        <w:rPr>
          <w:b/>
          <w:sz w:val="16"/>
        </w:rPr>
      </w:r>
    </w:p>
    <w:p>
      <w:pPr>
        <w:spacing w:line="232" w:lineRule="auto" w:before="0"/>
        <w:ind w:left="138" w:right="0" w:firstLine="0"/>
        <w:jc w:val="center"/>
        <w:rPr>
          <w:b/>
          <w:sz w:val="15"/>
        </w:rPr>
      </w:pPr>
      <w:r>
        <w:rPr>
          <w:b/>
          <w:spacing w:val="-4"/>
          <w:sz w:val="15"/>
        </w:rPr>
        <w:t>All</w:t>
      </w:r>
      <w:r>
        <w:rPr>
          <w:b/>
          <w:spacing w:val="-7"/>
          <w:sz w:val="15"/>
        </w:rPr>
        <w:t> </w:t>
      </w:r>
      <w:r>
        <w:rPr>
          <w:b/>
          <w:spacing w:val="-4"/>
          <w:sz w:val="15"/>
        </w:rPr>
        <w:t>Other</w:t>
      </w:r>
      <w:r>
        <w:rPr>
          <w:b/>
          <w:spacing w:val="40"/>
          <w:sz w:val="15"/>
        </w:rPr>
        <w:t> </w:t>
      </w:r>
      <w:r>
        <w:rPr>
          <w:b/>
          <w:spacing w:val="-2"/>
          <w:sz w:val="15"/>
        </w:rPr>
        <w:t>Option</w:t>
      </w:r>
      <w:r>
        <w:rPr>
          <w:b/>
          <w:spacing w:val="40"/>
          <w:sz w:val="15"/>
        </w:rPr>
        <w:t> </w:t>
      </w:r>
      <w:r>
        <w:rPr>
          <w:b/>
          <w:spacing w:val="-2"/>
          <w:sz w:val="15"/>
        </w:rPr>
        <w:t>Awards:</w:t>
      </w:r>
      <w:r>
        <w:rPr>
          <w:b/>
          <w:spacing w:val="40"/>
          <w:sz w:val="15"/>
        </w:rPr>
        <w:t> </w:t>
      </w:r>
      <w:r>
        <w:rPr>
          <w:b/>
          <w:sz w:val="15"/>
        </w:rPr>
        <w:t>#</w:t>
      </w:r>
      <w:r>
        <w:rPr>
          <w:b/>
          <w:spacing w:val="-10"/>
          <w:sz w:val="15"/>
        </w:rPr>
        <w:t> </w:t>
      </w:r>
      <w:r>
        <w:rPr>
          <w:b/>
          <w:sz w:val="15"/>
        </w:rPr>
        <w:t>of</w:t>
      </w:r>
      <w:r>
        <w:rPr>
          <w:b/>
          <w:spacing w:val="40"/>
          <w:sz w:val="15"/>
        </w:rPr>
        <w:t> </w:t>
      </w:r>
      <w:r>
        <w:rPr>
          <w:b/>
          <w:spacing w:val="-4"/>
          <w:sz w:val="15"/>
        </w:rPr>
        <w:t>Securities</w:t>
      </w:r>
    </w:p>
    <w:p>
      <w:pPr>
        <w:spacing w:line="240" w:lineRule="auto" w:before="0"/>
        <w:rPr>
          <w:b/>
          <w:sz w:val="16"/>
        </w:rPr>
      </w:pPr>
      <w:r>
        <w:rPr/>
        <w:br w:type="column"/>
      </w:r>
      <w:r>
        <w:rPr>
          <w:b/>
          <w:sz w:val="16"/>
        </w:rPr>
      </w:r>
    </w:p>
    <w:p>
      <w:pPr>
        <w:pStyle w:val="BodyText"/>
        <w:rPr>
          <w:b/>
          <w:sz w:val="16"/>
        </w:rPr>
      </w:pPr>
    </w:p>
    <w:p>
      <w:pPr>
        <w:pStyle w:val="BodyText"/>
        <w:spacing w:before="6"/>
        <w:rPr>
          <w:b/>
          <w:sz w:val="13"/>
        </w:rPr>
      </w:pPr>
    </w:p>
    <w:p>
      <w:pPr>
        <w:spacing w:line="232" w:lineRule="auto" w:before="0"/>
        <w:ind w:left="147" w:right="0" w:hanging="22"/>
        <w:jc w:val="both"/>
        <w:rPr>
          <w:b/>
          <w:sz w:val="15"/>
        </w:rPr>
      </w:pPr>
      <w:r>
        <w:rPr>
          <w:b/>
          <w:spacing w:val="-6"/>
          <w:sz w:val="15"/>
        </w:rPr>
        <w:t>Exercise</w:t>
      </w:r>
      <w:r>
        <w:rPr>
          <w:b/>
          <w:spacing w:val="40"/>
          <w:sz w:val="15"/>
        </w:rPr>
        <w:t> </w:t>
      </w:r>
      <w:r>
        <w:rPr>
          <w:b/>
          <w:sz w:val="15"/>
        </w:rPr>
        <w:t>or</w:t>
      </w:r>
      <w:r>
        <w:rPr>
          <w:b/>
          <w:spacing w:val="-10"/>
          <w:sz w:val="15"/>
        </w:rPr>
        <w:t> </w:t>
      </w:r>
      <w:r>
        <w:rPr>
          <w:b/>
          <w:sz w:val="15"/>
        </w:rPr>
        <w:t>Base</w:t>
      </w:r>
      <w:r>
        <w:rPr>
          <w:b/>
          <w:spacing w:val="40"/>
          <w:sz w:val="15"/>
        </w:rPr>
        <w:t> </w:t>
      </w:r>
      <w:r>
        <w:rPr>
          <w:b/>
          <w:spacing w:val="-4"/>
          <w:sz w:val="15"/>
        </w:rPr>
        <w:t>Price</w:t>
      </w:r>
      <w:r>
        <w:rPr>
          <w:b/>
          <w:spacing w:val="-3"/>
          <w:sz w:val="15"/>
        </w:rPr>
        <w:t> </w:t>
      </w:r>
      <w:r>
        <w:rPr>
          <w:b/>
          <w:spacing w:val="-5"/>
          <w:sz w:val="15"/>
        </w:rPr>
        <w:t>of</w:t>
      </w:r>
    </w:p>
    <w:p>
      <w:pPr>
        <w:spacing w:line="240" w:lineRule="auto" w:before="0"/>
        <w:rPr>
          <w:b/>
          <w:sz w:val="16"/>
        </w:rPr>
      </w:pPr>
      <w:r>
        <w:rPr/>
        <w:br w:type="column"/>
      </w:r>
      <w:r>
        <w:rPr>
          <w:b/>
          <w:sz w:val="16"/>
        </w:rPr>
      </w:r>
    </w:p>
    <w:p>
      <w:pPr>
        <w:pStyle w:val="BodyText"/>
        <w:spacing w:before="10"/>
        <w:rPr>
          <w:b/>
          <w:sz w:val="14"/>
        </w:rPr>
      </w:pPr>
    </w:p>
    <w:p>
      <w:pPr>
        <w:spacing w:line="232" w:lineRule="auto" w:before="1"/>
        <w:ind w:left="107" w:right="1428" w:firstLine="0"/>
        <w:jc w:val="center"/>
        <w:rPr>
          <w:b/>
          <w:sz w:val="15"/>
        </w:rPr>
      </w:pPr>
      <w:r>
        <w:rPr>
          <w:b/>
          <w:spacing w:val="-4"/>
          <w:sz w:val="15"/>
        </w:rPr>
        <w:t>Grant</w:t>
      </w:r>
      <w:r>
        <w:rPr>
          <w:b/>
          <w:spacing w:val="-7"/>
          <w:sz w:val="15"/>
        </w:rPr>
        <w:t> </w:t>
      </w:r>
      <w:r>
        <w:rPr>
          <w:b/>
          <w:spacing w:val="-4"/>
          <w:sz w:val="15"/>
        </w:rPr>
        <w:t>Date</w:t>
      </w:r>
      <w:r>
        <w:rPr>
          <w:b/>
          <w:spacing w:val="40"/>
          <w:sz w:val="15"/>
        </w:rPr>
        <w:t> </w:t>
      </w:r>
      <w:r>
        <w:rPr>
          <w:b/>
          <w:sz w:val="15"/>
        </w:rPr>
        <w:t>Fair</w:t>
      </w:r>
      <w:r>
        <w:rPr>
          <w:b/>
          <w:spacing w:val="-12"/>
          <w:sz w:val="15"/>
        </w:rPr>
        <w:t> </w:t>
      </w:r>
      <w:r>
        <w:rPr>
          <w:b/>
          <w:sz w:val="15"/>
        </w:rPr>
        <w:t>Value</w:t>
      </w:r>
      <w:r>
        <w:rPr>
          <w:b/>
          <w:spacing w:val="40"/>
          <w:sz w:val="15"/>
        </w:rPr>
        <w:t> </w:t>
      </w:r>
      <w:r>
        <w:rPr>
          <w:b/>
          <w:sz w:val="15"/>
        </w:rPr>
        <w:t>of</w:t>
      </w:r>
      <w:r>
        <w:rPr>
          <w:b/>
          <w:spacing w:val="-10"/>
          <w:sz w:val="15"/>
        </w:rPr>
        <w:t> </w:t>
      </w:r>
      <w:r>
        <w:rPr>
          <w:b/>
          <w:sz w:val="15"/>
        </w:rPr>
        <w:t>Stock</w:t>
      </w:r>
      <w:r>
        <w:rPr>
          <w:b/>
          <w:spacing w:val="40"/>
          <w:sz w:val="15"/>
        </w:rPr>
        <w:t> </w:t>
      </w:r>
      <w:r>
        <w:rPr>
          <w:b/>
          <w:spacing w:val="-4"/>
          <w:sz w:val="15"/>
        </w:rPr>
        <w:t>and</w:t>
      </w:r>
    </w:p>
    <w:p>
      <w:pPr>
        <w:spacing w:after="0" w:line="232" w:lineRule="auto"/>
        <w:jc w:val="center"/>
        <w:rPr>
          <w:sz w:val="15"/>
        </w:rPr>
        <w:sectPr>
          <w:type w:val="continuous"/>
          <w:pgSz w:w="12240" w:h="15840"/>
          <w:pgMar w:header="529" w:footer="1218" w:top="600" w:bottom="960" w:left="480" w:right="460"/>
          <w:cols w:num="5" w:equalWidth="0">
            <w:col w:w="6771" w:space="40"/>
            <w:col w:w="762" w:space="39"/>
            <w:col w:w="733" w:space="39"/>
            <w:col w:w="641" w:space="39"/>
            <w:col w:w="2236"/>
          </w:cols>
        </w:sectPr>
      </w:pPr>
    </w:p>
    <w:p>
      <w:pPr>
        <w:pStyle w:val="BodyText"/>
        <w:spacing w:before="7"/>
        <w:rPr>
          <w:b/>
          <w:sz w:val="4"/>
        </w:rPr>
      </w:pPr>
      <w:r>
        <w:rPr/>
        <w:pict>
          <v:group style="position:absolute;margin-left:28.999998pt;margin-top:752.455994pt;width:555pt;height:1.4pt;mso-position-horizontal-relative:page;mso-position-vertical-relative:page;z-index:15779840" id="docshapegroup356" coordorigin="580,15049" coordsize="11100,28">
            <v:rect style="position:absolute;left:580;top:15049;width:11100;height:14" id="docshape357" filled="true" fillcolor="#999999" stroked="false">
              <v:fill type="solid"/>
            </v:rect>
            <v:shape style="position:absolute;left:579;top:15049;width:11100;height:28" id="docshape358" coordorigin="580,15049" coordsize="11100,28" path="m11680,15049l11666,15063,580,15063,580,15077,11666,15077,11680,15077,11680,15063,11680,15049xe" filled="true" fillcolor="#ededed" stroked="false">
              <v:path arrowok="t"/>
              <v:fill type="solid"/>
            </v:shape>
            <v:shape style="position:absolute;left:580;top:15049;width:14;height:28" id="docshape359" coordorigin="580,15049" coordsize="14,28" path="m580,15077l580,15049,594,15049,594,15063,580,15077xe" filled="true" fillcolor="#999999" stroked="false">
              <v:path arrowok="t"/>
              <v:fill type="solid"/>
            </v:shape>
            <w10:wrap type="none"/>
          </v:group>
        </w:pict>
      </w:r>
    </w:p>
    <w:p>
      <w:pPr>
        <w:pStyle w:val="BodyText"/>
        <w:spacing w:line="20" w:lineRule="exact"/>
        <w:ind w:left="4517"/>
        <w:rPr>
          <w:sz w:val="2"/>
        </w:rPr>
      </w:pPr>
      <w:r>
        <w:rPr>
          <w:sz w:val="2"/>
        </w:rPr>
        <w:pict>
          <v:group style="width:121.65pt;height:.7pt;mso-position-horizontal-relative:char;mso-position-vertical-relative:line" id="docshapegroup360" coordorigin="0,0" coordsize="2433,14">
            <v:rect style="position:absolute;left:-1;top:0;width:2391;height:14" id="docshape361" filled="true" fillcolor="#000000" stroked="false">
              <v:fill type="solid"/>
            </v:rect>
            <v:rect style="position:absolute;left:2376;top:0;width:56;height:14" id="docshape362" filled="true" fillcolor="#ffffff" stroked="false">
              <v:fill type="solid"/>
            </v:rect>
          </v:group>
        </w:pict>
      </w:r>
      <w:r>
        <w:rPr>
          <w:sz w:val="2"/>
        </w:rPr>
      </w:r>
    </w:p>
    <w:p>
      <w:pPr>
        <w:spacing w:after="0" w:line="20" w:lineRule="exact"/>
        <w:rPr>
          <w:sz w:val="2"/>
        </w:rPr>
        <w:sectPr>
          <w:type w:val="continuous"/>
          <w:pgSz w:w="12240" w:h="15840"/>
          <w:pgMar w:header="529" w:footer="1218" w:top="600" w:bottom="960" w:left="480" w:right="460"/>
        </w:sectPr>
      </w:pPr>
    </w:p>
    <w:p>
      <w:pPr>
        <w:pStyle w:val="BodyText"/>
        <w:rPr>
          <w:b/>
          <w:sz w:val="20"/>
        </w:rPr>
      </w:pPr>
    </w:p>
    <w:p>
      <w:pPr>
        <w:pStyle w:val="BodyText"/>
        <w:rPr>
          <w:b/>
          <w:sz w:val="20"/>
        </w:rPr>
      </w:pPr>
    </w:p>
    <w:p>
      <w:pPr>
        <w:pStyle w:val="BodyText"/>
        <w:rPr>
          <w:b/>
          <w:sz w:val="20"/>
        </w:rPr>
      </w:pPr>
    </w:p>
    <w:p>
      <w:pPr>
        <w:pStyle w:val="BodyText"/>
        <w:spacing w:before="8" w:after="1"/>
        <w:rPr>
          <w:b/>
          <w:sz w:val="15"/>
        </w:rPr>
      </w:pPr>
    </w:p>
    <w:p>
      <w:pPr>
        <w:pStyle w:val="BodyText"/>
        <w:spacing w:line="20" w:lineRule="exact"/>
        <w:ind w:left="1400"/>
        <w:rPr>
          <w:sz w:val="2"/>
        </w:rPr>
      </w:pPr>
      <w:r>
        <w:rPr>
          <w:sz w:val="2"/>
        </w:rPr>
        <w:pict>
          <v:group style="width:100.7pt;height:.7pt;mso-position-horizontal-relative:char;mso-position-vertical-relative:line" id="docshapegroup365" coordorigin="0,0" coordsize="2014,14">
            <v:rect style="position:absolute;left:0;top:0;width:2014;height:14" id="docshape366" filled="true" fillcolor="#000000" stroked="false">
              <v:fill type="solid"/>
            </v:rect>
          </v:group>
        </w:pict>
      </w:r>
      <w:r>
        <w:rPr>
          <w:sz w:val="2"/>
        </w:rPr>
      </w:r>
    </w:p>
    <w:p>
      <w:pPr>
        <w:pStyle w:val="ListParagraph"/>
        <w:numPr>
          <w:ilvl w:val="0"/>
          <w:numId w:val="31"/>
        </w:numPr>
        <w:tabs>
          <w:tab w:pos="1773" w:val="left" w:leader="none"/>
        </w:tabs>
        <w:spacing w:line="259" w:lineRule="auto" w:before="147" w:after="0"/>
        <w:ind w:left="1772" w:right="1417" w:hanging="373"/>
        <w:jc w:val="left"/>
        <w:rPr>
          <w:sz w:val="18"/>
        </w:rPr>
      </w:pPr>
      <w:r>
        <w:rPr>
          <w:w w:val="105"/>
          <w:sz w:val="18"/>
        </w:rPr>
        <w:t>These</w:t>
      </w:r>
      <w:r>
        <w:rPr>
          <w:spacing w:val="24"/>
          <w:w w:val="105"/>
          <w:sz w:val="18"/>
        </w:rPr>
        <w:t> </w:t>
      </w:r>
      <w:r>
        <w:rPr>
          <w:w w:val="105"/>
          <w:sz w:val="18"/>
        </w:rPr>
        <w:t>columns</w:t>
      </w:r>
      <w:r>
        <w:rPr>
          <w:spacing w:val="24"/>
          <w:w w:val="105"/>
          <w:sz w:val="18"/>
        </w:rPr>
        <w:t> </w:t>
      </w:r>
      <w:r>
        <w:rPr>
          <w:w w:val="105"/>
          <w:sz w:val="18"/>
        </w:rPr>
        <w:t>represent</w:t>
      </w:r>
      <w:r>
        <w:rPr>
          <w:spacing w:val="24"/>
          <w:w w:val="105"/>
          <w:sz w:val="18"/>
        </w:rPr>
        <w:t> </w:t>
      </w:r>
      <w:r>
        <w:rPr>
          <w:w w:val="105"/>
          <w:sz w:val="18"/>
        </w:rPr>
        <w:t>the</w:t>
      </w:r>
      <w:r>
        <w:rPr>
          <w:spacing w:val="24"/>
          <w:w w:val="105"/>
          <w:sz w:val="18"/>
        </w:rPr>
        <w:t> </w:t>
      </w:r>
      <w:r>
        <w:rPr>
          <w:w w:val="105"/>
          <w:sz w:val="18"/>
        </w:rPr>
        <w:t>potential</w:t>
      </w:r>
      <w:r>
        <w:rPr>
          <w:spacing w:val="24"/>
          <w:w w:val="105"/>
          <w:sz w:val="18"/>
        </w:rPr>
        <w:t> </w:t>
      </w:r>
      <w:r>
        <w:rPr>
          <w:w w:val="105"/>
          <w:sz w:val="18"/>
        </w:rPr>
        <w:t>awards</w:t>
      </w:r>
      <w:r>
        <w:rPr>
          <w:spacing w:val="24"/>
          <w:w w:val="105"/>
          <w:sz w:val="18"/>
        </w:rPr>
        <w:t> </w:t>
      </w:r>
      <w:r>
        <w:rPr>
          <w:w w:val="105"/>
          <w:sz w:val="18"/>
        </w:rPr>
        <w:t>under</w:t>
      </w:r>
      <w:r>
        <w:rPr>
          <w:spacing w:val="24"/>
          <w:w w:val="105"/>
          <w:sz w:val="18"/>
        </w:rPr>
        <w:t> </w:t>
      </w:r>
      <w:r>
        <w:rPr>
          <w:w w:val="105"/>
          <w:sz w:val="18"/>
        </w:rPr>
        <w:t>our</w:t>
      </w:r>
      <w:r>
        <w:rPr>
          <w:spacing w:val="24"/>
          <w:w w:val="105"/>
          <w:sz w:val="18"/>
        </w:rPr>
        <w:t> </w:t>
      </w:r>
      <w:r>
        <w:rPr>
          <w:w w:val="105"/>
          <w:sz w:val="18"/>
        </w:rPr>
        <w:t>MIP</w:t>
      </w:r>
      <w:r>
        <w:rPr>
          <w:spacing w:val="15"/>
          <w:w w:val="105"/>
          <w:sz w:val="18"/>
        </w:rPr>
        <w:t> </w:t>
      </w:r>
      <w:r>
        <w:rPr>
          <w:w w:val="105"/>
          <w:sz w:val="18"/>
        </w:rPr>
        <w:t>for</w:t>
      </w:r>
      <w:r>
        <w:rPr>
          <w:spacing w:val="24"/>
          <w:w w:val="105"/>
          <w:sz w:val="18"/>
        </w:rPr>
        <w:t> </w:t>
      </w:r>
      <w:r>
        <w:rPr>
          <w:w w:val="105"/>
          <w:sz w:val="18"/>
        </w:rPr>
        <w:t>fiscal</w:t>
      </w:r>
      <w:r>
        <w:rPr>
          <w:spacing w:val="24"/>
          <w:w w:val="105"/>
          <w:sz w:val="18"/>
        </w:rPr>
        <w:t> </w:t>
      </w:r>
      <w:r>
        <w:rPr>
          <w:w w:val="105"/>
          <w:sz w:val="18"/>
        </w:rPr>
        <w:t>year</w:t>
      </w:r>
      <w:r>
        <w:rPr>
          <w:spacing w:val="24"/>
          <w:w w:val="105"/>
          <w:sz w:val="18"/>
        </w:rPr>
        <w:t> </w:t>
      </w:r>
      <w:r>
        <w:rPr>
          <w:w w:val="105"/>
          <w:sz w:val="18"/>
        </w:rPr>
        <w:t>2022</w:t>
      </w:r>
      <w:r>
        <w:rPr>
          <w:spacing w:val="24"/>
          <w:w w:val="105"/>
          <w:sz w:val="18"/>
        </w:rPr>
        <w:t> </w:t>
      </w:r>
      <w:r>
        <w:rPr>
          <w:w w:val="105"/>
          <w:sz w:val="18"/>
        </w:rPr>
        <w:t>as</w:t>
      </w:r>
      <w:r>
        <w:rPr>
          <w:spacing w:val="24"/>
          <w:w w:val="105"/>
          <w:sz w:val="18"/>
        </w:rPr>
        <w:t> </w:t>
      </w:r>
      <w:r>
        <w:rPr>
          <w:w w:val="105"/>
          <w:sz w:val="18"/>
        </w:rPr>
        <w:t>further</w:t>
      </w:r>
      <w:r>
        <w:rPr>
          <w:spacing w:val="24"/>
          <w:w w:val="105"/>
          <w:sz w:val="18"/>
        </w:rPr>
        <w:t> </w:t>
      </w:r>
      <w:r>
        <w:rPr>
          <w:w w:val="105"/>
          <w:sz w:val="18"/>
        </w:rPr>
        <w:t>discussed</w:t>
      </w:r>
      <w:r>
        <w:rPr>
          <w:w w:val="105"/>
          <w:sz w:val="18"/>
        </w:rPr>
        <w:t> in “— Compensation Discussion and Analysis — Fiscal year 2022 Compensation Program and Pay Decisions — Annual</w:t>
      </w:r>
      <w:r>
        <w:rPr>
          <w:spacing w:val="26"/>
          <w:w w:val="105"/>
          <w:sz w:val="18"/>
        </w:rPr>
        <w:t> </w:t>
      </w:r>
      <w:r>
        <w:rPr>
          <w:w w:val="105"/>
          <w:sz w:val="18"/>
        </w:rPr>
        <w:t>Cash</w:t>
      </w:r>
      <w:r>
        <w:rPr>
          <w:spacing w:val="26"/>
          <w:w w:val="105"/>
          <w:sz w:val="18"/>
        </w:rPr>
        <w:t> </w:t>
      </w:r>
      <w:r>
        <w:rPr>
          <w:w w:val="105"/>
          <w:sz w:val="18"/>
        </w:rPr>
        <w:t>Incentives”.</w:t>
      </w:r>
      <w:r>
        <w:rPr>
          <w:spacing w:val="20"/>
          <w:w w:val="105"/>
          <w:sz w:val="18"/>
        </w:rPr>
        <w:t> </w:t>
      </w:r>
      <w:r>
        <w:rPr>
          <w:w w:val="105"/>
          <w:sz w:val="18"/>
        </w:rPr>
        <w:t>The</w:t>
      </w:r>
      <w:r>
        <w:rPr>
          <w:spacing w:val="20"/>
          <w:w w:val="105"/>
          <w:sz w:val="18"/>
        </w:rPr>
        <w:t> </w:t>
      </w:r>
      <w:r>
        <w:rPr>
          <w:w w:val="105"/>
          <w:sz w:val="18"/>
        </w:rPr>
        <w:t>Threshold</w:t>
      </w:r>
      <w:r>
        <w:rPr>
          <w:spacing w:val="26"/>
          <w:w w:val="105"/>
          <w:sz w:val="18"/>
        </w:rPr>
        <w:t> </w:t>
      </w:r>
      <w:r>
        <w:rPr>
          <w:w w:val="105"/>
          <w:sz w:val="18"/>
        </w:rPr>
        <w:t>level</w:t>
      </w:r>
      <w:r>
        <w:rPr>
          <w:spacing w:val="26"/>
          <w:w w:val="105"/>
          <w:sz w:val="18"/>
        </w:rPr>
        <w:t> </w:t>
      </w:r>
      <w:r>
        <w:rPr>
          <w:w w:val="105"/>
          <w:sz w:val="18"/>
        </w:rPr>
        <w:t>represents</w:t>
      </w:r>
      <w:r>
        <w:rPr>
          <w:spacing w:val="26"/>
          <w:w w:val="105"/>
          <w:sz w:val="18"/>
        </w:rPr>
        <w:t> </w:t>
      </w:r>
      <w:r>
        <w:rPr>
          <w:w w:val="105"/>
          <w:sz w:val="18"/>
        </w:rPr>
        <w:t>the</w:t>
      </w:r>
      <w:r>
        <w:rPr>
          <w:spacing w:val="26"/>
          <w:w w:val="105"/>
          <w:sz w:val="18"/>
        </w:rPr>
        <w:t> </w:t>
      </w:r>
      <w:r>
        <w:rPr>
          <w:w w:val="105"/>
          <w:sz w:val="18"/>
        </w:rPr>
        <w:t>award</w:t>
      </w:r>
      <w:r>
        <w:rPr>
          <w:spacing w:val="26"/>
          <w:w w:val="105"/>
          <w:sz w:val="18"/>
        </w:rPr>
        <w:t> </w:t>
      </w:r>
      <w:r>
        <w:rPr>
          <w:w w:val="105"/>
          <w:sz w:val="18"/>
        </w:rPr>
        <w:t>that</w:t>
      </w:r>
      <w:r>
        <w:rPr>
          <w:spacing w:val="26"/>
          <w:w w:val="105"/>
          <w:sz w:val="18"/>
        </w:rPr>
        <w:t> </w:t>
      </w:r>
      <w:r>
        <w:rPr>
          <w:w w:val="105"/>
          <w:sz w:val="18"/>
        </w:rPr>
        <w:t>would</w:t>
      </w:r>
      <w:r>
        <w:rPr>
          <w:spacing w:val="26"/>
          <w:w w:val="105"/>
          <w:sz w:val="18"/>
        </w:rPr>
        <w:t> </w:t>
      </w:r>
      <w:r>
        <w:rPr>
          <w:w w:val="105"/>
          <w:sz w:val="18"/>
        </w:rPr>
        <w:t>be</w:t>
      </w:r>
      <w:r>
        <w:rPr>
          <w:spacing w:val="26"/>
          <w:w w:val="105"/>
          <w:sz w:val="18"/>
        </w:rPr>
        <w:t> </w:t>
      </w:r>
      <w:r>
        <w:rPr>
          <w:w w:val="105"/>
          <w:sz w:val="18"/>
        </w:rPr>
        <w:t>paid upon attainment of the minimum achievement level with a payout. Below such performance level, no bonus is earned. The dollar value of the actual bonus award earned for fiscal year 2022 for each NEO is</w:t>
      </w:r>
      <w:r>
        <w:rPr>
          <w:spacing w:val="80"/>
          <w:w w:val="105"/>
          <w:sz w:val="18"/>
        </w:rPr>
        <w:t> </w:t>
      </w:r>
      <w:r>
        <w:rPr>
          <w:w w:val="105"/>
          <w:sz w:val="18"/>
        </w:rPr>
        <w:t>set forth in the Summary Compensation Table (refer to “— Summary Compensation Table” above). As such,</w:t>
      </w:r>
      <w:r>
        <w:rPr>
          <w:spacing w:val="22"/>
          <w:w w:val="105"/>
          <w:sz w:val="18"/>
        </w:rPr>
        <w:t> </w:t>
      </w:r>
      <w:r>
        <w:rPr>
          <w:w w:val="105"/>
          <w:sz w:val="18"/>
        </w:rPr>
        <w:t>the</w:t>
      </w:r>
      <w:r>
        <w:rPr>
          <w:spacing w:val="22"/>
          <w:w w:val="105"/>
          <w:sz w:val="18"/>
        </w:rPr>
        <w:t> </w:t>
      </w:r>
      <w:r>
        <w:rPr>
          <w:w w:val="105"/>
          <w:sz w:val="18"/>
        </w:rPr>
        <w:t>amounts</w:t>
      </w:r>
      <w:r>
        <w:rPr>
          <w:spacing w:val="22"/>
          <w:w w:val="105"/>
          <w:sz w:val="18"/>
        </w:rPr>
        <w:t> </w:t>
      </w:r>
      <w:r>
        <w:rPr>
          <w:w w:val="105"/>
          <w:sz w:val="18"/>
        </w:rPr>
        <w:t>set</w:t>
      </w:r>
      <w:r>
        <w:rPr>
          <w:spacing w:val="22"/>
          <w:w w:val="105"/>
          <w:sz w:val="18"/>
        </w:rPr>
        <w:t> </w:t>
      </w:r>
      <w:r>
        <w:rPr>
          <w:w w:val="105"/>
          <w:sz w:val="18"/>
        </w:rPr>
        <w:t>forth</w:t>
      </w:r>
      <w:r>
        <w:rPr>
          <w:spacing w:val="22"/>
          <w:w w:val="105"/>
          <w:sz w:val="18"/>
        </w:rPr>
        <w:t> </w:t>
      </w:r>
      <w:r>
        <w:rPr>
          <w:w w:val="105"/>
          <w:sz w:val="18"/>
        </w:rPr>
        <w:t>in</w:t>
      </w:r>
      <w:r>
        <w:rPr>
          <w:spacing w:val="22"/>
          <w:w w:val="105"/>
          <w:sz w:val="18"/>
        </w:rPr>
        <w:t> </w:t>
      </w:r>
      <w:r>
        <w:rPr>
          <w:w w:val="105"/>
          <w:sz w:val="18"/>
        </w:rPr>
        <w:t>this</w:t>
      </w:r>
      <w:r>
        <w:rPr>
          <w:spacing w:val="22"/>
          <w:w w:val="105"/>
          <w:sz w:val="18"/>
        </w:rPr>
        <w:t> </w:t>
      </w:r>
      <w:r>
        <w:rPr>
          <w:w w:val="105"/>
          <w:sz w:val="18"/>
        </w:rPr>
        <w:t>column</w:t>
      </w:r>
      <w:r>
        <w:rPr>
          <w:spacing w:val="22"/>
          <w:w w:val="105"/>
          <w:sz w:val="18"/>
        </w:rPr>
        <w:t> </w:t>
      </w:r>
      <w:r>
        <w:rPr>
          <w:w w:val="105"/>
          <w:sz w:val="18"/>
        </w:rPr>
        <w:t>do</w:t>
      </w:r>
      <w:r>
        <w:rPr>
          <w:spacing w:val="22"/>
          <w:w w:val="105"/>
          <w:sz w:val="18"/>
        </w:rPr>
        <w:t> </w:t>
      </w:r>
      <w:r>
        <w:rPr>
          <w:w w:val="105"/>
          <w:sz w:val="18"/>
        </w:rPr>
        <w:t>not</w:t>
      </w:r>
      <w:r>
        <w:rPr>
          <w:spacing w:val="22"/>
          <w:w w:val="105"/>
          <w:sz w:val="18"/>
        </w:rPr>
        <w:t> </w:t>
      </w:r>
      <w:r>
        <w:rPr>
          <w:w w:val="105"/>
          <w:sz w:val="18"/>
        </w:rPr>
        <w:t>represent</w:t>
      </w:r>
      <w:r>
        <w:rPr>
          <w:spacing w:val="22"/>
          <w:w w:val="105"/>
          <w:sz w:val="18"/>
        </w:rPr>
        <w:t> </w:t>
      </w:r>
      <w:r>
        <w:rPr>
          <w:w w:val="105"/>
          <w:sz w:val="18"/>
        </w:rPr>
        <w:t>the</w:t>
      </w:r>
      <w:r>
        <w:rPr>
          <w:spacing w:val="22"/>
          <w:w w:val="105"/>
          <w:sz w:val="18"/>
        </w:rPr>
        <w:t> </w:t>
      </w:r>
      <w:r>
        <w:rPr>
          <w:w w:val="105"/>
          <w:sz w:val="18"/>
        </w:rPr>
        <w:t>actual</w:t>
      </w:r>
      <w:r>
        <w:rPr>
          <w:spacing w:val="22"/>
          <w:w w:val="105"/>
          <w:sz w:val="18"/>
        </w:rPr>
        <w:t> </w:t>
      </w:r>
      <w:r>
        <w:rPr>
          <w:w w:val="105"/>
          <w:sz w:val="18"/>
        </w:rPr>
        <w:t>compensation</w:t>
      </w:r>
      <w:r>
        <w:rPr>
          <w:spacing w:val="22"/>
          <w:w w:val="105"/>
          <w:sz w:val="18"/>
        </w:rPr>
        <w:t> </w:t>
      </w:r>
      <w:r>
        <w:rPr>
          <w:w w:val="105"/>
          <w:sz w:val="18"/>
        </w:rPr>
        <w:t>earned</w:t>
      </w:r>
      <w:r>
        <w:rPr>
          <w:spacing w:val="22"/>
          <w:w w:val="105"/>
          <w:sz w:val="18"/>
        </w:rPr>
        <w:t> </w:t>
      </w:r>
      <w:r>
        <w:rPr>
          <w:w w:val="105"/>
          <w:sz w:val="18"/>
        </w:rPr>
        <w:t>by</w:t>
      </w:r>
      <w:r>
        <w:rPr>
          <w:spacing w:val="22"/>
          <w:w w:val="105"/>
          <w:sz w:val="18"/>
        </w:rPr>
        <w:t> </w:t>
      </w:r>
      <w:r>
        <w:rPr>
          <w:w w:val="105"/>
          <w:sz w:val="18"/>
        </w:rPr>
        <w:t>any</w:t>
      </w:r>
      <w:r>
        <w:rPr>
          <w:spacing w:val="22"/>
          <w:w w:val="105"/>
          <w:sz w:val="18"/>
        </w:rPr>
        <w:t> </w:t>
      </w:r>
      <w:r>
        <w:rPr>
          <w:w w:val="105"/>
          <w:sz w:val="18"/>
        </w:rPr>
        <w:t>of</w:t>
      </w:r>
      <w:r>
        <w:rPr>
          <w:w w:val="105"/>
          <w:sz w:val="18"/>
        </w:rPr>
        <w:t> the NEOs for fiscal year 2022.</w:t>
      </w:r>
    </w:p>
    <w:p>
      <w:pPr>
        <w:pStyle w:val="ListParagraph"/>
        <w:numPr>
          <w:ilvl w:val="0"/>
          <w:numId w:val="31"/>
        </w:numPr>
        <w:tabs>
          <w:tab w:pos="1773" w:val="left" w:leader="none"/>
        </w:tabs>
        <w:spacing w:line="259" w:lineRule="auto" w:before="71" w:after="0"/>
        <w:ind w:left="1772" w:right="1560" w:hanging="373"/>
        <w:jc w:val="left"/>
        <w:rPr>
          <w:sz w:val="18"/>
        </w:rPr>
      </w:pPr>
      <w:r>
        <w:rPr>
          <w:w w:val="105"/>
          <w:sz w:val="18"/>
        </w:rPr>
        <w:t>Each</w:t>
      </w:r>
      <w:r>
        <w:rPr>
          <w:spacing w:val="20"/>
          <w:w w:val="105"/>
          <w:sz w:val="18"/>
        </w:rPr>
        <w:t> </w:t>
      </w:r>
      <w:r>
        <w:rPr>
          <w:w w:val="105"/>
          <w:sz w:val="18"/>
        </w:rPr>
        <w:t>RSU</w:t>
      </w:r>
      <w:r>
        <w:rPr>
          <w:spacing w:val="20"/>
          <w:w w:val="105"/>
          <w:sz w:val="18"/>
        </w:rPr>
        <w:t> </w:t>
      </w:r>
      <w:r>
        <w:rPr>
          <w:w w:val="105"/>
          <w:sz w:val="18"/>
        </w:rPr>
        <w:t>award</w:t>
      </w:r>
      <w:r>
        <w:rPr>
          <w:spacing w:val="20"/>
          <w:w w:val="105"/>
          <w:sz w:val="18"/>
        </w:rPr>
        <w:t> </w:t>
      </w:r>
      <w:r>
        <w:rPr>
          <w:w w:val="105"/>
          <w:sz w:val="18"/>
        </w:rPr>
        <w:t>was</w:t>
      </w:r>
      <w:r>
        <w:rPr>
          <w:spacing w:val="20"/>
          <w:w w:val="105"/>
          <w:sz w:val="18"/>
        </w:rPr>
        <w:t> </w:t>
      </w:r>
      <w:r>
        <w:rPr>
          <w:w w:val="105"/>
          <w:sz w:val="18"/>
        </w:rPr>
        <w:t>granted</w:t>
      </w:r>
      <w:r>
        <w:rPr>
          <w:spacing w:val="20"/>
          <w:w w:val="105"/>
          <w:sz w:val="18"/>
        </w:rPr>
        <w:t> </w:t>
      </w:r>
      <w:r>
        <w:rPr>
          <w:w w:val="105"/>
          <w:sz w:val="18"/>
        </w:rPr>
        <w:t>under</w:t>
      </w:r>
      <w:r>
        <w:rPr>
          <w:spacing w:val="20"/>
          <w:w w:val="105"/>
          <w:sz w:val="18"/>
        </w:rPr>
        <w:t> </w:t>
      </w:r>
      <w:r>
        <w:rPr>
          <w:w w:val="105"/>
          <w:sz w:val="18"/>
        </w:rPr>
        <w:t>the</w:t>
      </w:r>
      <w:r>
        <w:rPr>
          <w:spacing w:val="20"/>
          <w:w w:val="105"/>
          <w:sz w:val="18"/>
        </w:rPr>
        <w:t> </w:t>
      </w:r>
      <w:r>
        <w:rPr>
          <w:w w:val="105"/>
          <w:sz w:val="18"/>
        </w:rPr>
        <w:t>2020</w:t>
      </w:r>
      <w:r>
        <w:rPr>
          <w:spacing w:val="20"/>
          <w:w w:val="105"/>
          <w:sz w:val="18"/>
        </w:rPr>
        <w:t> </w:t>
      </w:r>
      <w:r>
        <w:rPr>
          <w:w w:val="105"/>
          <w:sz w:val="18"/>
        </w:rPr>
        <w:t>Stock</w:t>
      </w:r>
      <w:r>
        <w:rPr>
          <w:spacing w:val="20"/>
          <w:w w:val="105"/>
          <w:sz w:val="18"/>
        </w:rPr>
        <w:t> </w:t>
      </w:r>
      <w:r>
        <w:rPr>
          <w:w w:val="105"/>
          <w:sz w:val="18"/>
        </w:rPr>
        <w:t>Plan</w:t>
      </w:r>
      <w:r>
        <w:rPr>
          <w:spacing w:val="20"/>
          <w:w w:val="105"/>
          <w:sz w:val="18"/>
        </w:rPr>
        <w:t> </w:t>
      </w:r>
      <w:r>
        <w:rPr>
          <w:w w:val="105"/>
          <w:sz w:val="18"/>
        </w:rPr>
        <w:t>and</w:t>
      </w:r>
      <w:r>
        <w:rPr>
          <w:spacing w:val="20"/>
          <w:w w:val="105"/>
          <w:sz w:val="18"/>
        </w:rPr>
        <w:t> </w:t>
      </w:r>
      <w:r>
        <w:rPr>
          <w:w w:val="105"/>
          <w:sz w:val="18"/>
        </w:rPr>
        <w:t>vests</w:t>
      </w:r>
      <w:r>
        <w:rPr>
          <w:spacing w:val="20"/>
          <w:w w:val="105"/>
          <w:sz w:val="18"/>
        </w:rPr>
        <w:t> </w:t>
      </w:r>
      <w:r>
        <w:rPr>
          <w:w w:val="105"/>
          <w:sz w:val="18"/>
        </w:rPr>
        <w:t>50%</w:t>
      </w:r>
      <w:r>
        <w:rPr>
          <w:spacing w:val="20"/>
          <w:w w:val="105"/>
          <w:sz w:val="18"/>
        </w:rPr>
        <w:t> </w:t>
      </w:r>
      <w:r>
        <w:rPr>
          <w:w w:val="105"/>
          <w:sz w:val="18"/>
        </w:rPr>
        <w:t>on</w:t>
      </w:r>
      <w:r>
        <w:rPr>
          <w:spacing w:val="20"/>
          <w:w w:val="105"/>
          <w:sz w:val="18"/>
        </w:rPr>
        <w:t> </w:t>
      </w:r>
      <w:r>
        <w:rPr>
          <w:w w:val="105"/>
          <w:sz w:val="18"/>
        </w:rPr>
        <w:t>December</w:t>
      </w:r>
      <w:r>
        <w:rPr>
          <w:spacing w:val="20"/>
          <w:w w:val="105"/>
          <w:sz w:val="18"/>
        </w:rPr>
        <w:t> </w:t>
      </w:r>
      <w:r>
        <w:rPr>
          <w:w w:val="105"/>
          <w:sz w:val="18"/>
        </w:rPr>
        <w:t>10,</w:t>
      </w:r>
      <w:r>
        <w:rPr>
          <w:spacing w:val="20"/>
          <w:w w:val="105"/>
          <w:sz w:val="18"/>
        </w:rPr>
        <w:t> </w:t>
      </w:r>
      <w:r>
        <w:rPr>
          <w:w w:val="105"/>
          <w:sz w:val="18"/>
        </w:rPr>
        <w:t>2023</w:t>
      </w:r>
      <w:r>
        <w:rPr>
          <w:spacing w:val="20"/>
          <w:w w:val="105"/>
          <w:sz w:val="18"/>
        </w:rPr>
        <w:t> </w:t>
      </w:r>
      <w:r>
        <w:rPr>
          <w:w w:val="105"/>
          <w:sz w:val="18"/>
        </w:rPr>
        <w:t>and 50% on December 10, 2025. Vesting will occur only if the NEO is employed by the Company or an affiliate through each vesting date, except in cases involving death, disability, or termination without cause or for good reason in the change of control context. Additionally, such awards will accelerate in</w:t>
      </w:r>
      <w:r>
        <w:rPr>
          <w:spacing w:val="40"/>
          <w:w w:val="105"/>
          <w:sz w:val="18"/>
        </w:rPr>
        <w:t> </w:t>
      </w:r>
      <w:r>
        <w:rPr>
          <w:w w:val="105"/>
          <w:sz w:val="18"/>
        </w:rPr>
        <w:t>the</w:t>
      </w:r>
      <w:r>
        <w:rPr>
          <w:spacing w:val="25"/>
          <w:w w:val="105"/>
          <w:sz w:val="18"/>
        </w:rPr>
        <w:t> </w:t>
      </w:r>
      <w:r>
        <w:rPr>
          <w:w w:val="105"/>
          <w:sz w:val="18"/>
        </w:rPr>
        <w:t>event</w:t>
      </w:r>
      <w:r>
        <w:rPr>
          <w:spacing w:val="25"/>
          <w:w w:val="105"/>
          <w:sz w:val="18"/>
        </w:rPr>
        <w:t> </w:t>
      </w:r>
      <w:r>
        <w:rPr>
          <w:w w:val="105"/>
          <w:sz w:val="18"/>
        </w:rPr>
        <w:t>of</w:t>
      </w:r>
      <w:r>
        <w:rPr>
          <w:spacing w:val="25"/>
          <w:w w:val="105"/>
          <w:sz w:val="18"/>
        </w:rPr>
        <w:t> </w:t>
      </w:r>
      <w:r>
        <w:rPr>
          <w:w w:val="105"/>
          <w:sz w:val="18"/>
        </w:rPr>
        <w:t>certain</w:t>
      </w:r>
      <w:r>
        <w:rPr>
          <w:spacing w:val="25"/>
          <w:w w:val="105"/>
          <w:sz w:val="18"/>
        </w:rPr>
        <w:t> </w:t>
      </w:r>
      <w:r>
        <w:rPr>
          <w:w w:val="105"/>
          <w:sz w:val="18"/>
        </w:rPr>
        <w:t>corporate</w:t>
      </w:r>
      <w:r>
        <w:rPr>
          <w:spacing w:val="25"/>
          <w:w w:val="105"/>
          <w:sz w:val="18"/>
        </w:rPr>
        <w:t> </w:t>
      </w:r>
      <w:r>
        <w:rPr>
          <w:w w:val="105"/>
          <w:sz w:val="18"/>
        </w:rPr>
        <w:t>transactions</w:t>
      </w:r>
      <w:r>
        <w:rPr>
          <w:spacing w:val="25"/>
          <w:w w:val="105"/>
          <w:sz w:val="18"/>
        </w:rPr>
        <w:t> </w:t>
      </w:r>
      <w:r>
        <w:rPr>
          <w:w w:val="105"/>
          <w:sz w:val="18"/>
        </w:rPr>
        <w:t>if</w:t>
      </w:r>
      <w:r>
        <w:rPr>
          <w:spacing w:val="25"/>
          <w:w w:val="105"/>
          <w:sz w:val="18"/>
        </w:rPr>
        <w:t> </w:t>
      </w:r>
      <w:r>
        <w:rPr>
          <w:w w:val="105"/>
          <w:sz w:val="18"/>
        </w:rPr>
        <w:t>such</w:t>
      </w:r>
      <w:r>
        <w:rPr>
          <w:spacing w:val="25"/>
          <w:w w:val="105"/>
          <w:sz w:val="18"/>
        </w:rPr>
        <w:t> </w:t>
      </w:r>
      <w:r>
        <w:rPr>
          <w:w w:val="105"/>
          <w:sz w:val="18"/>
        </w:rPr>
        <w:t>awards</w:t>
      </w:r>
      <w:r>
        <w:rPr>
          <w:spacing w:val="25"/>
          <w:w w:val="105"/>
          <w:sz w:val="18"/>
        </w:rPr>
        <w:t> </w:t>
      </w:r>
      <w:r>
        <w:rPr>
          <w:w w:val="105"/>
          <w:sz w:val="18"/>
        </w:rPr>
        <w:t>are</w:t>
      </w:r>
      <w:r>
        <w:rPr>
          <w:spacing w:val="25"/>
          <w:w w:val="105"/>
          <w:sz w:val="18"/>
        </w:rPr>
        <w:t> </w:t>
      </w:r>
      <w:r>
        <w:rPr>
          <w:w w:val="105"/>
          <w:sz w:val="18"/>
        </w:rPr>
        <w:t>not</w:t>
      </w:r>
      <w:r>
        <w:rPr>
          <w:spacing w:val="25"/>
          <w:w w:val="105"/>
          <w:sz w:val="18"/>
        </w:rPr>
        <w:t> </w:t>
      </w:r>
      <w:r>
        <w:rPr>
          <w:w w:val="105"/>
          <w:sz w:val="18"/>
        </w:rPr>
        <w:t>assumed,</w:t>
      </w:r>
      <w:r>
        <w:rPr>
          <w:spacing w:val="25"/>
          <w:w w:val="105"/>
          <w:sz w:val="18"/>
        </w:rPr>
        <w:t> </w:t>
      </w:r>
      <w:r>
        <w:rPr>
          <w:w w:val="105"/>
          <w:sz w:val="18"/>
        </w:rPr>
        <w:t>continued,</w:t>
      </w:r>
      <w:r>
        <w:rPr>
          <w:spacing w:val="25"/>
          <w:w w:val="105"/>
          <w:sz w:val="18"/>
        </w:rPr>
        <w:t> </w:t>
      </w:r>
      <w:r>
        <w:rPr>
          <w:w w:val="105"/>
          <w:sz w:val="18"/>
        </w:rPr>
        <w:t>or</w:t>
      </w:r>
      <w:r>
        <w:rPr>
          <w:spacing w:val="25"/>
          <w:w w:val="105"/>
          <w:sz w:val="18"/>
        </w:rPr>
        <w:t> </w:t>
      </w:r>
      <w:r>
        <w:rPr>
          <w:w w:val="105"/>
          <w:sz w:val="18"/>
        </w:rPr>
        <w:t>substituted. See “— Potential Payments Upon Termination or Change in Control.”</w:t>
      </w:r>
    </w:p>
    <w:p>
      <w:pPr>
        <w:pStyle w:val="ListParagraph"/>
        <w:numPr>
          <w:ilvl w:val="0"/>
          <w:numId w:val="31"/>
        </w:numPr>
        <w:tabs>
          <w:tab w:pos="1773" w:val="left" w:leader="none"/>
        </w:tabs>
        <w:spacing w:line="259" w:lineRule="auto" w:before="71" w:after="0"/>
        <w:ind w:left="1772" w:right="1560" w:hanging="373"/>
        <w:jc w:val="left"/>
        <w:rPr>
          <w:sz w:val="18"/>
        </w:rPr>
      </w:pPr>
      <w:r>
        <w:rPr>
          <w:w w:val="105"/>
          <w:sz w:val="18"/>
        </w:rPr>
        <w:t>Each</w:t>
      </w:r>
      <w:r>
        <w:rPr>
          <w:spacing w:val="13"/>
          <w:w w:val="105"/>
          <w:sz w:val="18"/>
        </w:rPr>
        <w:t> </w:t>
      </w:r>
      <w:r>
        <w:rPr>
          <w:w w:val="105"/>
          <w:sz w:val="18"/>
        </w:rPr>
        <w:t>stock</w:t>
      </w:r>
      <w:r>
        <w:rPr>
          <w:spacing w:val="13"/>
          <w:w w:val="105"/>
          <w:sz w:val="18"/>
        </w:rPr>
        <w:t> </w:t>
      </w:r>
      <w:r>
        <w:rPr>
          <w:w w:val="105"/>
          <w:sz w:val="18"/>
        </w:rPr>
        <w:t>option</w:t>
      </w:r>
      <w:r>
        <w:rPr>
          <w:spacing w:val="13"/>
          <w:w w:val="105"/>
          <w:sz w:val="18"/>
        </w:rPr>
        <w:t> </w:t>
      </w:r>
      <w:r>
        <w:rPr>
          <w:w w:val="105"/>
          <w:sz w:val="18"/>
        </w:rPr>
        <w:t>award</w:t>
      </w:r>
      <w:r>
        <w:rPr>
          <w:spacing w:val="13"/>
          <w:w w:val="105"/>
          <w:sz w:val="18"/>
        </w:rPr>
        <w:t> </w:t>
      </w:r>
      <w:r>
        <w:rPr>
          <w:w w:val="105"/>
          <w:sz w:val="18"/>
        </w:rPr>
        <w:t>was</w:t>
      </w:r>
      <w:r>
        <w:rPr>
          <w:spacing w:val="13"/>
          <w:w w:val="105"/>
          <w:sz w:val="18"/>
        </w:rPr>
        <w:t> </w:t>
      </w:r>
      <w:r>
        <w:rPr>
          <w:w w:val="105"/>
          <w:sz w:val="18"/>
        </w:rPr>
        <w:t>granted</w:t>
      </w:r>
      <w:r>
        <w:rPr>
          <w:spacing w:val="13"/>
          <w:w w:val="105"/>
          <w:sz w:val="18"/>
        </w:rPr>
        <w:t> </w:t>
      </w:r>
      <w:r>
        <w:rPr>
          <w:w w:val="105"/>
          <w:sz w:val="18"/>
        </w:rPr>
        <w:t>under</w:t>
      </w:r>
      <w:r>
        <w:rPr>
          <w:spacing w:val="13"/>
          <w:w w:val="105"/>
          <w:sz w:val="18"/>
        </w:rPr>
        <w:t> </w:t>
      </w:r>
      <w:r>
        <w:rPr>
          <w:w w:val="105"/>
          <w:sz w:val="18"/>
        </w:rPr>
        <w:t>the</w:t>
      </w:r>
      <w:r>
        <w:rPr>
          <w:spacing w:val="13"/>
          <w:w w:val="105"/>
          <w:sz w:val="18"/>
        </w:rPr>
        <w:t> </w:t>
      </w:r>
      <w:r>
        <w:rPr>
          <w:w w:val="105"/>
          <w:sz w:val="18"/>
        </w:rPr>
        <w:t>2020</w:t>
      </w:r>
      <w:r>
        <w:rPr>
          <w:spacing w:val="13"/>
          <w:w w:val="105"/>
          <w:sz w:val="18"/>
        </w:rPr>
        <w:t> </w:t>
      </w:r>
      <w:r>
        <w:rPr>
          <w:w w:val="105"/>
          <w:sz w:val="18"/>
        </w:rPr>
        <w:t>Stock</w:t>
      </w:r>
      <w:r>
        <w:rPr>
          <w:spacing w:val="13"/>
          <w:w w:val="105"/>
          <w:sz w:val="18"/>
        </w:rPr>
        <w:t> </w:t>
      </w:r>
      <w:r>
        <w:rPr>
          <w:w w:val="105"/>
          <w:sz w:val="18"/>
        </w:rPr>
        <w:t>Plan</w:t>
      </w:r>
      <w:r>
        <w:rPr>
          <w:spacing w:val="13"/>
          <w:w w:val="105"/>
          <w:sz w:val="18"/>
        </w:rPr>
        <w:t> </w:t>
      </w:r>
      <w:r>
        <w:rPr>
          <w:w w:val="105"/>
          <w:sz w:val="18"/>
        </w:rPr>
        <w:t>with</w:t>
      </w:r>
      <w:r>
        <w:rPr>
          <w:spacing w:val="13"/>
          <w:w w:val="105"/>
          <w:sz w:val="18"/>
        </w:rPr>
        <w:t> </w:t>
      </w:r>
      <w:r>
        <w:rPr>
          <w:w w:val="105"/>
          <w:sz w:val="18"/>
        </w:rPr>
        <w:t>an</w:t>
      </w:r>
      <w:r>
        <w:rPr>
          <w:spacing w:val="13"/>
          <w:w w:val="105"/>
          <w:sz w:val="18"/>
        </w:rPr>
        <w:t> </w:t>
      </w:r>
      <w:r>
        <w:rPr>
          <w:w w:val="105"/>
          <w:sz w:val="18"/>
        </w:rPr>
        <w:t>exercise</w:t>
      </w:r>
      <w:r>
        <w:rPr>
          <w:spacing w:val="13"/>
          <w:w w:val="105"/>
          <w:sz w:val="18"/>
        </w:rPr>
        <w:t> </w:t>
      </w:r>
      <w:r>
        <w:rPr>
          <w:w w:val="105"/>
          <w:sz w:val="18"/>
        </w:rPr>
        <w:t>price</w:t>
      </w:r>
      <w:r>
        <w:rPr>
          <w:spacing w:val="13"/>
          <w:w w:val="105"/>
          <w:sz w:val="18"/>
        </w:rPr>
        <w:t> </w:t>
      </w:r>
      <w:r>
        <w:rPr>
          <w:w w:val="105"/>
          <w:sz w:val="18"/>
        </w:rPr>
        <w:t>equal</w:t>
      </w:r>
      <w:r>
        <w:rPr>
          <w:spacing w:val="13"/>
          <w:w w:val="105"/>
          <w:sz w:val="18"/>
        </w:rPr>
        <w:t> </w:t>
      </w:r>
      <w:r>
        <w:rPr>
          <w:w w:val="105"/>
          <w:sz w:val="18"/>
        </w:rPr>
        <w:t>to</w:t>
      </w:r>
      <w:r>
        <w:rPr>
          <w:spacing w:val="13"/>
          <w:w w:val="105"/>
          <w:sz w:val="18"/>
        </w:rPr>
        <w:t> </w:t>
      </w:r>
      <w:r>
        <w:rPr>
          <w:w w:val="105"/>
          <w:sz w:val="18"/>
        </w:rPr>
        <w:t>110% of the closing price of the underlying shares on the grant date and will expire ten years from the grant</w:t>
      </w:r>
      <w:r>
        <w:rPr>
          <w:spacing w:val="40"/>
          <w:w w:val="105"/>
          <w:sz w:val="18"/>
        </w:rPr>
        <w:t> </w:t>
      </w:r>
      <w:r>
        <w:rPr>
          <w:w w:val="105"/>
          <w:sz w:val="18"/>
        </w:rPr>
        <w:t>date unless NEO employment with the Company or an affiliate terminates earlier. One fourth of the</w:t>
      </w:r>
      <w:r>
        <w:rPr>
          <w:spacing w:val="40"/>
          <w:w w:val="105"/>
          <w:sz w:val="18"/>
        </w:rPr>
        <w:t> </w:t>
      </w:r>
      <w:r>
        <w:rPr>
          <w:w w:val="105"/>
          <w:sz w:val="18"/>
        </w:rPr>
        <w:t>stock option grant vests on December 10, 2022 and the remainder vests monthly during the following</w:t>
      </w:r>
      <w:r>
        <w:rPr>
          <w:spacing w:val="40"/>
          <w:w w:val="105"/>
          <w:sz w:val="18"/>
        </w:rPr>
        <w:t> </w:t>
      </w:r>
      <w:r>
        <w:rPr>
          <w:w w:val="105"/>
          <w:sz w:val="18"/>
        </w:rPr>
        <w:t>36-month period. Vesting will occur only if the NEO is employed by the Company or an affiliate</w:t>
      </w:r>
      <w:r>
        <w:rPr>
          <w:spacing w:val="40"/>
          <w:w w:val="105"/>
          <w:sz w:val="18"/>
        </w:rPr>
        <w:t> </w:t>
      </w:r>
      <w:r>
        <w:rPr>
          <w:w w:val="105"/>
          <w:sz w:val="18"/>
        </w:rPr>
        <w:t>through each vesting date, except in cases involving death, disability, or termination without cause or good reason in the change of control context. Additionally, such awards will accelerate in the event of certain corporate transactions if such awards are not assumed, continued, or substituted. See “—</w:t>
      </w:r>
      <w:r>
        <w:rPr>
          <w:spacing w:val="40"/>
          <w:w w:val="105"/>
          <w:sz w:val="18"/>
        </w:rPr>
        <w:t> </w:t>
      </w:r>
      <w:r>
        <w:rPr>
          <w:w w:val="105"/>
          <w:sz w:val="18"/>
        </w:rPr>
        <w:t>Potential Payments Upon Termination or Change in Control.”</w:t>
      </w:r>
    </w:p>
    <w:p>
      <w:pPr>
        <w:pStyle w:val="ListParagraph"/>
        <w:numPr>
          <w:ilvl w:val="0"/>
          <w:numId w:val="31"/>
        </w:numPr>
        <w:tabs>
          <w:tab w:pos="1773" w:val="left" w:leader="none"/>
        </w:tabs>
        <w:spacing w:line="259" w:lineRule="auto" w:before="71" w:after="0"/>
        <w:ind w:left="1772" w:right="1459" w:hanging="373"/>
        <w:jc w:val="left"/>
        <w:rPr>
          <w:sz w:val="18"/>
        </w:rPr>
      </w:pPr>
      <w:r>
        <w:rPr>
          <w:w w:val="105"/>
          <w:sz w:val="18"/>
        </w:rPr>
        <w:t>This column represents the aggregate grant date fair value of RSU and stock option grants to the NEOs</w:t>
      </w:r>
      <w:r>
        <w:rPr>
          <w:spacing w:val="40"/>
          <w:w w:val="105"/>
          <w:sz w:val="18"/>
        </w:rPr>
        <w:t> </w:t>
      </w:r>
      <w:r>
        <w:rPr>
          <w:w w:val="105"/>
          <w:sz w:val="18"/>
        </w:rPr>
        <w:t>computed in accordance with ASC 718. The grant date fair value for RSU awards granted in fiscal year 2022 was determined using the closing price of our common stock on the grant date multiplied by the</w:t>
      </w:r>
      <w:r>
        <w:rPr>
          <w:spacing w:val="40"/>
          <w:w w:val="105"/>
          <w:sz w:val="18"/>
        </w:rPr>
        <w:t> </w:t>
      </w:r>
      <w:r>
        <w:rPr>
          <w:w w:val="105"/>
          <w:sz w:val="18"/>
        </w:rPr>
        <w:t>number</w:t>
      </w:r>
      <w:r>
        <w:rPr>
          <w:spacing w:val="22"/>
          <w:w w:val="105"/>
          <w:sz w:val="18"/>
        </w:rPr>
        <w:t> </w:t>
      </w:r>
      <w:r>
        <w:rPr>
          <w:w w:val="105"/>
          <w:sz w:val="18"/>
        </w:rPr>
        <w:t>of</w:t>
      </w:r>
      <w:r>
        <w:rPr>
          <w:spacing w:val="22"/>
          <w:w w:val="105"/>
          <w:sz w:val="18"/>
        </w:rPr>
        <w:t> </w:t>
      </w:r>
      <w:r>
        <w:rPr>
          <w:w w:val="105"/>
          <w:sz w:val="18"/>
        </w:rPr>
        <w:t>shares</w:t>
      </w:r>
      <w:r>
        <w:rPr>
          <w:spacing w:val="22"/>
          <w:w w:val="105"/>
          <w:sz w:val="18"/>
        </w:rPr>
        <w:t> </w:t>
      </w:r>
      <w:r>
        <w:rPr>
          <w:w w:val="105"/>
          <w:sz w:val="18"/>
        </w:rPr>
        <w:t>subject</w:t>
      </w:r>
      <w:r>
        <w:rPr>
          <w:spacing w:val="22"/>
          <w:w w:val="105"/>
          <w:sz w:val="18"/>
        </w:rPr>
        <w:t> </w:t>
      </w:r>
      <w:r>
        <w:rPr>
          <w:w w:val="105"/>
          <w:sz w:val="18"/>
        </w:rPr>
        <w:t>to</w:t>
      </w:r>
      <w:r>
        <w:rPr>
          <w:spacing w:val="22"/>
          <w:w w:val="105"/>
          <w:sz w:val="18"/>
        </w:rPr>
        <w:t> </w:t>
      </w:r>
      <w:r>
        <w:rPr>
          <w:w w:val="105"/>
          <w:sz w:val="18"/>
        </w:rPr>
        <w:t>the</w:t>
      </w:r>
      <w:r>
        <w:rPr>
          <w:spacing w:val="22"/>
          <w:w w:val="105"/>
          <w:sz w:val="18"/>
        </w:rPr>
        <w:t> </w:t>
      </w:r>
      <w:r>
        <w:rPr>
          <w:w w:val="105"/>
          <w:sz w:val="18"/>
        </w:rPr>
        <w:t>award. The</w:t>
      </w:r>
      <w:r>
        <w:rPr>
          <w:spacing w:val="22"/>
          <w:w w:val="105"/>
          <w:sz w:val="18"/>
        </w:rPr>
        <w:t> </w:t>
      </w:r>
      <w:r>
        <w:rPr>
          <w:w w:val="105"/>
          <w:sz w:val="18"/>
        </w:rPr>
        <w:t>assumptions</w:t>
      </w:r>
      <w:r>
        <w:rPr>
          <w:spacing w:val="22"/>
          <w:w w:val="105"/>
          <w:sz w:val="18"/>
        </w:rPr>
        <w:t> </w:t>
      </w:r>
      <w:r>
        <w:rPr>
          <w:w w:val="105"/>
          <w:sz w:val="18"/>
        </w:rPr>
        <w:t>used</w:t>
      </w:r>
      <w:r>
        <w:rPr>
          <w:spacing w:val="22"/>
          <w:w w:val="105"/>
          <w:sz w:val="18"/>
        </w:rPr>
        <w:t> </w:t>
      </w:r>
      <w:r>
        <w:rPr>
          <w:w w:val="105"/>
          <w:sz w:val="18"/>
        </w:rPr>
        <w:t>to</w:t>
      </w:r>
      <w:r>
        <w:rPr>
          <w:spacing w:val="22"/>
          <w:w w:val="105"/>
          <w:sz w:val="18"/>
        </w:rPr>
        <w:t> </w:t>
      </w:r>
      <w:r>
        <w:rPr>
          <w:w w:val="105"/>
          <w:sz w:val="18"/>
        </w:rPr>
        <w:t>calculate</w:t>
      </w:r>
      <w:r>
        <w:rPr>
          <w:spacing w:val="22"/>
          <w:w w:val="105"/>
          <w:sz w:val="18"/>
        </w:rPr>
        <w:t> </w:t>
      </w:r>
      <w:r>
        <w:rPr>
          <w:w w:val="105"/>
          <w:sz w:val="18"/>
        </w:rPr>
        <w:t>the</w:t>
      </w:r>
      <w:r>
        <w:rPr>
          <w:spacing w:val="22"/>
          <w:w w:val="105"/>
          <w:sz w:val="18"/>
        </w:rPr>
        <w:t> </w:t>
      </w:r>
      <w:r>
        <w:rPr>
          <w:w w:val="105"/>
          <w:sz w:val="18"/>
        </w:rPr>
        <w:t>grant</w:t>
      </w:r>
      <w:r>
        <w:rPr>
          <w:spacing w:val="22"/>
          <w:w w:val="105"/>
          <w:sz w:val="18"/>
        </w:rPr>
        <w:t> </w:t>
      </w:r>
      <w:r>
        <w:rPr>
          <w:w w:val="105"/>
          <w:sz w:val="18"/>
        </w:rPr>
        <w:t>date</w:t>
      </w:r>
      <w:r>
        <w:rPr>
          <w:spacing w:val="22"/>
          <w:w w:val="105"/>
          <w:sz w:val="18"/>
        </w:rPr>
        <w:t> </w:t>
      </w:r>
      <w:r>
        <w:rPr>
          <w:w w:val="105"/>
          <w:sz w:val="18"/>
        </w:rPr>
        <w:t>fair</w:t>
      </w:r>
      <w:r>
        <w:rPr>
          <w:spacing w:val="22"/>
          <w:w w:val="105"/>
          <w:sz w:val="18"/>
        </w:rPr>
        <w:t> </w:t>
      </w:r>
      <w:r>
        <w:rPr>
          <w:w w:val="105"/>
          <w:sz w:val="18"/>
        </w:rPr>
        <w:t>value</w:t>
      </w:r>
      <w:r>
        <w:rPr>
          <w:spacing w:val="22"/>
          <w:w w:val="105"/>
          <w:sz w:val="18"/>
        </w:rPr>
        <w:t> </w:t>
      </w:r>
      <w:r>
        <w:rPr>
          <w:w w:val="105"/>
          <w:sz w:val="18"/>
        </w:rPr>
        <w:t>of each</w:t>
      </w:r>
      <w:r>
        <w:rPr>
          <w:spacing w:val="21"/>
          <w:w w:val="105"/>
          <w:sz w:val="18"/>
        </w:rPr>
        <w:t> </w:t>
      </w:r>
      <w:r>
        <w:rPr>
          <w:w w:val="105"/>
          <w:sz w:val="18"/>
        </w:rPr>
        <w:t>stock</w:t>
      </w:r>
      <w:r>
        <w:rPr>
          <w:spacing w:val="21"/>
          <w:w w:val="105"/>
          <w:sz w:val="18"/>
        </w:rPr>
        <w:t> </w:t>
      </w:r>
      <w:r>
        <w:rPr>
          <w:w w:val="105"/>
          <w:sz w:val="18"/>
        </w:rPr>
        <w:t>option</w:t>
      </w:r>
      <w:r>
        <w:rPr>
          <w:spacing w:val="21"/>
          <w:w w:val="105"/>
          <w:sz w:val="18"/>
        </w:rPr>
        <w:t> </w:t>
      </w:r>
      <w:r>
        <w:rPr>
          <w:w w:val="105"/>
          <w:sz w:val="18"/>
        </w:rPr>
        <w:t>grant</w:t>
      </w:r>
      <w:r>
        <w:rPr>
          <w:spacing w:val="21"/>
          <w:w w:val="105"/>
          <w:sz w:val="18"/>
        </w:rPr>
        <w:t> </w:t>
      </w:r>
      <w:r>
        <w:rPr>
          <w:w w:val="105"/>
          <w:sz w:val="18"/>
        </w:rPr>
        <w:t>are</w:t>
      </w:r>
      <w:r>
        <w:rPr>
          <w:spacing w:val="21"/>
          <w:w w:val="105"/>
          <w:sz w:val="18"/>
        </w:rPr>
        <w:t> </w:t>
      </w:r>
      <w:r>
        <w:rPr>
          <w:w w:val="105"/>
          <w:sz w:val="18"/>
        </w:rPr>
        <w:t>set</w:t>
      </w:r>
      <w:r>
        <w:rPr>
          <w:spacing w:val="21"/>
          <w:w w:val="105"/>
          <w:sz w:val="18"/>
        </w:rPr>
        <w:t> </w:t>
      </w:r>
      <w:r>
        <w:rPr>
          <w:w w:val="105"/>
          <w:sz w:val="18"/>
        </w:rPr>
        <w:t>forth</w:t>
      </w:r>
      <w:r>
        <w:rPr>
          <w:spacing w:val="21"/>
          <w:w w:val="105"/>
          <w:sz w:val="18"/>
        </w:rPr>
        <w:t> </w:t>
      </w:r>
      <w:r>
        <w:rPr>
          <w:w w:val="105"/>
          <w:sz w:val="18"/>
        </w:rPr>
        <w:t>under</w:t>
      </w:r>
      <w:r>
        <w:rPr>
          <w:spacing w:val="21"/>
          <w:w w:val="105"/>
          <w:sz w:val="18"/>
        </w:rPr>
        <w:t> </w:t>
      </w:r>
      <w:r>
        <w:rPr>
          <w:w w:val="105"/>
          <w:sz w:val="18"/>
        </w:rPr>
        <w:t>the</w:t>
      </w:r>
      <w:r>
        <w:rPr>
          <w:spacing w:val="21"/>
          <w:w w:val="105"/>
          <w:sz w:val="18"/>
        </w:rPr>
        <w:t> </w:t>
      </w:r>
      <w:r>
        <w:rPr>
          <w:w w:val="105"/>
          <w:sz w:val="18"/>
        </w:rPr>
        <w:t>Notes</w:t>
      </w:r>
      <w:r>
        <w:rPr>
          <w:spacing w:val="21"/>
          <w:w w:val="105"/>
          <w:sz w:val="18"/>
        </w:rPr>
        <w:t> </w:t>
      </w:r>
      <w:r>
        <w:rPr>
          <w:w w:val="105"/>
          <w:sz w:val="18"/>
        </w:rPr>
        <w:t>to</w:t>
      </w:r>
      <w:r>
        <w:rPr>
          <w:spacing w:val="21"/>
          <w:w w:val="105"/>
          <w:sz w:val="18"/>
        </w:rPr>
        <w:t> </w:t>
      </w:r>
      <w:r>
        <w:rPr>
          <w:w w:val="105"/>
          <w:sz w:val="18"/>
        </w:rPr>
        <w:t>Consolidated</w:t>
      </w:r>
      <w:r>
        <w:rPr>
          <w:spacing w:val="21"/>
          <w:w w:val="105"/>
          <w:sz w:val="18"/>
        </w:rPr>
        <w:t> </w:t>
      </w:r>
      <w:r>
        <w:rPr>
          <w:w w:val="105"/>
          <w:sz w:val="18"/>
        </w:rPr>
        <w:t>Financial</w:t>
      </w:r>
      <w:r>
        <w:rPr>
          <w:spacing w:val="21"/>
          <w:w w:val="105"/>
          <w:sz w:val="18"/>
        </w:rPr>
        <w:t> </w:t>
      </w:r>
      <w:r>
        <w:rPr>
          <w:w w:val="105"/>
          <w:sz w:val="18"/>
        </w:rPr>
        <w:t>Statements</w:t>
      </w:r>
      <w:r>
        <w:rPr>
          <w:spacing w:val="21"/>
          <w:w w:val="105"/>
          <w:sz w:val="18"/>
        </w:rPr>
        <w:t> </w:t>
      </w:r>
      <w:r>
        <w:rPr>
          <w:w w:val="105"/>
          <w:sz w:val="18"/>
        </w:rPr>
        <w:t>included</w:t>
      </w:r>
      <w:r>
        <w:rPr>
          <w:spacing w:val="21"/>
          <w:w w:val="105"/>
          <w:sz w:val="18"/>
        </w:rPr>
        <w:t> </w:t>
      </w:r>
      <w:r>
        <w:rPr>
          <w:w w:val="105"/>
          <w:sz w:val="18"/>
        </w:rPr>
        <w:t>in the</w:t>
      </w:r>
      <w:r>
        <w:rPr>
          <w:spacing w:val="24"/>
          <w:w w:val="105"/>
          <w:sz w:val="18"/>
        </w:rPr>
        <w:t> </w:t>
      </w:r>
      <w:r>
        <w:rPr>
          <w:w w:val="105"/>
          <w:sz w:val="18"/>
        </w:rPr>
        <w:t>Company’s Annual</w:t>
      </w:r>
      <w:r>
        <w:rPr>
          <w:spacing w:val="24"/>
          <w:w w:val="105"/>
          <w:sz w:val="18"/>
        </w:rPr>
        <w:t> </w:t>
      </w:r>
      <w:r>
        <w:rPr>
          <w:w w:val="105"/>
          <w:sz w:val="18"/>
        </w:rPr>
        <w:t>Report</w:t>
      </w:r>
      <w:r>
        <w:rPr>
          <w:spacing w:val="24"/>
          <w:w w:val="105"/>
          <w:sz w:val="18"/>
        </w:rPr>
        <w:t> </w:t>
      </w:r>
      <w:r>
        <w:rPr>
          <w:w w:val="105"/>
          <w:sz w:val="18"/>
        </w:rPr>
        <w:t>on</w:t>
      </w:r>
      <w:r>
        <w:rPr>
          <w:spacing w:val="24"/>
          <w:w w:val="105"/>
          <w:sz w:val="18"/>
        </w:rPr>
        <w:t> </w:t>
      </w:r>
      <w:r>
        <w:rPr>
          <w:w w:val="105"/>
          <w:sz w:val="18"/>
        </w:rPr>
        <w:t>Form</w:t>
      </w:r>
      <w:r>
        <w:rPr>
          <w:spacing w:val="24"/>
          <w:w w:val="105"/>
          <w:sz w:val="18"/>
        </w:rPr>
        <w:t> </w:t>
      </w:r>
      <w:r>
        <w:rPr>
          <w:w w:val="105"/>
          <w:sz w:val="18"/>
        </w:rPr>
        <w:t>10-K</w:t>
      </w:r>
      <w:r>
        <w:rPr>
          <w:spacing w:val="24"/>
          <w:w w:val="105"/>
          <w:sz w:val="18"/>
        </w:rPr>
        <w:t> </w:t>
      </w:r>
      <w:r>
        <w:rPr>
          <w:w w:val="105"/>
          <w:sz w:val="18"/>
        </w:rPr>
        <w:t>for</w:t>
      </w:r>
      <w:r>
        <w:rPr>
          <w:spacing w:val="24"/>
          <w:w w:val="105"/>
          <w:sz w:val="18"/>
        </w:rPr>
        <w:t> </w:t>
      </w:r>
      <w:r>
        <w:rPr>
          <w:w w:val="105"/>
          <w:sz w:val="18"/>
        </w:rPr>
        <w:t>fiscal</w:t>
      </w:r>
      <w:r>
        <w:rPr>
          <w:spacing w:val="24"/>
          <w:w w:val="105"/>
          <w:sz w:val="18"/>
        </w:rPr>
        <w:t> </w:t>
      </w:r>
      <w:r>
        <w:rPr>
          <w:w w:val="105"/>
          <w:sz w:val="18"/>
        </w:rPr>
        <w:t>year</w:t>
      </w:r>
      <w:r>
        <w:rPr>
          <w:spacing w:val="24"/>
          <w:w w:val="105"/>
          <w:sz w:val="18"/>
        </w:rPr>
        <w:t> </w:t>
      </w:r>
      <w:r>
        <w:rPr>
          <w:w w:val="105"/>
          <w:sz w:val="18"/>
        </w:rPr>
        <w:t>2022.</w:t>
      </w:r>
      <w:r>
        <w:rPr>
          <w:spacing w:val="18"/>
          <w:w w:val="105"/>
          <w:sz w:val="18"/>
        </w:rPr>
        <w:t> </w:t>
      </w:r>
      <w:r>
        <w:rPr>
          <w:w w:val="105"/>
          <w:sz w:val="18"/>
        </w:rPr>
        <w:t>These</w:t>
      </w:r>
      <w:r>
        <w:rPr>
          <w:spacing w:val="24"/>
          <w:w w:val="105"/>
          <w:sz w:val="18"/>
        </w:rPr>
        <w:t> </w:t>
      </w:r>
      <w:r>
        <w:rPr>
          <w:w w:val="105"/>
          <w:sz w:val="18"/>
        </w:rPr>
        <w:t>amounts</w:t>
      </w:r>
      <w:r>
        <w:rPr>
          <w:spacing w:val="24"/>
          <w:w w:val="105"/>
          <w:sz w:val="18"/>
        </w:rPr>
        <w:t> </w:t>
      </w:r>
      <w:r>
        <w:rPr>
          <w:w w:val="105"/>
          <w:sz w:val="18"/>
        </w:rPr>
        <w:t>reflect</w:t>
      </w:r>
      <w:r>
        <w:rPr>
          <w:spacing w:val="24"/>
          <w:w w:val="105"/>
          <w:sz w:val="18"/>
        </w:rPr>
        <w:t> </w:t>
      </w:r>
      <w:r>
        <w:rPr>
          <w:w w:val="105"/>
          <w:sz w:val="18"/>
        </w:rPr>
        <w:t>our calculation of the value of these awards, and do not necessarily correspond to the actual value that may</w:t>
      </w:r>
      <w:r>
        <w:rPr>
          <w:spacing w:val="40"/>
          <w:w w:val="105"/>
          <w:sz w:val="18"/>
        </w:rPr>
        <w:t> </w:t>
      </w:r>
      <w:r>
        <w:rPr>
          <w:w w:val="105"/>
          <w:sz w:val="18"/>
        </w:rPr>
        <w:t>ultimately be realized by the NEOs.</w:t>
      </w:r>
    </w:p>
    <w:p>
      <w:pPr>
        <w:pStyle w:val="BodyText"/>
        <w:rPr>
          <w:sz w:val="11"/>
        </w:rPr>
      </w:pPr>
    </w:p>
    <w:p>
      <w:pPr>
        <w:pStyle w:val="Heading2"/>
        <w:spacing w:before="98"/>
      </w:pPr>
      <w:bookmarkStart w:name="_TOC_250007" w:id="36"/>
      <w:r>
        <w:rPr>
          <w:spacing w:val="-2"/>
        </w:rPr>
        <w:t>Outstanding</w:t>
      </w:r>
      <w:r>
        <w:rPr>
          <w:spacing w:val="-5"/>
        </w:rPr>
        <w:t> </w:t>
      </w:r>
      <w:r>
        <w:rPr>
          <w:spacing w:val="-2"/>
        </w:rPr>
        <w:t>Equity</w:t>
      </w:r>
      <w:r>
        <w:rPr>
          <w:spacing w:val="-15"/>
        </w:rPr>
        <w:t> </w:t>
      </w:r>
      <w:r>
        <w:rPr>
          <w:spacing w:val="-2"/>
        </w:rPr>
        <w:t>Awards</w:t>
      </w:r>
      <w:r>
        <w:rPr>
          <w:spacing w:val="-4"/>
        </w:rPr>
        <w:t> </w:t>
      </w:r>
      <w:r>
        <w:rPr>
          <w:spacing w:val="-2"/>
        </w:rPr>
        <w:t>at</w:t>
      </w:r>
      <w:r>
        <w:rPr>
          <w:spacing w:val="-4"/>
        </w:rPr>
        <w:t> </w:t>
      </w:r>
      <w:r>
        <w:rPr>
          <w:spacing w:val="-2"/>
        </w:rPr>
        <w:t>Fiscal</w:t>
      </w:r>
      <w:r>
        <w:rPr>
          <w:spacing w:val="-11"/>
        </w:rPr>
        <w:t> </w:t>
      </w:r>
      <w:r>
        <w:rPr>
          <w:spacing w:val="-2"/>
        </w:rPr>
        <w:t>Year</w:t>
      </w:r>
      <w:r>
        <w:rPr>
          <w:spacing w:val="-9"/>
        </w:rPr>
        <w:t> </w:t>
      </w:r>
      <w:bookmarkEnd w:id="36"/>
      <w:r>
        <w:rPr>
          <w:spacing w:val="-5"/>
        </w:rPr>
        <w:t>End</w:t>
      </w:r>
    </w:p>
    <w:p>
      <w:pPr>
        <w:pStyle w:val="BodyText"/>
        <w:spacing w:line="259" w:lineRule="auto" w:before="171"/>
        <w:ind w:left="1400" w:right="1551" w:firstLine="372"/>
      </w:pPr>
      <w:r>
        <w:rPr>
          <w:w w:val="105"/>
        </w:rPr>
        <w:t>The following table sets forth the outstanding equity awards of the NEOs as of the end of fiscal year</w:t>
      </w:r>
      <w:r>
        <w:rPr>
          <w:spacing w:val="40"/>
          <w:w w:val="105"/>
        </w:rPr>
        <w:t> </w:t>
      </w:r>
      <w:r>
        <w:rPr>
          <w:spacing w:val="-2"/>
          <w:w w:val="105"/>
        </w:rPr>
        <w:t>2022:</w:t>
      </w:r>
    </w:p>
    <w:p>
      <w:pPr>
        <w:spacing w:after="0" w:line="259" w:lineRule="auto"/>
        <w:sectPr>
          <w:headerReference w:type="default" r:id="rId143"/>
          <w:footerReference w:type="default" r:id="rId144"/>
          <w:pgSz w:w="12240" w:h="15840"/>
          <w:pgMar w:header="529" w:footer="1456" w:top="720" w:bottom="1640" w:left="480" w:right="46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21"/>
        </w:rPr>
      </w:pPr>
    </w:p>
    <w:p>
      <w:pPr>
        <w:spacing w:before="0"/>
        <w:ind w:left="0" w:right="38" w:firstLine="0"/>
        <w:jc w:val="right"/>
        <w:rPr>
          <w:b/>
          <w:sz w:val="15"/>
        </w:rPr>
      </w:pPr>
      <w:r>
        <w:rPr>
          <w:b/>
          <w:spacing w:val="-4"/>
          <w:sz w:val="15"/>
        </w:rPr>
        <w:t>Name</w:t>
      </w:r>
    </w:p>
    <w:p>
      <w:pPr>
        <w:spacing w:line="240" w:lineRule="auto" w:before="0"/>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8"/>
        <w:rPr>
          <w:b/>
          <w:sz w:val="23"/>
        </w:rPr>
      </w:pPr>
    </w:p>
    <w:p>
      <w:pPr>
        <w:spacing w:line="232" w:lineRule="auto" w:before="0"/>
        <w:ind w:left="1444" w:right="-4" w:hanging="44"/>
        <w:jc w:val="left"/>
        <w:rPr>
          <w:b/>
          <w:sz w:val="15"/>
        </w:rPr>
      </w:pPr>
      <w:r>
        <w:rPr>
          <w:b/>
          <w:spacing w:val="-6"/>
          <w:sz w:val="15"/>
        </w:rPr>
        <w:t>Grant</w:t>
      </w:r>
      <w:r>
        <w:rPr>
          <w:b/>
          <w:spacing w:val="40"/>
          <w:sz w:val="15"/>
        </w:rPr>
        <w:t> </w:t>
      </w:r>
      <w:r>
        <w:rPr>
          <w:b/>
          <w:spacing w:val="-4"/>
          <w:sz w:val="15"/>
        </w:rPr>
        <w:t>Date</w:t>
      </w:r>
    </w:p>
    <w:p>
      <w:pPr>
        <w:spacing w:line="240" w:lineRule="auto" w:before="0"/>
        <w:rPr>
          <w:b/>
          <w:sz w:val="16"/>
        </w:rPr>
      </w:pPr>
      <w:r>
        <w:rPr/>
        <w:br w:type="column"/>
      </w:r>
      <w:r>
        <w:rPr>
          <w:b/>
          <w:sz w:val="16"/>
        </w:rPr>
      </w:r>
    </w:p>
    <w:p>
      <w:pPr>
        <w:pStyle w:val="BodyText"/>
        <w:spacing w:before="9"/>
        <w:rPr>
          <w:b/>
          <w:sz w:val="14"/>
        </w:rPr>
      </w:pPr>
    </w:p>
    <w:p>
      <w:pPr>
        <w:spacing w:line="232" w:lineRule="auto" w:before="0"/>
        <w:ind w:left="383" w:right="0" w:hanging="1"/>
        <w:jc w:val="center"/>
        <w:rPr>
          <w:b/>
          <w:sz w:val="15"/>
        </w:rPr>
      </w:pPr>
      <w:r>
        <w:rPr>
          <w:b/>
          <w:sz w:val="15"/>
        </w:rPr>
        <w:t>Number</w:t>
      </w:r>
      <w:r>
        <w:rPr>
          <w:b/>
          <w:spacing w:val="-10"/>
          <w:sz w:val="15"/>
        </w:rPr>
        <w:t> </w:t>
      </w:r>
      <w:r>
        <w:rPr>
          <w:b/>
          <w:sz w:val="15"/>
        </w:rPr>
        <w:t>of</w:t>
      </w:r>
      <w:r>
        <w:rPr>
          <w:b/>
          <w:spacing w:val="40"/>
          <w:sz w:val="15"/>
        </w:rPr>
        <w:t> </w:t>
      </w:r>
      <w:r>
        <w:rPr>
          <w:b/>
          <w:spacing w:val="-2"/>
          <w:sz w:val="15"/>
        </w:rPr>
        <w:t>Securities</w:t>
      </w:r>
      <w:r>
        <w:rPr>
          <w:b/>
          <w:spacing w:val="40"/>
          <w:sz w:val="15"/>
        </w:rPr>
        <w:t> </w:t>
      </w:r>
      <w:r>
        <w:rPr>
          <w:b/>
          <w:spacing w:val="-2"/>
          <w:sz w:val="15"/>
        </w:rPr>
        <w:t>Underlying</w:t>
      </w:r>
      <w:r>
        <w:rPr>
          <w:b/>
          <w:spacing w:val="40"/>
          <w:sz w:val="15"/>
        </w:rPr>
        <w:t> </w:t>
      </w:r>
      <w:r>
        <w:rPr>
          <w:b/>
          <w:spacing w:val="-6"/>
          <w:sz w:val="15"/>
        </w:rPr>
        <w:t>Unexercised</w:t>
      </w:r>
      <w:r>
        <w:rPr>
          <w:b/>
          <w:spacing w:val="40"/>
          <w:sz w:val="15"/>
        </w:rPr>
        <w:t> </w:t>
      </w:r>
      <w:r>
        <w:rPr>
          <w:b/>
          <w:spacing w:val="-2"/>
          <w:sz w:val="15"/>
        </w:rPr>
        <w:t>Options</w:t>
      </w:r>
      <w:r>
        <w:rPr>
          <w:b/>
          <w:spacing w:val="40"/>
          <w:sz w:val="15"/>
        </w:rPr>
        <w:t> </w:t>
      </w:r>
      <w:r>
        <w:rPr>
          <w:b/>
          <w:spacing w:val="-2"/>
          <w:sz w:val="15"/>
        </w:rPr>
        <w:t>Exercisable</w:t>
      </w:r>
      <w:r>
        <w:rPr>
          <w:b/>
          <w:spacing w:val="40"/>
          <w:sz w:val="15"/>
        </w:rPr>
        <w:t> </w:t>
      </w:r>
      <w:r>
        <w:rPr>
          <w:b/>
          <w:spacing w:val="-4"/>
          <w:sz w:val="15"/>
        </w:rPr>
        <w:t>(#)</w:t>
      </w:r>
    </w:p>
    <w:p>
      <w:pPr>
        <w:spacing w:line="240" w:lineRule="auto" w:before="0"/>
        <w:rPr>
          <w:b/>
          <w:sz w:val="18"/>
        </w:rPr>
      </w:pPr>
      <w:r>
        <w:rPr/>
        <w:br w:type="column"/>
      </w:r>
      <w:r>
        <w:rPr>
          <w:b/>
          <w:sz w:val="18"/>
        </w:rPr>
      </w:r>
    </w:p>
    <w:p>
      <w:pPr>
        <w:spacing w:line="230" w:lineRule="auto" w:before="148"/>
        <w:ind w:left="191" w:right="0" w:hanging="1"/>
        <w:jc w:val="center"/>
        <w:rPr>
          <w:b/>
          <w:sz w:val="9"/>
        </w:rPr>
      </w:pPr>
      <w:r>
        <w:rPr>
          <w:b/>
          <w:sz w:val="15"/>
        </w:rPr>
        <w:t>Number</w:t>
      </w:r>
      <w:r>
        <w:rPr>
          <w:b/>
          <w:spacing w:val="-10"/>
          <w:sz w:val="15"/>
        </w:rPr>
        <w:t> </w:t>
      </w:r>
      <w:r>
        <w:rPr>
          <w:b/>
          <w:sz w:val="15"/>
        </w:rPr>
        <w:t>of</w:t>
      </w:r>
      <w:r>
        <w:rPr>
          <w:b/>
          <w:spacing w:val="40"/>
          <w:sz w:val="15"/>
        </w:rPr>
        <w:t> </w:t>
      </w:r>
      <w:r>
        <w:rPr>
          <w:b/>
          <w:spacing w:val="-2"/>
          <w:sz w:val="15"/>
        </w:rPr>
        <w:t>Securities</w:t>
      </w:r>
      <w:r>
        <w:rPr>
          <w:b/>
          <w:spacing w:val="40"/>
          <w:sz w:val="15"/>
        </w:rPr>
        <w:t> </w:t>
      </w:r>
      <w:r>
        <w:rPr>
          <w:b/>
          <w:spacing w:val="-2"/>
          <w:sz w:val="15"/>
        </w:rPr>
        <w:t>Underlying</w:t>
      </w:r>
      <w:r>
        <w:rPr>
          <w:b/>
          <w:spacing w:val="40"/>
          <w:sz w:val="15"/>
        </w:rPr>
        <w:t> </w:t>
      </w:r>
      <w:r>
        <w:rPr>
          <w:b/>
          <w:spacing w:val="-2"/>
          <w:sz w:val="15"/>
        </w:rPr>
        <w:t>Unexercised</w:t>
      </w:r>
      <w:r>
        <w:rPr>
          <w:b/>
          <w:spacing w:val="40"/>
          <w:sz w:val="15"/>
        </w:rPr>
        <w:t> </w:t>
      </w:r>
      <w:r>
        <w:rPr>
          <w:b/>
          <w:spacing w:val="-2"/>
          <w:sz w:val="15"/>
        </w:rPr>
        <w:t>Options</w:t>
      </w:r>
      <w:r>
        <w:rPr>
          <w:b/>
          <w:spacing w:val="40"/>
          <w:sz w:val="15"/>
        </w:rPr>
        <w:t> </w:t>
      </w:r>
      <w:r>
        <w:rPr>
          <w:b/>
          <w:spacing w:val="-6"/>
          <w:sz w:val="15"/>
        </w:rPr>
        <w:t>Unexercisable</w:t>
      </w:r>
      <w:r>
        <w:rPr>
          <w:b/>
          <w:spacing w:val="40"/>
          <w:sz w:val="15"/>
        </w:rPr>
        <w:t> </w:t>
      </w:r>
      <w:r>
        <w:rPr>
          <w:b/>
          <w:spacing w:val="-2"/>
          <w:position w:val="-6"/>
          <w:sz w:val="15"/>
        </w:rPr>
        <w:t>(#)</w:t>
      </w:r>
      <w:r>
        <w:rPr>
          <w:b/>
          <w:spacing w:val="-2"/>
          <w:sz w:val="9"/>
        </w:rPr>
        <w:t>(1)</w:t>
      </w:r>
    </w:p>
    <w:p>
      <w:pPr>
        <w:spacing w:line="240" w:lineRule="auto" w:before="0"/>
        <w:rPr>
          <w:b/>
          <w:sz w:val="18"/>
        </w:rPr>
      </w:pPr>
      <w:r>
        <w:rPr/>
        <w:br w:type="column"/>
      </w:r>
      <w:r>
        <w:rPr>
          <w:b/>
          <w:sz w:val="18"/>
        </w:rPr>
      </w:r>
    </w:p>
    <w:p>
      <w:pPr>
        <w:pStyle w:val="BodyText"/>
        <w:rPr>
          <w:b/>
        </w:rPr>
      </w:pPr>
    </w:p>
    <w:p>
      <w:pPr>
        <w:pStyle w:val="BodyText"/>
        <w:rPr>
          <w:b/>
        </w:rPr>
      </w:pPr>
    </w:p>
    <w:p>
      <w:pPr>
        <w:pStyle w:val="BodyText"/>
        <w:spacing w:before="10"/>
        <w:rPr>
          <w:b/>
          <w:sz w:val="20"/>
        </w:rPr>
      </w:pPr>
    </w:p>
    <w:p>
      <w:pPr>
        <w:spacing w:line="225" w:lineRule="auto" w:before="0"/>
        <w:ind w:left="194" w:right="0" w:firstLine="0"/>
        <w:jc w:val="center"/>
        <w:rPr>
          <w:b/>
          <w:sz w:val="9"/>
        </w:rPr>
      </w:pPr>
      <w:r>
        <w:rPr>
          <w:b/>
          <w:spacing w:val="-2"/>
          <w:sz w:val="15"/>
        </w:rPr>
        <w:t>Option</w:t>
      </w:r>
      <w:r>
        <w:rPr>
          <w:b/>
          <w:spacing w:val="40"/>
          <w:sz w:val="15"/>
        </w:rPr>
        <w:t> </w:t>
      </w:r>
      <w:r>
        <w:rPr>
          <w:b/>
          <w:spacing w:val="-6"/>
          <w:sz w:val="15"/>
        </w:rPr>
        <w:t>Exercise</w:t>
      </w:r>
      <w:r>
        <w:rPr>
          <w:b/>
          <w:spacing w:val="40"/>
          <w:sz w:val="15"/>
        </w:rPr>
        <w:t> </w:t>
      </w:r>
      <w:r>
        <w:rPr>
          <w:b/>
          <w:spacing w:val="-2"/>
          <w:sz w:val="15"/>
        </w:rPr>
        <w:t>Price</w:t>
      </w:r>
      <w:r>
        <w:rPr>
          <w:b/>
          <w:spacing w:val="40"/>
          <w:sz w:val="15"/>
        </w:rPr>
        <w:t> </w:t>
      </w:r>
      <w:r>
        <w:rPr>
          <w:b/>
          <w:spacing w:val="-2"/>
          <w:position w:val="-6"/>
          <w:sz w:val="15"/>
        </w:rPr>
        <w:t>($)</w:t>
      </w:r>
      <w:r>
        <w:rPr>
          <w:b/>
          <w:spacing w:val="-2"/>
          <w:sz w:val="9"/>
        </w:rPr>
        <w:t>(2)</w:t>
      </w:r>
    </w:p>
    <w:p>
      <w:pPr>
        <w:spacing w:line="240" w:lineRule="auto" w:before="0"/>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spacing w:line="232" w:lineRule="auto" w:before="105"/>
        <w:ind w:left="244" w:right="0" w:hanging="1"/>
        <w:jc w:val="center"/>
        <w:rPr>
          <w:b/>
          <w:sz w:val="15"/>
        </w:rPr>
      </w:pPr>
      <w:r>
        <w:rPr>
          <w:b/>
          <w:spacing w:val="-2"/>
          <w:sz w:val="15"/>
        </w:rPr>
        <w:t>Option</w:t>
      </w:r>
      <w:r>
        <w:rPr>
          <w:b/>
          <w:spacing w:val="40"/>
          <w:sz w:val="15"/>
        </w:rPr>
        <w:t> </w:t>
      </w:r>
      <w:r>
        <w:rPr>
          <w:b/>
          <w:spacing w:val="-4"/>
          <w:sz w:val="15"/>
        </w:rPr>
        <w:t>Expiration</w:t>
      </w:r>
      <w:r>
        <w:rPr>
          <w:b/>
          <w:spacing w:val="40"/>
          <w:sz w:val="15"/>
        </w:rPr>
        <w:t> </w:t>
      </w:r>
      <w:r>
        <w:rPr>
          <w:b/>
          <w:spacing w:val="-4"/>
          <w:sz w:val="15"/>
        </w:rPr>
        <w:t>Date</w:t>
      </w:r>
    </w:p>
    <w:p>
      <w:pPr>
        <w:spacing w:line="240" w:lineRule="auto" w:before="2"/>
        <w:rPr>
          <w:b/>
          <w:sz w:val="16"/>
        </w:rPr>
      </w:pPr>
      <w:r>
        <w:rPr/>
        <w:br w:type="column"/>
      </w:r>
      <w:r>
        <w:rPr>
          <w:b/>
          <w:sz w:val="16"/>
        </w:rPr>
      </w:r>
    </w:p>
    <w:p>
      <w:pPr>
        <w:spacing w:line="232" w:lineRule="auto" w:before="0"/>
        <w:ind w:left="325" w:right="0" w:hanging="85"/>
        <w:jc w:val="left"/>
        <w:rPr>
          <w:b/>
          <w:sz w:val="15"/>
        </w:rPr>
      </w:pPr>
      <w:r>
        <w:rPr>
          <w:b/>
          <w:spacing w:val="-4"/>
          <w:sz w:val="15"/>
        </w:rPr>
        <w:t>Number</w:t>
      </w:r>
      <w:r>
        <w:rPr>
          <w:b/>
          <w:spacing w:val="-9"/>
          <w:sz w:val="15"/>
        </w:rPr>
        <w:t> </w:t>
      </w:r>
      <w:r>
        <w:rPr>
          <w:b/>
          <w:spacing w:val="-4"/>
          <w:sz w:val="15"/>
        </w:rPr>
        <w:t>of</w:t>
      </w:r>
      <w:r>
        <w:rPr>
          <w:b/>
          <w:spacing w:val="40"/>
          <w:sz w:val="15"/>
        </w:rPr>
        <w:t> </w:t>
      </w:r>
      <w:r>
        <w:rPr>
          <w:b/>
          <w:spacing w:val="-2"/>
          <w:sz w:val="15"/>
        </w:rPr>
        <w:t>Shares</w:t>
      </w:r>
      <w:r>
        <w:rPr>
          <w:b/>
          <w:spacing w:val="40"/>
          <w:sz w:val="15"/>
        </w:rPr>
        <w:t> </w:t>
      </w:r>
      <w:r>
        <w:rPr>
          <w:b/>
          <w:sz w:val="15"/>
        </w:rPr>
        <w:t>or</w:t>
      </w:r>
      <w:r>
        <w:rPr>
          <w:b/>
          <w:spacing w:val="-10"/>
          <w:sz w:val="15"/>
        </w:rPr>
        <w:t> </w:t>
      </w:r>
      <w:r>
        <w:rPr>
          <w:b/>
          <w:sz w:val="15"/>
        </w:rPr>
        <w:t>Units</w:t>
      </w:r>
      <w:r>
        <w:rPr>
          <w:b/>
          <w:spacing w:val="40"/>
          <w:sz w:val="15"/>
        </w:rPr>
        <w:t> </w:t>
      </w:r>
      <w:r>
        <w:rPr>
          <w:b/>
          <w:sz w:val="15"/>
        </w:rPr>
        <w:t>of</w:t>
      </w:r>
      <w:r>
        <w:rPr>
          <w:b/>
          <w:spacing w:val="-10"/>
          <w:sz w:val="15"/>
        </w:rPr>
        <w:t> </w:t>
      </w:r>
      <w:r>
        <w:rPr>
          <w:b/>
          <w:sz w:val="15"/>
        </w:rPr>
        <w:t>Stock</w:t>
      </w:r>
    </w:p>
    <w:p>
      <w:pPr>
        <w:spacing w:line="225" w:lineRule="auto" w:before="6"/>
        <w:ind w:left="283" w:right="40" w:firstLine="0"/>
        <w:jc w:val="center"/>
        <w:rPr>
          <w:b/>
          <w:sz w:val="9"/>
        </w:rPr>
      </w:pPr>
      <w:r>
        <w:rPr>
          <w:b/>
          <w:spacing w:val="-4"/>
          <w:sz w:val="15"/>
        </w:rPr>
        <w:t>That</w:t>
      </w:r>
      <w:r>
        <w:rPr>
          <w:b/>
          <w:spacing w:val="40"/>
          <w:sz w:val="15"/>
        </w:rPr>
        <w:t> </w:t>
      </w:r>
      <w:r>
        <w:rPr>
          <w:b/>
          <w:spacing w:val="-4"/>
          <w:sz w:val="15"/>
        </w:rPr>
        <w:t>Have</w:t>
      </w:r>
      <w:r>
        <w:rPr>
          <w:b/>
          <w:spacing w:val="-7"/>
          <w:sz w:val="15"/>
        </w:rPr>
        <w:t> </w:t>
      </w:r>
      <w:r>
        <w:rPr>
          <w:b/>
          <w:spacing w:val="-4"/>
          <w:sz w:val="15"/>
        </w:rPr>
        <w:t>Not</w:t>
      </w:r>
      <w:r>
        <w:rPr>
          <w:b/>
          <w:spacing w:val="40"/>
          <w:sz w:val="15"/>
        </w:rPr>
        <w:t> </w:t>
      </w:r>
      <w:r>
        <w:rPr>
          <w:b/>
          <w:spacing w:val="-2"/>
          <w:sz w:val="15"/>
        </w:rPr>
        <w:t>Vested</w:t>
      </w:r>
      <w:r>
        <w:rPr>
          <w:b/>
          <w:spacing w:val="40"/>
          <w:sz w:val="15"/>
        </w:rPr>
        <w:t> </w:t>
      </w:r>
      <w:r>
        <w:rPr>
          <w:b/>
          <w:spacing w:val="-2"/>
          <w:position w:val="-6"/>
          <w:sz w:val="15"/>
        </w:rPr>
        <w:t>(#)</w:t>
      </w:r>
      <w:r>
        <w:rPr>
          <w:b/>
          <w:spacing w:val="-2"/>
          <w:sz w:val="9"/>
        </w:rPr>
        <w:t>(1)</w:t>
      </w:r>
    </w:p>
    <w:p>
      <w:pPr>
        <w:spacing w:line="240" w:lineRule="auto" w:before="3"/>
        <w:rPr>
          <w:b/>
          <w:sz w:val="16"/>
        </w:rPr>
      </w:pPr>
      <w:r>
        <w:rPr/>
        <w:br w:type="column"/>
      </w:r>
      <w:r>
        <w:rPr>
          <w:b/>
          <w:sz w:val="16"/>
        </w:rPr>
      </w:r>
    </w:p>
    <w:p>
      <w:pPr>
        <w:spacing w:line="230" w:lineRule="auto" w:before="0"/>
        <w:ind w:left="187" w:right="1399" w:firstLine="0"/>
        <w:jc w:val="center"/>
        <w:rPr>
          <w:b/>
          <w:sz w:val="9"/>
        </w:rPr>
      </w:pPr>
      <w:r>
        <w:rPr>
          <w:b/>
          <w:spacing w:val="-2"/>
          <w:sz w:val="15"/>
        </w:rPr>
        <w:t>Market</w:t>
      </w:r>
      <w:r>
        <w:rPr>
          <w:b/>
          <w:spacing w:val="40"/>
          <w:sz w:val="15"/>
        </w:rPr>
        <w:t> </w:t>
      </w:r>
      <w:r>
        <w:rPr>
          <w:b/>
          <w:sz w:val="15"/>
        </w:rPr>
        <w:t>Value</w:t>
      </w:r>
      <w:r>
        <w:rPr>
          <w:b/>
          <w:spacing w:val="-10"/>
          <w:sz w:val="15"/>
        </w:rPr>
        <w:t> </w:t>
      </w:r>
      <w:r>
        <w:rPr>
          <w:b/>
          <w:sz w:val="15"/>
        </w:rPr>
        <w:t>of</w:t>
      </w:r>
      <w:r>
        <w:rPr>
          <w:b/>
          <w:spacing w:val="40"/>
          <w:sz w:val="15"/>
        </w:rPr>
        <w:t> </w:t>
      </w:r>
      <w:r>
        <w:rPr>
          <w:b/>
          <w:sz w:val="15"/>
        </w:rPr>
        <w:t>Shares</w:t>
      </w:r>
      <w:r>
        <w:rPr>
          <w:b/>
          <w:spacing w:val="-10"/>
          <w:sz w:val="15"/>
        </w:rPr>
        <w:t> </w:t>
      </w:r>
      <w:r>
        <w:rPr>
          <w:b/>
          <w:sz w:val="15"/>
        </w:rPr>
        <w:t>or</w:t>
      </w:r>
      <w:r>
        <w:rPr>
          <w:b/>
          <w:spacing w:val="40"/>
          <w:sz w:val="15"/>
        </w:rPr>
        <w:t> </w:t>
      </w:r>
      <w:r>
        <w:rPr>
          <w:b/>
          <w:sz w:val="15"/>
        </w:rPr>
        <w:t>Units</w:t>
      </w:r>
      <w:r>
        <w:rPr>
          <w:b/>
          <w:spacing w:val="-10"/>
          <w:sz w:val="15"/>
        </w:rPr>
        <w:t> </w:t>
      </w:r>
      <w:r>
        <w:rPr>
          <w:b/>
          <w:sz w:val="15"/>
        </w:rPr>
        <w:t>of</w:t>
      </w:r>
      <w:r>
        <w:rPr>
          <w:b/>
          <w:spacing w:val="40"/>
          <w:sz w:val="15"/>
        </w:rPr>
        <w:t> </w:t>
      </w:r>
      <w:r>
        <w:rPr>
          <w:b/>
          <w:spacing w:val="-4"/>
          <w:sz w:val="15"/>
        </w:rPr>
        <w:t>Stock</w:t>
      </w:r>
      <w:r>
        <w:rPr>
          <w:b/>
          <w:spacing w:val="-9"/>
          <w:sz w:val="15"/>
        </w:rPr>
        <w:t> </w:t>
      </w:r>
      <w:r>
        <w:rPr>
          <w:b/>
          <w:spacing w:val="-4"/>
          <w:sz w:val="15"/>
        </w:rPr>
        <w:t>That</w:t>
      </w:r>
      <w:r>
        <w:rPr>
          <w:b/>
          <w:spacing w:val="40"/>
          <w:sz w:val="15"/>
        </w:rPr>
        <w:t> </w:t>
      </w:r>
      <w:r>
        <w:rPr>
          <w:b/>
          <w:sz w:val="15"/>
        </w:rPr>
        <w:t>Have</w:t>
      </w:r>
      <w:r>
        <w:rPr>
          <w:b/>
          <w:spacing w:val="-10"/>
          <w:sz w:val="15"/>
        </w:rPr>
        <w:t> </w:t>
      </w:r>
      <w:r>
        <w:rPr>
          <w:b/>
          <w:sz w:val="15"/>
        </w:rPr>
        <w:t>Not</w:t>
      </w:r>
      <w:r>
        <w:rPr>
          <w:b/>
          <w:spacing w:val="40"/>
          <w:sz w:val="15"/>
        </w:rPr>
        <w:t> </w:t>
      </w:r>
      <w:r>
        <w:rPr>
          <w:b/>
          <w:spacing w:val="-2"/>
          <w:sz w:val="15"/>
        </w:rPr>
        <w:t>Vested</w:t>
      </w:r>
      <w:r>
        <w:rPr>
          <w:b/>
          <w:spacing w:val="40"/>
          <w:sz w:val="15"/>
        </w:rPr>
        <w:t> </w:t>
      </w:r>
      <w:r>
        <w:rPr>
          <w:b/>
          <w:spacing w:val="-2"/>
          <w:position w:val="-6"/>
          <w:sz w:val="15"/>
        </w:rPr>
        <w:t>($)</w:t>
      </w:r>
      <w:r>
        <w:rPr>
          <w:b/>
          <w:spacing w:val="-2"/>
          <w:sz w:val="9"/>
        </w:rPr>
        <w:t>(3)</w:t>
      </w:r>
    </w:p>
    <w:p>
      <w:pPr>
        <w:spacing w:after="0" w:line="230" w:lineRule="auto"/>
        <w:jc w:val="center"/>
        <w:rPr>
          <w:sz w:val="9"/>
        </w:rPr>
        <w:sectPr>
          <w:type w:val="continuous"/>
          <w:pgSz w:w="12240" w:h="15840"/>
          <w:pgMar w:header="529" w:footer="1456" w:top="600" w:bottom="960" w:left="480" w:right="460"/>
          <w:cols w:num="8" w:equalWidth="0">
            <w:col w:w="1804" w:space="524"/>
            <w:col w:w="1778" w:space="40"/>
            <w:col w:w="1130" w:space="39"/>
            <w:col w:w="1048" w:space="39"/>
            <w:col w:w="709" w:space="39"/>
            <w:col w:w="906" w:space="40"/>
            <w:col w:w="906" w:space="39"/>
            <w:col w:w="2259"/>
          </w:cols>
        </w:sectPr>
      </w:pPr>
    </w:p>
    <w:p>
      <w:pPr>
        <w:pStyle w:val="BodyText"/>
        <w:spacing w:before="7"/>
        <w:rPr>
          <w:b/>
          <w:sz w:val="2"/>
        </w:rPr>
      </w:pPr>
      <w:r>
        <w:rPr/>
        <w:pict>
          <v:group style="position:absolute;margin-left:28.999998pt;margin-top:740.569336pt;width:555pt;height:1.4pt;mso-position-horizontal-relative:page;mso-position-vertical-relative:page;z-index:15782912" id="docshapegroup367" coordorigin="580,14811" coordsize="11100,28">
            <v:rect style="position:absolute;left:580;top:14811;width:11100;height:14" id="docshape368" filled="true" fillcolor="#999999" stroked="false">
              <v:fill type="solid"/>
            </v:rect>
            <v:shape style="position:absolute;left:579;top:14811;width:11100;height:28" id="docshape369" coordorigin="580,14811" coordsize="11100,28" path="m11680,14811l11666,14825,580,14825,580,14839,11666,14839,11680,14839,11680,14825,11680,14811xe" filled="true" fillcolor="#ededed" stroked="false">
              <v:path arrowok="t"/>
              <v:fill type="solid"/>
            </v:shape>
            <v:shape style="position:absolute;left:580;top:14811;width:14;height:28" id="docshape370" coordorigin="580,14811" coordsize="14,28" path="m580,14839l580,14811,594,14811,594,14825,580,14839xe" filled="true" fillcolor="#999999" stroked="false">
              <v:path arrowok="t"/>
              <v:fill type="solid"/>
            </v:shape>
            <w10:wrap type="none"/>
          </v:group>
        </w:pict>
      </w: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1"/>
        <w:gridCol w:w="223"/>
        <w:gridCol w:w="782"/>
        <w:gridCol w:w="223"/>
        <w:gridCol w:w="964"/>
        <w:gridCol w:w="882"/>
        <w:gridCol w:w="208"/>
        <w:gridCol w:w="531"/>
        <w:gridCol w:w="223"/>
        <w:gridCol w:w="768"/>
        <w:gridCol w:w="223"/>
        <w:gridCol w:w="1565"/>
      </w:tblGrid>
      <w:tr>
        <w:trPr>
          <w:trHeight w:val="222" w:hRule="atLeast"/>
        </w:trPr>
        <w:tc>
          <w:tcPr>
            <w:tcW w:w="1901" w:type="dxa"/>
            <w:tcBorders>
              <w:top w:val="single" w:sz="6" w:space="0" w:color="000000"/>
            </w:tcBorders>
          </w:tcPr>
          <w:p>
            <w:pPr>
              <w:pStyle w:val="TableParagraph"/>
              <w:spacing w:before="18"/>
              <w:rPr>
                <w:sz w:val="16"/>
              </w:rPr>
            </w:pPr>
            <w:r>
              <w:rPr>
                <w:w w:val="105"/>
                <w:sz w:val="16"/>
              </w:rPr>
              <w:t>Sunny</w:t>
            </w:r>
            <w:r>
              <w:rPr>
                <w:spacing w:val="10"/>
                <w:w w:val="105"/>
                <w:sz w:val="16"/>
              </w:rPr>
              <w:t> </w:t>
            </w:r>
            <w:r>
              <w:rPr>
                <w:w w:val="105"/>
                <w:sz w:val="16"/>
              </w:rPr>
              <w:t>S.</w:t>
            </w:r>
            <w:r>
              <w:rPr>
                <w:spacing w:val="11"/>
                <w:w w:val="105"/>
                <w:sz w:val="16"/>
              </w:rPr>
              <w:t> </w:t>
            </w:r>
            <w:r>
              <w:rPr>
                <w:spacing w:val="-2"/>
                <w:w w:val="105"/>
                <w:sz w:val="16"/>
              </w:rPr>
              <w:t>Sanyal</w:t>
            </w:r>
          </w:p>
        </w:tc>
        <w:tc>
          <w:tcPr>
            <w:tcW w:w="223" w:type="dxa"/>
          </w:tcPr>
          <w:p>
            <w:pPr>
              <w:pStyle w:val="TableParagraph"/>
              <w:rPr>
                <w:sz w:val="14"/>
              </w:rPr>
            </w:pPr>
          </w:p>
        </w:tc>
        <w:tc>
          <w:tcPr>
            <w:tcW w:w="782" w:type="dxa"/>
            <w:tcBorders>
              <w:top w:val="single" w:sz="6" w:space="0" w:color="000000"/>
            </w:tcBorders>
          </w:tcPr>
          <w:p>
            <w:pPr>
              <w:pStyle w:val="TableParagraph"/>
              <w:spacing w:before="18"/>
              <w:ind w:right="2"/>
              <w:jc w:val="right"/>
              <w:rPr>
                <w:sz w:val="16"/>
              </w:rPr>
            </w:pPr>
            <w:r>
              <w:rPr>
                <w:spacing w:val="-2"/>
                <w:w w:val="105"/>
                <w:sz w:val="16"/>
              </w:rPr>
              <w:t>2/12/2016</w:t>
            </w:r>
          </w:p>
        </w:tc>
        <w:tc>
          <w:tcPr>
            <w:tcW w:w="223" w:type="dxa"/>
          </w:tcPr>
          <w:p>
            <w:pPr>
              <w:pStyle w:val="TableParagraph"/>
              <w:rPr>
                <w:sz w:val="14"/>
              </w:rPr>
            </w:pPr>
          </w:p>
        </w:tc>
        <w:tc>
          <w:tcPr>
            <w:tcW w:w="964" w:type="dxa"/>
          </w:tcPr>
          <w:p>
            <w:pPr>
              <w:pStyle w:val="TableParagraph"/>
              <w:spacing w:line="20" w:lineRule="exact"/>
              <w:ind w:left="2"/>
              <w:rPr>
                <w:sz w:val="2"/>
              </w:rPr>
            </w:pPr>
            <w:r>
              <w:rPr>
                <w:sz w:val="2"/>
              </w:rPr>
              <w:pict>
                <v:group style="width:37.050pt;height:.7pt;mso-position-horizontal-relative:char;mso-position-vertical-relative:line" id="docshapegroup371" coordorigin="0,0" coordsize="741,14">
                  <v:shape style="position:absolute;left:-1;top:0;width:741;height:14" id="docshape372" coordorigin="0,0" coordsize="741,14" path="m741,0l643,0,98,0,0,0,0,14,98,14,643,14,741,14,741,0xe" filled="true" fillcolor="#000000" stroked="false">
                    <v:path arrowok="t"/>
                    <v:fill type="solid"/>
                  </v:shape>
                </v:group>
              </w:pict>
            </w:r>
            <w:r>
              <w:rPr>
                <w:sz w:val="2"/>
              </w:rPr>
            </w:r>
          </w:p>
          <w:p>
            <w:pPr>
              <w:pStyle w:val="TableParagraph"/>
              <w:ind w:right="195"/>
              <w:jc w:val="right"/>
              <w:rPr>
                <w:sz w:val="16"/>
              </w:rPr>
            </w:pPr>
            <w:r>
              <w:rPr>
                <w:spacing w:val="-2"/>
                <w:w w:val="105"/>
                <w:sz w:val="16"/>
              </w:rPr>
              <w:t>80,280</w:t>
            </w:r>
            <w:r>
              <w:rPr>
                <w:spacing w:val="-2"/>
                <w:w w:val="105"/>
                <w:sz w:val="16"/>
                <w:vertAlign w:val="superscript"/>
              </w:rPr>
              <w:t>(4)</w:t>
            </w:r>
          </w:p>
        </w:tc>
        <w:tc>
          <w:tcPr>
            <w:tcW w:w="882" w:type="dxa"/>
            <w:tcBorders>
              <w:top w:val="single" w:sz="6" w:space="0" w:color="000000"/>
            </w:tcBorders>
          </w:tcPr>
          <w:p>
            <w:pPr>
              <w:pStyle w:val="TableParagraph"/>
              <w:spacing w:before="18"/>
              <w:ind w:left="546"/>
              <w:rPr>
                <w:sz w:val="16"/>
              </w:rPr>
            </w:pPr>
            <w:r>
              <w:rPr>
                <w:w w:val="104"/>
                <w:sz w:val="16"/>
              </w:rPr>
              <w:t>—</w:t>
            </w:r>
          </w:p>
        </w:tc>
        <w:tc>
          <w:tcPr>
            <w:tcW w:w="208" w:type="dxa"/>
          </w:tcPr>
          <w:p>
            <w:pPr>
              <w:pStyle w:val="TableParagraph"/>
              <w:rPr>
                <w:sz w:val="14"/>
              </w:rPr>
            </w:pPr>
          </w:p>
        </w:tc>
        <w:tc>
          <w:tcPr>
            <w:tcW w:w="531" w:type="dxa"/>
            <w:tcBorders>
              <w:top w:val="single" w:sz="6" w:space="0" w:color="000000"/>
            </w:tcBorders>
          </w:tcPr>
          <w:p>
            <w:pPr>
              <w:pStyle w:val="TableParagraph"/>
              <w:spacing w:before="18"/>
              <w:ind w:right="27"/>
              <w:jc w:val="right"/>
              <w:rPr>
                <w:sz w:val="16"/>
              </w:rPr>
            </w:pPr>
            <w:r>
              <w:rPr>
                <w:spacing w:val="-2"/>
                <w:w w:val="105"/>
                <w:sz w:val="16"/>
              </w:rPr>
              <w:t>$25.17</w:t>
            </w:r>
          </w:p>
        </w:tc>
        <w:tc>
          <w:tcPr>
            <w:tcW w:w="223" w:type="dxa"/>
          </w:tcPr>
          <w:p>
            <w:pPr>
              <w:pStyle w:val="TableParagraph"/>
              <w:rPr>
                <w:sz w:val="14"/>
              </w:rPr>
            </w:pPr>
          </w:p>
        </w:tc>
        <w:tc>
          <w:tcPr>
            <w:tcW w:w="768" w:type="dxa"/>
            <w:tcBorders>
              <w:top w:val="single" w:sz="6" w:space="0" w:color="000000"/>
            </w:tcBorders>
          </w:tcPr>
          <w:p>
            <w:pPr>
              <w:pStyle w:val="TableParagraph"/>
              <w:spacing w:before="18"/>
              <w:ind w:left="92" w:right="-15"/>
              <w:jc w:val="center"/>
              <w:rPr>
                <w:sz w:val="16"/>
              </w:rPr>
            </w:pPr>
            <w:r>
              <w:rPr>
                <w:spacing w:val="-2"/>
                <w:w w:val="105"/>
                <w:sz w:val="16"/>
              </w:rPr>
              <w:t>2/12/2023</w:t>
            </w:r>
          </w:p>
        </w:tc>
        <w:tc>
          <w:tcPr>
            <w:tcW w:w="223" w:type="dxa"/>
          </w:tcPr>
          <w:p>
            <w:pPr>
              <w:pStyle w:val="TableParagraph"/>
              <w:rPr>
                <w:sz w:val="14"/>
              </w:rPr>
            </w:pPr>
          </w:p>
        </w:tc>
        <w:tc>
          <w:tcPr>
            <w:tcW w:w="1565" w:type="dxa"/>
          </w:tcPr>
          <w:p>
            <w:pPr>
              <w:pStyle w:val="TableParagraph"/>
              <w:tabs>
                <w:tab w:pos="900" w:val="left" w:leader="none"/>
              </w:tabs>
              <w:spacing w:line="20" w:lineRule="exact"/>
              <w:ind w:left="6" w:right="-72"/>
              <w:rPr>
                <w:sz w:val="2"/>
              </w:rPr>
            </w:pPr>
            <w:r>
              <w:rPr>
                <w:sz w:val="2"/>
              </w:rPr>
              <w:pict>
                <v:group style="width:33.6pt;height:.7pt;mso-position-horizontal-relative:char;mso-position-vertical-relative:line" id="docshapegroup373" coordorigin="0,0" coordsize="672,14">
                  <v:shape style="position:absolute;left:0;top:0;width:672;height:14" id="docshape374" coordorigin="0,0" coordsize="672,14" path="m671,0l615,0,56,0,0,0,0,14,56,14,615,14,671,14,671,0xe" filled="true" fillcolor="#000000" stroked="false">
                    <v:path arrowok="t"/>
                    <v:fill type="solid"/>
                  </v:shape>
                </v:group>
              </w:pict>
            </w:r>
            <w:r>
              <w:rPr>
                <w:sz w:val="2"/>
              </w:rPr>
            </w:r>
            <w:r>
              <w:rPr>
                <w:sz w:val="2"/>
              </w:rPr>
              <w:tab/>
            </w:r>
            <w:r>
              <w:rPr>
                <w:sz w:val="2"/>
              </w:rPr>
              <w:pict>
                <v:group style="width:33.6pt;height:.7pt;mso-position-horizontal-relative:char;mso-position-vertical-relative:line" id="docshapegroup375" coordorigin="0,0" coordsize="672,14">
                  <v:shape style="position:absolute;left:0;top:0;width:672;height:14" id="docshape376" coordorigin="0,0" coordsize="672,14" path="m671,0l657,0,14,0,0,0,0,14,14,14,657,14,671,14,671,0xe" filled="true" fillcolor="#000000" stroked="false">
                    <v:path arrowok="t"/>
                    <v:fill type="solid"/>
                  </v:shape>
                </v:group>
              </w:pict>
            </w:r>
            <w:r>
              <w:rPr>
                <w:sz w:val="2"/>
              </w:rPr>
            </w:r>
          </w:p>
          <w:p>
            <w:pPr>
              <w:pStyle w:val="TableParagraph"/>
              <w:tabs>
                <w:tab w:pos="946" w:val="left" w:leader="none"/>
              </w:tabs>
              <w:jc w:val="right"/>
              <w:rPr>
                <w:sz w:val="16"/>
              </w:rPr>
            </w:pPr>
            <w:r>
              <w:rPr>
                <w:spacing w:val="-10"/>
                <w:w w:val="105"/>
                <w:sz w:val="16"/>
              </w:rPr>
              <w:t>—</w:t>
            </w:r>
            <w:r>
              <w:rPr>
                <w:sz w:val="16"/>
              </w:rPr>
              <w:tab/>
            </w:r>
            <w:r>
              <w:rPr>
                <w:spacing w:val="-10"/>
                <w:w w:val="105"/>
                <w:sz w:val="16"/>
              </w:rPr>
              <w:t>—</w:t>
            </w:r>
          </w:p>
        </w:tc>
      </w:tr>
      <w:tr>
        <w:trPr>
          <w:trHeight w:val="223"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before="19"/>
              <w:ind w:right="2"/>
              <w:jc w:val="right"/>
              <w:rPr>
                <w:sz w:val="16"/>
              </w:rPr>
            </w:pPr>
            <w:r>
              <w:rPr>
                <w:spacing w:val="-2"/>
                <w:w w:val="105"/>
                <w:sz w:val="16"/>
              </w:rPr>
              <w:t>2/16/2017</w:t>
            </w:r>
          </w:p>
        </w:tc>
        <w:tc>
          <w:tcPr>
            <w:tcW w:w="223" w:type="dxa"/>
          </w:tcPr>
          <w:p>
            <w:pPr>
              <w:pStyle w:val="TableParagraph"/>
              <w:rPr>
                <w:sz w:val="14"/>
              </w:rPr>
            </w:pPr>
          </w:p>
        </w:tc>
        <w:tc>
          <w:tcPr>
            <w:tcW w:w="964" w:type="dxa"/>
          </w:tcPr>
          <w:p>
            <w:pPr>
              <w:pStyle w:val="TableParagraph"/>
              <w:spacing w:before="19"/>
              <w:ind w:right="195"/>
              <w:jc w:val="right"/>
              <w:rPr>
                <w:sz w:val="16"/>
              </w:rPr>
            </w:pPr>
            <w:r>
              <w:rPr>
                <w:spacing w:val="-2"/>
                <w:w w:val="105"/>
                <w:sz w:val="16"/>
              </w:rPr>
              <w:t>12,467</w:t>
            </w:r>
            <w:r>
              <w:rPr>
                <w:spacing w:val="-2"/>
                <w:w w:val="105"/>
                <w:sz w:val="16"/>
                <w:vertAlign w:val="superscript"/>
              </w:rPr>
              <w:t>(5)</w:t>
            </w:r>
          </w:p>
        </w:tc>
        <w:tc>
          <w:tcPr>
            <w:tcW w:w="882" w:type="dxa"/>
          </w:tcPr>
          <w:p>
            <w:pPr>
              <w:pStyle w:val="TableParagraph"/>
              <w:spacing w:before="19"/>
              <w:ind w:left="546"/>
              <w:rPr>
                <w:sz w:val="16"/>
              </w:rPr>
            </w:pPr>
            <w:r>
              <w:rPr>
                <w:w w:val="104"/>
                <w:sz w:val="16"/>
              </w:rPr>
              <w:t>—</w:t>
            </w:r>
          </w:p>
        </w:tc>
        <w:tc>
          <w:tcPr>
            <w:tcW w:w="208" w:type="dxa"/>
          </w:tcPr>
          <w:p>
            <w:pPr>
              <w:pStyle w:val="TableParagraph"/>
              <w:rPr>
                <w:sz w:val="14"/>
              </w:rPr>
            </w:pPr>
          </w:p>
        </w:tc>
        <w:tc>
          <w:tcPr>
            <w:tcW w:w="531" w:type="dxa"/>
          </w:tcPr>
          <w:p>
            <w:pPr>
              <w:pStyle w:val="TableParagraph"/>
              <w:spacing w:before="19"/>
              <w:ind w:right="27"/>
              <w:jc w:val="right"/>
              <w:rPr>
                <w:sz w:val="16"/>
              </w:rPr>
            </w:pPr>
            <w:r>
              <w:rPr>
                <w:spacing w:val="-2"/>
                <w:w w:val="105"/>
                <w:sz w:val="16"/>
              </w:rPr>
              <w:t>$31.08</w:t>
            </w:r>
          </w:p>
        </w:tc>
        <w:tc>
          <w:tcPr>
            <w:tcW w:w="223" w:type="dxa"/>
          </w:tcPr>
          <w:p>
            <w:pPr>
              <w:pStyle w:val="TableParagraph"/>
              <w:rPr>
                <w:sz w:val="14"/>
              </w:rPr>
            </w:pPr>
          </w:p>
        </w:tc>
        <w:tc>
          <w:tcPr>
            <w:tcW w:w="768" w:type="dxa"/>
          </w:tcPr>
          <w:p>
            <w:pPr>
              <w:pStyle w:val="TableParagraph"/>
              <w:spacing w:before="19"/>
              <w:ind w:left="92" w:right="-15"/>
              <w:jc w:val="center"/>
              <w:rPr>
                <w:sz w:val="16"/>
              </w:rPr>
            </w:pPr>
            <w:r>
              <w:rPr>
                <w:spacing w:val="-2"/>
                <w:w w:val="105"/>
                <w:sz w:val="16"/>
              </w:rPr>
              <w:t>2/16/2024</w:t>
            </w:r>
          </w:p>
        </w:tc>
        <w:tc>
          <w:tcPr>
            <w:tcW w:w="223" w:type="dxa"/>
          </w:tcPr>
          <w:p>
            <w:pPr>
              <w:pStyle w:val="TableParagraph"/>
              <w:rPr>
                <w:sz w:val="14"/>
              </w:rPr>
            </w:pPr>
          </w:p>
        </w:tc>
        <w:tc>
          <w:tcPr>
            <w:tcW w:w="1565" w:type="dxa"/>
          </w:tcPr>
          <w:p>
            <w:pPr>
              <w:pStyle w:val="TableParagraph"/>
              <w:tabs>
                <w:tab w:pos="946" w:val="left" w:leader="none"/>
              </w:tabs>
              <w:spacing w:before="19"/>
              <w:jc w:val="right"/>
              <w:rPr>
                <w:sz w:val="16"/>
              </w:rPr>
            </w:pPr>
            <w:r>
              <w:rPr>
                <w:spacing w:val="-10"/>
                <w:w w:val="105"/>
                <w:sz w:val="16"/>
              </w:rPr>
              <w:t>—</w:t>
            </w:r>
            <w:r>
              <w:rPr>
                <w:sz w:val="16"/>
              </w:rPr>
              <w:tab/>
            </w:r>
            <w:r>
              <w:rPr>
                <w:spacing w:val="-10"/>
                <w:w w:val="105"/>
                <w:sz w:val="16"/>
              </w:rPr>
              <w:t>—</w:t>
            </w:r>
          </w:p>
        </w:tc>
      </w:tr>
      <w:tr>
        <w:trPr>
          <w:trHeight w:val="223"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before="19"/>
              <w:ind w:right="2"/>
              <w:jc w:val="right"/>
              <w:rPr>
                <w:sz w:val="16"/>
              </w:rPr>
            </w:pPr>
            <w:r>
              <w:rPr>
                <w:spacing w:val="-2"/>
                <w:w w:val="105"/>
                <w:sz w:val="16"/>
              </w:rPr>
              <w:t>2/16/2017</w:t>
            </w:r>
          </w:p>
        </w:tc>
        <w:tc>
          <w:tcPr>
            <w:tcW w:w="223" w:type="dxa"/>
          </w:tcPr>
          <w:p>
            <w:pPr>
              <w:pStyle w:val="TableParagraph"/>
              <w:rPr>
                <w:sz w:val="14"/>
              </w:rPr>
            </w:pPr>
          </w:p>
        </w:tc>
        <w:tc>
          <w:tcPr>
            <w:tcW w:w="964" w:type="dxa"/>
          </w:tcPr>
          <w:p>
            <w:pPr>
              <w:pStyle w:val="TableParagraph"/>
              <w:spacing w:before="19"/>
              <w:ind w:right="195"/>
              <w:jc w:val="right"/>
              <w:rPr>
                <w:sz w:val="16"/>
              </w:rPr>
            </w:pPr>
            <w:r>
              <w:rPr>
                <w:spacing w:val="-2"/>
                <w:w w:val="105"/>
                <w:sz w:val="16"/>
              </w:rPr>
              <w:t>34,889</w:t>
            </w:r>
            <w:r>
              <w:rPr>
                <w:spacing w:val="-2"/>
                <w:w w:val="105"/>
                <w:sz w:val="16"/>
                <w:vertAlign w:val="superscript"/>
              </w:rPr>
              <w:t>(6)</w:t>
            </w:r>
          </w:p>
        </w:tc>
        <w:tc>
          <w:tcPr>
            <w:tcW w:w="882" w:type="dxa"/>
          </w:tcPr>
          <w:p>
            <w:pPr>
              <w:pStyle w:val="TableParagraph"/>
              <w:spacing w:before="19"/>
              <w:ind w:left="546"/>
              <w:rPr>
                <w:sz w:val="16"/>
              </w:rPr>
            </w:pPr>
            <w:r>
              <w:rPr>
                <w:w w:val="104"/>
                <w:sz w:val="16"/>
              </w:rPr>
              <w:t>—</w:t>
            </w:r>
          </w:p>
        </w:tc>
        <w:tc>
          <w:tcPr>
            <w:tcW w:w="208" w:type="dxa"/>
          </w:tcPr>
          <w:p>
            <w:pPr>
              <w:pStyle w:val="TableParagraph"/>
              <w:rPr>
                <w:sz w:val="14"/>
              </w:rPr>
            </w:pPr>
          </w:p>
        </w:tc>
        <w:tc>
          <w:tcPr>
            <w:tcW w:w="531" w:type="dxa"/>
          </w:tcPr>
          <w:p>
            <w:pPr>
              <w:pStyle w:val="TableParagraph"/>
              <w:spacing w:before="19"/>
              <w:ind w:right="27"/>
              <w:jc w:val="right"/>
              <w:rPr>
                <w:sz w:val="16"/>
              </w:rPr>
            </w:pPr>
            <w:r>
              <w:rPr>
                <w:spacing w:val="-2"/>
                <w:w w:val="105"/>
                <w:sz w:val="16"/>
              </w:rPr>
              <w:t>$31.08</w:t>
            </w:r>
          </w:p>
        </w:tc>
        <w:tc>
          <w:tcPr>
            <w:tcW w:w="223" w:type="dxa"/>
          </w:tcPr>
          <w:p>
            <w:pPr>
              <w:pStyle w:val="TableParagraph"/>
              <w:rPr>
                <w:sz w:val="14"/>
              </w:rPr>
            </w:pPr>
          </w:p>
        </w:tc>
        <w:tc>
          <w:tcPr>
            <w:tcW w:w="768" w:type="dxa"/>
          </w:tcPr>
          <w:p>
            <w:pPr>
              <w:pStyle w:val="TableParagraph"/>
              <w:spacing w:before="19"/>
              <w:ind w:left="92" w:right="-15"/>
              <w:jc w:val="center"/>
              <w:rPr>
                <w:sz w:val="16"/>
              </w:rPr>
            </w:pPr>
            <w:r>
              <w:rPr>
                <w:spacing w:val="-2"/>
                <w:w w:val="105"/>
                <w:sz w:val="16"/>
              </w:rPr>
              <w:t>2/16/2024</w:t>
            </w:r>
          </w:p>
        </w:tc>
        <w:tc>
          <w:tcPr>
            <w:tcW w:w="223" w:type="dxa"/>
          </w:tcPr>
          <w:p>
            <w:pPr>
              <w:pStyle w:val="TableParagraph"/>
              <w:rPr>
                <w:sz w:val="14"/>
              </w:rPr>
            </w:pPr>
          </w:p>
        </w:tc>
        <w:tc>
          <w:tcPr>
            <w:tcW w:w="1565" w:type="dxa"/>
          </w:tcPr>
          <w:p>
            <w:pPr>
              <w:pStyle w:val="TableParagraph"/>
              <w:tabs>
                <w:tab w:pos="946" w:val="left" w:leader="none"/>
              </w:tabs>
              <w:spacing w:before="19"/>
              <w:jc w:val="right"/>
              <w:rPr>
                <w:sz w:val="16"/>
              </w:rPr>
            </w:pPr>
            <w:r>
              <w:rPr>
                <w:spacing w:val="-10"/>
                <w:w w:val="105"/>
                <w:sz w:val="16"/>
              </w:rPr>
              <w:t>—</w:t>
            </w:r>
            <w:r>
              <w:rPr>
                <w:sz w:val="16"/>
              </w:rPr>
              <w:tab/>
            </w:r>
            <w:r>
              <w:rPr>
                <w:spacing w:val="-10"/>
                <w:w w:val="105"/>
                <w:sz w:val="16"/>
              </w:rPr>
              <w:t>—</w:t>
            </w:r>
          </w:p>
        </w:tc>
      </w:tr>
      <w:tr>
        <w:trPr>
          <w:trHeight w:val="224" w:hRule="atLeast"/>
        </w:trPr>
        <w:tc>
          <w:tcPr>
            <w:tcW w:w="1901" w:type="dxa"/>
          </w:tcPr>
          <w:p>
            <w:pPr>
              <w:pStyle w:val="TableParagraph"/>
              <w:rPr>
                <w:sz w:val="16"/>
              </w:rPr>
            </w:pPr>
          </w:p>
        </w:tc>
        <w:tc>
          <w:tcPr>
            <w:tcW w:w="223" w:type="dxa"/>
          </w:tcPr>
          <w:p>
            <w:pPr>
              <w:pStyle w:val="TableParagraph"/>
              <w:rPr>
                <w:sz w:val="16"/>
              </w:rPr>
            </w:pPr>
          </w:p>
        </w:tc>
        <w:tc>
          <w:tcPr>
            <w:tcW w:w="782" w:type="dxa"/>
          </w:tcPr>
          <w:p>
            <w:pPr>
              <w:pStyle w:val="TableParagraph"/>
              <w:spacing w:before="19"/>
              <w:ind w:right="2"/>
              <w:jc w:val="right"/>
              <w:rPr>
                <w:sz w:val="16"/>
              </w:rPr>
            </w:pPr>
            <w:r>
              <w:rPr>
                <w:spacing w:val="-2"/>
                <w:w w:val="105"/>
                <w:sz w:val="16"/>
              </w:rPr>
              <w:t>2/16/2017</w:t>
            </w:r>
          </w:p>
        </w:tc>
        <w:tc>
          <w:tcPr>
            <w:tcW w:w="223" w:type="dxa"/>
          </w:tcPr>
          <w:p>
            <w:pPr>
              <w:pStyle w:val="TableParagraph"/>
              <w:rPr>
                <w:sz w:val="16"/>
              </w:rPr>
            </w:pPr>
          </w:p>
        </w:tc>
        <w:tc>
          <w:tcPr>
            <w:tcW w:w="964" w:type="dxa"/>
          </w:tcPr>
          <w:p>
            <w:pPr>
              <w:pStyle w:val="TableParagraph"/>
              <w:spacing w:before="19"/>
              <w:ind w:right="195"/>
              <w:jc w:val="right"/>
              <w:rPr>
                <w:sz w:val="16"/>
              </w:rPr>
            </w:pPr>
            <w:r>
              <w:rPr>
                <w:spacing w:val="-2"/>
                <w:w w:val="105"/>
                <w:sz w:val="16"/>
              </w:rPr>
              <w:t>34,254</w:t>
            </w:r>
            <w:r>
              <w:rPr>
                <w:spacing w:val="-2"/>
                <w:w w:val="105"/>
                <w:sz w:val="16"/>
                <w:vertAlign w:val="superscript"/>
              </w:rPr>
              <w:t>(6)</w:t>
            </w:r>
          </w:p>
        </w:tc>
        <w:tc>
          <w:tcPr>
            <w:tcW w:w="882" w:type="dxa"/>
          </w:tcPr>
          <w:p>
            <w:pPr>
              <w:pStyle w:val="TableParagraph"/>
              <w:spacing w:before="19"/>
              <w:ind w:left="546"/>
              <w:rPr>
                <w:sz w:val="16"/>
              </w:rPr>
            </w:pPr>
            <w:r>
              <w:rPr>
                <w:w w:val="104"/>
                <w:sz w:val="16"/>
              </w:rPr>
              <w:t>—</w:t>
            </w:r>
          </w:p>
        </w:tc>
        <w:tc>
          <w:tcPr>
            <w:tcW w:w="208" w:type="dxa"/>
          </w:tcPr>
          <w:p>
            <w:pPr>
              <w:pStyle w:val="TableParagraph"/>
              <w:rPr>
                <w:sz w:val="16"/>
              </w:rPr>
            </w:pPr>
          </w:p>
        </w:tc>
        <w:tc>
          <w:tcPr>
            <w:tcW w:w="531" w:type="dxa"/>
          </w:tcPr>
          <w:p>
            <w:pPr>
              <w:pStyle w:val="TableParagraph"/>
              <w:spacing w:before="19"/>
              <w:ind w:right="27"/>
              <w:jc w:val="right"/>
              <w:rPr>
                <w:sz w:val="16"/>
              </w:rPr>
            </w:pPr>
            <w:r>
              <w:rPr>
                <w:spacing w:val="-2"/>
                <w:w w:val="105"/>
                <w:sz w:val="16"/>
              </w:rPr>
              <w:t>$31.08</w:t>
            </w:r>
          </w:p>
        </w:tc>
        <w:tc>
          <w:tcPr>
            <w:tcW w:w="223" w:type="dxa"/>
          </w:tcPr>
          <w:p>
            <w:pPr>
              <w:pStyle w:val="TableParagraph"/>
              <w:rPr>
                <w:sz w:val="16"/>
              </w:rPr>
            </w:pPr>
          </w:p>
        </w:tc>
        <w:tc>
          <w:tcPr>
            <w:tcW w:w="768" w:type="dxa"/>
          </w:tcPr>
          <w:p>
            <w:pPr>
              <w:pStyle w:val="TableParagraph"/>
              <w:spacing w:before="19"/>
              <w:ind w:left="92" w:right="-15"/>
              <w:jc w:val="center"/>
              <w:rPr>
                <w:sz w:val="16"/>
              </w:rPr>
            </w:pPr>
            <w:r>
              <w:rPr>
                <w:spacing w:val="-2"/>
                <w:w w:val="105"/>
                <w:sz w:val="16"/>
              </w:rPr>
              <w:t>2/16/2024</w:t>
            </w:r>
          </w:p>
        </w:tc>
        <w:tc>
          <w:tcPr>
            <w:tcW w:w="223" w:type="dxa"/>
          </w:tcPr>
          <w:p>
            <w:pPr>
              <w:pStyle w:val="TableParagraph"/>
              <w:rPr>
                <w:sz w:val="16"/>
              </w:rPr>
            </w:pPr>
          </w:p>
        </w:tc>
        <w:tc>
          <w:tcPr>
            <w:tcW w:w="1565" w:type="dxa"/>
          </w:tcPr>
          <w:p>
            <w:pPr>
              <w:pStyle w:val="TableParagraph"/>
              <w:tabs>
                <w:tab w:pos="946" w:val="left" w:leader="none"/>
              </w:tabs>
              <w:spacing w:before="19"/>
              <w:jc w:val="right"/>
              <w:rPr>
                <w:sz w:val="16"/>
              </w:rPr>
            </w:pPr>
            <w:r>
              <w:rPr>
                <w:spacing w:val="-10"/>
                <w:w w:val="105"/>
                <w:sz w:val="16"/>
              </w:rPr>
              <w:t>—</w:t>
            </w:r>
            <w:r>
              <w:rPr>
                <w:sz w:val="16"/>
              </w:rPr>
              <w:tab/>
            </w:r>
            <w:r>
              <w:rPr>
                <w:spacing w:val="-10"/>
                <w:w w:val="105"/>
                <w:sz w:val="16"/>
              </w:rPr>
              <w:t>—</w:t>
            </w:r>
          </w:p>
        </w:tc>
      </w:tr>
      <w:tr>
        <w:trPr>
          <w:trHeight w:val="230" w:hRule="atLeast"/>
        </w:trPr>
        <w:tc>
          <w:tcPr>
            <w:tcW w:w="1901" w:type="dxa"/>
          </w:tcPr>
          <w:p>
            <w:pPr>
              <w:pStyle w:val="TableParagraph"/>
              <w:rPr>
                <w:sz w:val="16"/>
              </w:rPr>
            </w:pPr>
          </w:p>
        </w:tc>
        <w:tc>
          <w:tcPr>
            <w:tcW w:w="223" w:type="dxa"/>
          </w:tcPr>
          <w:p>
            <w:pPr>
              <w:pStyle w:val="TableParagraph"/>
              <w:rPr>
                <w:sz w:val="16"/>
              </w:rPr>
            </w:pPr>
          </w:p>
        </w:tc>
        <w:tc>
          <w:tcPr>
            <w:tcW w:w="782" w:type="dxa"/>
          </w:tcPr>
          <w:p>
            <w:pPr>
              <w:pStyle w:val="TableParagraph"/>
              <w:spacing w:line="179" w:lineRule="exact" w:before="32"/>
              <w:ind w:right="2"/>
              <w:jc w:val="right"/>
              <w:rPr>
                <w:sz w:val="16"/>
              </w:rPr>
            </w:pPr>
            <w:r>
              <w:rPr>
                <w:spacing w:val="-2"/>
                <w:w w:val="105"/>
                <w:sz w:val="16"/>
              </w:rPr>
              <w:t>2/16/2017</w:t>
            </w:r>
          </w:p>
        </w:tc>
        <w:tc>
          <w:tcPr>
            <w:tcW w:w="223" w:type="dxa"/>
          </w:tcPr>
          <w:p>
            <w:pPr>
              <w:pStyle w:val="TableParagraph"/>
              <w:rPr>
                <w:sz w:val="16"/>
              </w:rPr>
            </w:pPr>
          </w:p>
        </w:tc>
        <w:tc>
          <w:tcPr>
            <w:tcW w:w="964" w:type="dxa"/>
          </w:tcPr>
          <w:p>
            <w:pPr>
              <w:pStyle w:val="TableParagraph"/>
              <w:spacing w:line="179" w:lineRule="exact" w:before="32"/>
              <w:ind w:right="195"/>
              <w:jc w:val="right"/>
              <w:rPr>
                <w:sz w:val="16"/>
              </w:rPr>
            </w:pPr>
            <w:r>
              <w:rPr>
                <w:spacing w:val="-2"/>
                <w:w w:val="105"/>
                <w:sz w:val="16"/>
              </w:rPr>
              <w:t>396,525</w:t>
            </w:r>
            <w:r>
              <w:rPr>
                <w:spacing w:val="-2"/>
                <w:w w:val="105"/>
                <w:sz w:val="16"/>
                <w:vertAlign w:val="superscript"/>
              </w:rPr>
              <w:t>(7)</w:t>
            </w:r>
          </w:p>
        </w:tc>
        <w:tc>
          <w:tcPr>
            <w:tcW w:w="882" w:type="dxa"/>
          </w:tcPr>
          <w:p>
            <w:pPr>
              <w:pStyle w:val="TableParagraph"/>
              <w:spacing w:line="179" w:lineRule="exact" w:before="32"/>
              <w:ind w:left="546"/>
              <w:rPr>
                <w:sz w:val="16"/>
              </w:rPr>
            </w:pPr>
            <w:r>
              <w:rPr>
                <w:w w:val="104"/>
                <w:sz w:val="16"/>
              </w:rPr>
              <w:t>—</w:t>
            </w:r>
          </w:p>
        </w:tc>
        <w:tc>
          <w:tcPr>
            <w:tcW w:w="208" w:type="dxa"/>
          </w:tcPr>
          <w:p>
            <w:pPr>
              <w:pStyle w:val="TableParagraph"/>
              <w:rPr>
                <w:sz w:val="16"/>
              </w:rPr>
            </w:pPr>
          </w:p>
        </w:tc>
        <w:tc>
          <w:tcPr>
            <w:tcW w:w="531" w:type="dxa"/>
          </w:tcPr>
          <w:p>
            <w:pPr>
              <w:pStyle w:val="TableParagraph"/>
              <w:spacing w:line="179" w:lineRule="exact" w:before="32"/>
              <w:ind w:right="27"/>
              <w:jc w:val="right"/>
              <w:rPr>
                <w:sz w:val="16"/>
              </w:rPr>
            </w:pPr>
            <w:r>
              <w:rPr>
                <w:spacing w:val="-2"/>
                <w:w w:val="105"/>
                <w:sz w:val="16"/>
              </w:rPr>
              <w:t>$31.08</w:t>
            </w:r>
          </w:p>
        </w:tc>
        <w:tc>
          <w:tcPr>
            <w:tcW w:w="223" w:type="dxa"/>
          </w:tcPr>
          <w:p>
            <w:pPr>
              <w:pStyle w:val="TableParagraph"/>
              <w:rPr>
                <w:sz w:val="16"/>
              </w:rPr>
            </w:pPr>
          </w:p>
        </w:tc>
        <w:tc>
          <w:tcPr>
            <w:tcW w:w="768" w:type="dxa"/>
          </w:tcPr>
          <w:p>
            <w:pPr>
              <w:pStyle w:val="TableParagraph"/>
              <w:spacing w:line="179" w:lineRule="exact" w:before="32"/>
              <w:ind w:left="92" w:right="-15"/>
              <w:jc w:val="center"/>
              <w:rPr>
                <w:sz w:val="16"/>
              </w:rPr>
            </w:pPr>
            <w:r>
              <w:rPr>
                <w:spacing w:val="-2"/>
                <w:w w:val="105"/>
                <w:sz w:val="16"/>
              </w:rPr>
              <w:t>2/16/2024</w:t>
            </w:r>
          </w:p>
        </w:tc>
        <w:tc>
          <w:tcPr>
            <w:tcW w:w="223" w:type="dxa"/>
          </w:tcPr>
          <w:p>
            <w:pPr>
              <w:pStyle w:val="TableParagraph"/>
              <w:rPr>
                <w:sz w:val="16"/>
              </w:rPr>
            </w:pPr>
          </w:p>
        </w:tc>
        <w:tc>
          <w:tcPr>
            <w:tcW w:w="1565" w:type="dxa"/>
          </w:tcPr>
          <w:p>
            <w:pPr>
              <w:pStyle w:val="TableParagraph"/>
              <w:tabs>
                <w:tab w:pos="946" w:val="left" w:leader="none"/>
              </w:tabs>
              <w:spacing w:line="179" w:lineRule="exact" w:before="32"/>
              <w:jc w:val="right"/>
              <w:rPr>
                <w:sz w:val="16"/>
              </w:rPr>
            </w:pPr>
            <w:r>
              <w:rPr>
                <w:spacing w:val="-10"/>
                <w:w w:val="105"/>
                <w:sz w:val="16"/>
              </w:rPr>
              <w:t>—</w:t>
            </w:r>
            <w:r>
              <w:rPr>
                <w:sz w:val="16"/>
              </w:rPr>
              <w:tab/>
            </w:r>
            <w:r>
              <w:rPr>
                <w:spacing w:val="-10"/>
                <w:w w:val="105"/>
                <w:sz w:val="16"/>
              </w:rPr>
              <w:t>—</w:t>
            </w:r>
          </w:p>
        </w:tc>
      </w:tr>
      <w:tr>
        <w:trPr>
          <w:trHeight w:val="223"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line="179" w:lineRule="exact" w:before="25"/>
              <w:ind w:right="2"/>
              <w:jc w:val="right"/>
              <w:rPr>
                <w:sz w:val="16"/>
              </w:rPr>
            </w:pPr>
            <w:r>
              <w:rPr>
                <w:spacing w:val="-2"/>
                <w:w w:val="105"/>
                <w:sz w:val="16"/>
              </w:rPr>
              <w:t>2/15/2018</w:t>
            </w:r>
          </w:p>
        </w:tc>
        <w:tc>
          <w:tcPr>
            <w:tcW w:w="223" w:type="dxa"/>
          </w:tcPr>
          <w:p>
            <w:pPr>
              <w:pStyle w:val="TableParagraph"/>
              <w:rPr>
                <w:sz w:val="14"/>
              </w:rPr>
            </w:pPr>
          </w:p>
        </w:tc>
        <w:tc>
          <w:tcPr>
            <w:tcW w:w="964" w:type="dxa"/>
          </w:tcPr>
          <w:p>
            <w:pPr>
              <w:pStyle w:val="TableParagraph"/>
              <w:spacing w:line="179" w:lineRule="exact" w:before="25"/>
              <w:ind w:right="195"/>
              <w:jc w:val="right"/>
              <w:rPr>
                <w:sz w:val="16"/>
              </w:rPr>
            </w:pPr>
            <w:r>
              <w:rPr>
                <w:spacing w:val="-2"/>
                <w:w w:val="105"/>
                <w:sz w:val="16"/>
              </w:rPr>
              <w:t>89,115</w:t>
            </w:r>
            <w:r>
              <w:rPr>
                <w:spacing w:val="-2"/>
                <w:w w:val="105"/>
                <w:sz w:val="16"/>
                <w:vertAlign w:val="superscript"/>
              </w:rPr>
              <w:t>(9)</w:t>
            </w:r>
          </w:p>
        </w:tc>
        <w:tc>
          <w:tcPr>
            <w:tcW w:w="882" w:type="dxa"/>
          </w:tcPr>
          <w:p>
            <w:pPr>
              <w:pStyle w:val="TableParagraph"/>
              <w:spacing w:line="179" w:lineRule="exact" w:before="25"/>
              <w:ind w:left="546"/>
              <w:rPr>
                <w:sz w:val="16"/>
              </w:rPr>
            </w:pPr>
            <w:r>
              <w:rPr>
                <w:w w:val="104"/>
                <w:sz w:val="16"/>
              </w:rPr>
              <w:t>—</w:t>
            </w:r>
          </w:p>
        </w:tc>
        <w:tc>
          <w:tcPr>
            <w:tcW w:w="208" w:type="dxa"/>
          </w:tcPr>
          <w:p>
            <w:pPr>
              <w:pStyle w:val="TableParagraph"/>
              <w:rPr>
                <w:sz w:val="14"/>
              </w:rPr>
            </w:pPr>
          </w:p>
        </w:tc>
        <w:tc>
          <w:tcPr>
            <w:tcW w:w="531" w:type="dxa"/>
          </w:tcPr>
          <w:p>
            <w:pPr>
              <w:pStyle w:val="TableParagraph"/>
              <w:spacing w:line="179" w:lineRule="exact" w:before="25"/>
              <w:ind w:right="27"/>
              <w:jc w:val="right"/>
              <w:rPr>
                <w:sz w:val="16"/>
              </w:rPr>
            </w:pPr>
            <w:r>
              <w:rPr>
                <w:spacing w:val="-2"/>
                <w:w w:val="105"/>
                <w:sz w:val="16"/>
              </w:rPr>
              <w:t>$37.10</w:t>
            </w:r>
          </w:p>
        </w:tc>
        <w:tc>
          <w:tcPr>
            <w:tcW w:w="223" w:type="dxa"/>
          </w:tcPr>
          <w:p>
            <w:pPr>
              <w:pStyle w:val="TableParagraph"/>
              <w:rPr>
                <w:sz w:val="14"/>
              </w:rPr>
            </w:pPr>
          </w:p>
        </w:tc>
        <w:tc>
          <w:tcPr>
            <w:tcW w:w="768" w:type="dxa"/>
          </w:tcPr>
          <w:p>
            <w:pPr>
              <w:pStyle w:val="TableParagraph"/>
              <w:spacing w:line="179" w:lineRule="exact" w:before="25"/>
              <w:ind w:left="92" w:right="-15"/>
              <w:jc w:val="center"/>
              <w:rPr>
                <w:sz w:val="16"/>
              </w:rPr>
            </w:pPr>
            <w:r>
              <w:rPr>
                <w:spacing w:val="-2"/>
                <w:w w:val="105"/>
                <w:sz w:val="16"/>
              </w:rPr>
              <w:t>2/15/2025</w:t>
            </w:r>
          </w:p>
        </w:tc>
        <w:tc>
          <w:tcPr>
            <w:tcW w:w="223" w:type="dxa"/>
          </w:tcPr>
          <w:p>
            <w:pPr>
              <w:pStyle w:val="TableParagraph"/>
              <w:rPr>
                <w:sz w:val="14"/>
              </w:rPr>
            </w:pPr>
          </w:p>
        </w:tc>
        <w:tc>
          <w:tcPr>
            <w:tcW w:w="1565" w:type="dxa"/>
          </w:tcPr>
          <w:p>
            <w:pPr>
              <w:pStyle w:val="TableParagraph"/>
              <w:tabs>
                <w:tab w:pos="946" w:val="left" w:leader="none"/>
              </w:tabs>
              <w:spacing w:line="179" w:lineRule="exact" w:before="25"/>
              <w:jc w:val="right"/>
              <w:rPr>
                <w:sz w:val="16"/>
              </w:rPr>
            </w:pPr>
            <w:r>
              <w:rPr>
                <w:spacing w:val="-10"/>
                <w:w w:val="105"/>
                <w:sz w:val="16"/>
              </w:rPr>
              <w:t>—</w:t>
            </w:r>
            <w:r>
              <w:rPr>
                <w:sz w:val="16"/>
              </w:rPr>
              <w:tab/>
            </w:r>
            <w:r>
              <w:rPr>
                <w:spacing w:val="-10"/>
                <w:w w:val="105"/>
                <w:sz w:val="16"/>
              </w:rPr>
              <w:t>—</w:t>
            </w:r>
          </w:p>
        </w:tc>
      </w:tr>
      <w:tr>
        <w:trPr>
          <w:trHeight w:val="223"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line="179" w:lineRule="exact" w:before="25"/>
              <w:ind w:right="2"/>
              <w:jc w:val="right"/>
              <w:rPr>
                <w:sz w:val="16"/>
              </w:rPr>
            </w:pPr>
            <w:r>
              <w:rPr>
                <w:spacing w:val="-2"/>
                <w:w w:val="105"/>
                <w:sz w:val="16"/>
              </w:rPr>
              <w:t>2/15/2019</w:t>
            </w:r>
          </w:p>
        </w:tc>
        <w:tc>
          <w:tcPr>
            <w:tcW w:w="223" w:type="dxa"/>
          </w:tcPr>
          <w:p>
            <w:pPr>
              <w:pStyle w:val="TableParagraph"/>
              <w:rPr>
                <w:sz w:val="14"/>
              </w:rPr>
            </w:pPr>
          </w:p>
        </w:tc>
        <w:tc>
          <w:tcPr>
            <w:tcW w:w="964" w:type="dxa"/>
          </w:tcPr>
          <w:p>
            <w:pPr>
              <w:pStyle w:val="TableParagraph"/>
              <w:spacing w:line="179" w:lineRule="exact" w:before="25"/>
              <w:ind w:right="148"/>
              <w:jc w:val="right"/>
              <w:rPr>
                <w:sz w:val="16"/>
              </w:rPr>
            </w:pPr>
            <w:r>
              <w:rPr>
                <w:spacing w:val="-2"/>
                <w:w w:val="105"/>
                <w:sz w:val="16"/>
              </w:rPr>
              <w:t>92,523</w:t>
            </w:r>
            <w:r>
              <w:rPr>
                <w:spacing w:val="-2"/>
                <w:w w:val="105"/>
                <w:sz w:val="16"/>
                <w:vertAlign w:val="superscript"/>
              </w:rPr>
              <w:t>(11)</w:t>
            </w:r>
          </w:p>
        </w:tc>
        <w:tc>
          <w:tcPr>
            <w:tcW w:w="882" w:type="dxa"/>
          </w:tcPr>
          <w:p>
            <w:pPr>
              <w:pStyle w:val="TableParagraph"/>
              <w:spacing w:line="179" w:lineRule="exact" w:before="25"/>
              <w:jc w:val="right"/>
              <w:rPr>
                <w:sz w:val="16"/>
              </w:rPr>
            </w:pPr>
            <w:r>
              <w:rPr>
                <w:spacing w:val="-2"/>
                <w:w w:val="105"/>
                <w:sz w:val="16"/>
              </w:rPr>
              <w:t>10,759</w:t>
            </w:r>
            <w:r>
              <w:rPr>
                <w:spacing w:val="-2"/>
                <w:w w:val="105"/>
                <w:sz w:val="16"/>
                <w:vertAlign w:val="superscript"/>
              </w:rPr>
              <w:t>(11)</w:t>
            </w:r>
          </w:p>
        </w:tc>
        <w:tc>
          <w:tcPr>
            <w:tcW w:w="208" w:type="dxa"/>
          </w:tcPr>
          <w:p>
            <w:pPr>
              <w:pStyle w:val="TableParagraph"/>
              <w:rPr>
                <w:sz w:val="14"/>
              </w:rPr>
            </w:pPr>
          </w:p>
        </w:tc>
        <w:tc>
          <w:tcPr>
            <w:tcW w:w="531" w:type="dxa"/>
          </w:tcPr>
          <w:p>
            <w:pPr>
              <w:pStyle w:val="TableParagraph"/>
              <w:spacing w:line="179" w:lineRule="exact" w:before="25"/>
              <w:ind w:right="27"/>
              <w:jc w:val="right"/>
              <w:rPr>
                <w:sz w:val="16"/>
              </w:rPr>
            </w:pPr>
            <w:r>
              <w:rPr>
                <w:spacing w:val="-2"/>
                <w:w w:val="105"/>
                <w:sz w:val="16"/>
              </w:rPr>
              <w:t>$31.42</w:t>
            </w:r>
          </w:p>
        </w:tc>
        <w:tc>
          <w:tcPr>
            <w:tcW w:w="223" w:type="dxa"/>
          </w:tcPr>
          <w:p>
            <w:pPr>
              <w:pStyle w:val="TableParagraph"/>
              <w:rPr>
                <w:sz w:val="14"/>
              </w:rPr>
            </w:pPr>
          </w:p>
        </w:tc>
        <w:tc>
          <w:tcPr>
            <w:tcW w:w="768" w:type="dxa"/>
          </w:tcPr>
          <w:p>
            <w:pPr>
              <w:pStyle w:val="TableParagraph"/>
              <w:spacing w:line="179" w:lineRule="exact" w:before="25"/>
              <w:ind w:left="92" w:right="-15"/>
              <w:jc w:val="center"/>
              <w:rPr>
                <w:sz w:val="16"/>
              </w:rPr>
            </w:pPr>
            <w:r>
              <w:rPr>
                <w:spacing w:val="-2"/>
                <w:w w:val="105"/>
                <w:sz w:val="16"/>
              </w:rPr>
              <w:t>2/15/2026</w:t>
            </w:r>
          </w:p>
        </w:tc>
        <w:tc>
          <w:tcPr>
            <w:tcW w:w="223" w:type="dxa"/>
          </w:tcPr>
          <w:p>
            <w:pPr>
              <w:pStyle w:val="TableParagraph"/>
              <w:rPr>
                <w:sz w:val="14"/>
              </w:rPr>
            </w:pPr>
          </w:p>
        </w:tc>
        <w:tc>
          <w:tcPr>
            <w:tcW w:w="1565" w:type="dxa"/>
          </w:tcPr>
          <w:p>
            <w:pPr>
              <w:pStyle w:val="TableParagraph"/>
              <w:tabs>
                <w:tab w:pos="946" w:val="left" w:leader="none"/>
              </w:tabs>
              <w:spacing w:line="179" w:lineRule="exact" w:before="25"/>
              <w:jc w:val="right"/>
              <w:rPr>
                <w:sz w:val="16"/>
              </w:rPr>
            </w:pPr>
            <w:r>
              <w:rPr>
                <w:spacing w:val="-10"/>
                <w:w w:val="105"/>
                <w:sz w:val="16"/>
              </w:rPr>
              <w:t>—</w:t>
            </w:r>
            <w:r>
              <w:rPr>
                <w:sz w:val="16"/>
              </w:rPr>
              <w:tab/>
            </w:r>
            <w:r>
              <w:rPr>
                <w:spacing w:val="-10"/>
                <w:w w:val="105"/>
                <w:sz w:val="16"/>
              </w:rPr>
              <w:t>—</w:t>
            </w:r>
          </w:p>
        </w:tc>
      </w:tr>
      <w:tr>
        <w:trPr>
          <w:trHeight w:val="223"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line="179" w:lineRule="exact" w:before="25"/>
              <w:ind w:right="2"/>
              <w:jc w:val="right"/>
              <w:rPr>
                <w:sz w:val="16"/>
              </w:rPr>
            </w:pPr>
            <w:r>
              <w:rPr>
                <w:spacing w:val="-2"/>
                <w:w w:val="105"/>
                <w:sz w:val="16"/>
              </w:rPr>
              <w:t>2/18/2020</w:t>
            </w:r>
          </w:p>
        </w:tc>
        <w:tc>
          <w:tcPr>
            <w:tcW w:w="223" w:type="dxa"/>
          </w:tcPr>
          <w:p>
            <w:pPr>
              <w:pStyle w:val="TableParagraph"/>
              <w:rPr>
                <w:sz w:val="14"/>
              </w:rPr>
            </w:pPr>
          </w:p>
        </w:tc>
        <w:tc>
          <w:tcPr>
            <w:tcW w:w="964" w:type="dxa"/>
          </w:tcPr>
          <w:p>
            <w:pPr>
              <w:pStyle w:val="TableParagraph"/>
              <w:spacing w:line="179" w:lineRule="exact" w:before="25"/>
              <w:ind w:right="144"/>
              <w:jc w:val="right"/>
              <w:rPr>
                <w:sz w:val="16"/>
              </w:rPr>
            </w:pPr>
            <w:r>
              <w:rPr>
                <w:spacing w:val="-2"/>
                <w:w w:val="105"/>
                <w:sz w:val="16"/>
              </w:rPr>
              <w:t>111,862</w:t>
            </w:r>
            <w:r>
              <w:rPr>
                <w:spacing w:val="-2"/>
                <w:w w:val="105"/>
                <w:sz w:val="16"/>
                <w:vertAlign w:val="superscript"/>
              </w:rPr>
              <w:t>(12)</w:t>
            </w:r>
          </w:p>
        </w:tc>
        <w:tc>
          <w:tcPr>
            <w:tcW w:w="882" w:type="dxa"/>
          </w:tcPr>
          <w:p>
            <w:pPr>
              <w:pStyle w:val="TableParagraph"/>
              <w:spacing w:line="179" w:lineRule="exact" w:before="25"/>
              <w:ind w:right="-15"/>
              <w:jc w:val="right"/>
              <w:rPr>
                <w:sz w:val="16"/>
              </w:rPr>
            </w:pPr>
            <w:r>
              <w:rPr>
                <w:spacing w:val="-2"/>
                <w:w w:val="105"/>
                <w:sz w:val="16"/>
              </w:rPr>
              <w:t>61,344</w:t>
            </w:r>
            <w:r>
              <w:rPr>
                <w:spacing w:val="-2"/>
                <w:w w:val="105"/>
                <w:sz w:val="16"/>
                <w:vertAlign w:val="superscript"/>
              </w:rPr>
              <w:t>(12)</w:t>
            </w:r>
          </w:p>
        </w:tc>
        <w:tc>
          <w:tcPr>
            <w:tcW w:w="208" w:type="dxa"/>
          </w:tcPr>
          <w:p>
            <w:pPr>
              <w:pStyle w:val="TableParagraph"/>
              <w:rPr>
                <w:sz w:val="14"/>
              </w:rPr>
            </w:pPr>
          </w:p>
        </w:tc>
        <w:tc>
          <w:tcPr>
            <w:tcW w:w="531" w:type="dxa"/>
          </w:tcPr>
          <w:p>
            <w:pPr>
              <w:pStyle w:val="TableParagraph"/>
              <w:spacing w:line="179" w:lineRule="exact" w:before="25"/>
              <w:ind w:right="27"/>
              <w:jc w:val="right"/>
              <w:rPr>
                <w:sz w:val="16"/>
              </w:rPr>
            </w:pPr>
            <w:r>
              <w:rPr>
                <w:spacing w:val="-2"/>
                <w:w w:val="105"/>
                <w:sz w:val="16"/>
              </w:rPr>
              <w:t>$28.12</w:t>
            </w:r>
          </w:p>
        </w:tc>
        <w:tc>
          <w:tcPr>
            <w:tcW w:w="223" w:type="dxa"/>
          </w:tcPr>
          <w:p>
            <w:pPr>
              <w:pStyle w:val="TableParagraph"/>
              <w:rPr>
                <w:sz w:val="14"/>
              </w:rPr>
            </w:pPr>
          </w:p>
        </w:tc>
        <w:tc>
          <w:tcPr>
            <w:tcW w:w="768" w:type="dxa"/>
          </w:tcPr>
          <w:p>
            <w:pPr>
              <w:pStyle w:val="TableParagraph"/>
              <w:spacing w:line="179" w:lineRule="exact" w:before="25"/>
              <w:ind w:left="92" w:right="-15"/>
              <w:jc w:val="center"/>
              <w:rPr>
                <w:sz w:val="16"/>
              </w:rPr>
            </w:pPr>
            <w:r>
              <w:rPr>
                <w:spacing w:val="-2"/>
                <w:w w:val="105"/>
                <w:sz w:val="16"/>
              </w:rPr>
              <w:t>2/15/2030</w:t>
            </w:r>
          </w:p>
        </w:tc>
        <w:tc>
          <w:tcPr>
            <w:tcW w:w="223" w:type="dxa"/>
          </w:tcPr>
          <w:p>
            <w:pPr>
              <w:pStyle w:val="TableParagraph"/>
              <w:rPr>
                <w:sz w:val="14"/>
              </w:rPr>
            </w:pPr>
          </w:p>
        </w:tc>
        <w:tc>
          <w:tcPr>
            <w:tcW w:w="1565" w:type="dxa"/>
          </w:tcPr>
          <w:p>
            <w:pPr>
              <w:pStyle w:val="TableParagraph"/>
              <w:tabs>
                <w:tab w:pos="946" w:val="left" w:leader="none"/>
              </w:tabs>
              <w:spacing w:line="179" w:lineRule="exact" w:before="25"/>
              <w:jc w:val="right"/>
              <w:rPr>
                <w:sz w:val="16"/>
              </w:rPr>
            </w:pPr>
            <w:r>
              <w:rPr>
                <w:spacing w:val="-10"/>
                <w:w w:val="105"/>
                <w:sz w:val="16"/>
              </w:rPr>
              <w:t>—</w:t>
            </w:r>
            <w:r>
              <w:rPr>
                <w:sz w:val="16"/>
              </w:rPr>
              <w:tab/>
            </w:r>
            <w:r>
              <w:rPr>
                <w:spacing w:val="-10"/>
                <w:w w:val="105"/>
                <w:sz w:val="16"/>
              </w:rPr>
              <w:t>—</w:t>
            </w:r>
          </w:p>
        </w:tc>
      </w:tr>
      <w:tr>
        <w:trPr>
          <w:trHeight w:val="223"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line="179" w:lineRule="exact" w:before="25"/>
              <w:ind w:right="2"/>
              <w:jc w:val="right"/>
              <w:rPr>
                <w:sz w:val="16"/>
              </w:rPr>
            </w:pPr>
            <w:r>
              <w:rPr>
                <w:spacing w:val="-2"/>
                <w:w w:val="105"/>
                <w:sz w:val="16"/>
              </w:rPr>
              <w:t>2/16/2021</w:t>
            </w:r>
          </w:p>
        </w:tc>
        <w:tc>
          <w:tcPr>
            <w:tcW w:w="223" w:type="dxa"/>
          </w:tcPr>
          <w:p>
            <w:pPr>
              <w:pStyle w:val="TableParagraph"/>
              <w:rPr>
                <w:sz w:val="14"/>
              </w:rPr>
            </w:pPr>
          </w:p>
        </w:tc>
        <w:tc>
          <w:tcPr>
            <w:tcW w:w="964" w:type="dxa"/>
          </w:tcPr>
          <w:p>
            <w:pPr>
              <w:pStyle w:val="TableParagraph"/>
              <w:spacing w:line="179" w:lineRule="exact" w:before="25"/>
              <w:ind w:right="144"/>
              <w:jc w:val="right"/>
              <w:rPr>
                <w:sz w:val="16"/>
              </w:rPr>
            </w:pPr>
            <w:r>
              <w:rPr>
                <w:spacing w:val="-2"/>
                <w:w w:val="105"/>
                <w:sz w:val="16"/>
              </w:rPr>
              <w:t>65,688</w:t>
            </w:r>
            <w:r>
              <w:rPr>
                <w:spacing w:val="-2"/>
                <w:w w:val="105"/>
                <w:sz w:val="16"/>
                <w:vertAlign w:val="superscript"/>
              </w:rPr>
              <w:t>(14)</w:t>
            </w:r>
          </w:p>
        </w:tc>
        <w:tc>
          <w:tcPr>
            <w:tcW w:w="882" w:type="dxa"/>
          </w:tcPr>
          <w:p>
            <w:pPr>
              <w:pStyle w:val="TableParagraph"/>
              <w:spacing w:line="179" w:lineRule="exact" w:before="25"/>
              <w:ind w:right="-15"/>
              <w:jc w:val="right"/>
              <w:rPr>
                <w:sz w:val="16"/>
              </w:rPr>
            </w:pPr>
            <w:r>
              <w:rPr>
                <w:spacing w:val="-2"/>
                <w:w w:val="105"/>
                <w:sz w:val="16"/>
              </w:rPr>
              <w:t>100,262</w:t>
            </w:r>
            <w:r>
              <w:rPr>
                <w:spacing w:val="-2"/>
                <w:w w:val="105"/>
                <w:sz w:val="16"/>
                <w:vertAlign w:val="superscript"/>
              </w:rPr>
              <w:t>(14)</w:t>
            </w:r>
          </w:p>
        </w:tc>
        <w:tc>
          <w:tcPr>
            <w:tcW w:w="208" w:type="dxa"/>
          </w:tcPr>
          <w:p>
            <w:pPr>
              <w:pStyle w:val="TableParagraph"/>
              <w:rPr>
                <w:sz w:val="14"/>
              </w:rPr>
            </w:pPr>
          </w:p>
        </w:tc>
        <w:tc>
          <w:tcPr>
            <w:tcW w:w="531" w:type="dxa"/>
          </w:tcPr>
          <w:p>
            <w:pPr>
              <w:pStyle w:val="TableParagraph"/>
              <w:spacing w:line="179" w:lineRule="exact" w:before="25"/>
              <w:ind w:right="27"/>
              <w:jc w:val="right"/>
              <w:rPr>
                <w:sz w:val="16"/>
              </w:rPr>
            </w:pPr>
            <w:r>
              <w:rPr>
                <w:spacing w:val="-2"/>
                <w:w w:val="105"/>
                <w:sz w:val="16"/>
              </w:rPr>
              <w:t>$25.06</w:t>
            </w:r>
          </w:p>
        </w:tc>
        <w:tc>
          <w:tcPr>
            <w:tcW w:w="223" w:type="dxa"/>
          </w:tcPr>
          <w:p>
            <w:pPr>
              <w:pStyle w:val="TableParagraph"/>
              <w:rPr>
                <w:sz w:val="14"/>
              </w:rPr>
            </w:pPr>
          </w:p>
        </w:tc>
        <w:tc>
          <w:tcPr>
            <w:tcW w:w="768" w:type="dxa"/>
          </w:tcPr>
          <w:p>
            <w:pPr>
              <w:pStyle w:val="TableParagraph"/>
              <w:spacing w:line="179" w:lineRule="exact" w:before="25"/>
              <w:ind w:left="92" w:right="-15"/>
              <w:jc w:val="center"/>
              <w:rPr>
                <w:sz w:val="16"/>
              </w:rPr>
            </w:pPr>
            <w:r>
              <w:rPr>
                <w:spacing w:val="-2"/>
                <w:w w:val="105"/>
                <w:sz w:val="16"/>
              </w:rPr>
              <w:t>2/16/2031</w:t>
            </w:r>
          </w:p>
        </w:tc>
        <w:tc>
          <w:tcPr>
            <w:tcW w:w="223" w:type="dxa"/>
          </w:tcPr>
          <w:p>
            <w:pPr>
              <w:pStyle w:val="TableParagraph"/>
              <w:rPr>
                <w:sz w:val="14"/>
              </w:rPr>
            </w:pPr>
          </w:p>
        </w:tc>
        <w:tc>
          <w:tcPr>
            <w:tcW w:w="1565" w:type="dxa"/>
          </w:tcPr>
          <w:p>
            <w:pPr>
              <w:pStyle w:val="TableParagraph"/>
              <w:tabs>
                <w:tab w:pos="946" w:val="left" w:leader="none"/>
              </w:tabs>
              <w:spacing w:line="179" w:lineRule="exact" w:before="25"/>
              <w:jc w:val="right"/>
              <w:rPr>
                <w:sz w:val="16"/>
              </w:rPr>
            </w:pPr>
            <w:r>
              <w:rPr>
                <w:spacing w:val="-10"/>
                <w:w w:val="105"/>
                <w:sz w:val="16"/>
              </w:rPr>
              <w:t>—</w:t>
            </w:r>
            <w:r>
              <w:rPr>
                <w:sz w:val="16"/>
              </w:rPr>
              <w:tab/>
            </w:r>
            <w:r>
              <w:rPr>
                <w:spacing w:val="-10"/>
                <w:w w:val="105"/>
                <w:sz w:val="16"/>
              </w:rPr>
              <w:t>—</w:t>
            </w:r>
          </w:p>
        </w:tc>
      </w:tr>
      <w:tr>
        <w:trPr>
          <w:trHeight w:val="210" w:hRule="atLeast"/>
        </w:trPr>
        <w:tc>
          <w:tcPr>
            <w:tcW w:w="1901" w:type="dxa"/>
          </w:tcPr>
          <w:p>
            <w:pPr>
              <w:pStyle w:val="TableParagraph"/>
              <w:rPr>
                <w:sz w:val="14"/>
              </w:rPr>
            </w:pPr>
          </w:p>
        </w:tc>
        <w:tc>
          <w:tcPr>
            <w:tcW w:w="223" w:type="dxa"/>
          </w:tcPr>
          <w:p>
            <w:pPr>
              <w:pStyle w:val="TableParagraph"/>
              <w:rPr>
                <w:sz w:val="14"/>
              </w:rPr>
            </w:pPr>
          </w:p>
        </w:tc>
        <w:tc>
          <w:tcPr>
            <w:tcW w:w="782" w:type="dxa"/>
          </w:tcPr>
          <w:p>
            <w:pPr>
              <w:pStyle w:val="TableParagraph"/>
              <w:spacing w:line="166" w:lineRule="exact" w:before="25"/>
              <w:ind w:right="2"/>
              <w:jc w:val="right"/>
              <w:rPr>
                <w:sz w:val="16"/>
              </w:rPr>
            </w:pPr>
            <w:r>
              <w:rPr>
                <w:spacing w:val="-2"/>
                <w:w w:val="105"/>
                <w:sz w:val="16"/>
              </w:rPr>
              <w:t>12/10/2021</w:t>
            </w:r>
          </w:p>
        </w:tc>
        <w:tc>
          <w:tcPr>
            <w:tcW w:w="223" w:type="dxa"/>
          </w:tcPr>
          <w:p>
            <w:pPr>
              <w:pStyle w:val="TableParagraph"/>
              <w:rPr>
                <w:sz w:val="14"/>
              </w:rPr>
            </w:pPr>
          </w:p>
        </w:tc>
        <w:tc>
          <w:tcPr>
            <w:tcW w:w="964" w:type="dxa"/>
          </w:tcPr>
          <w:p>
            <w:pPr>
              <w:pStyle w:val="TableParagraph"/>
              <w:spacing w:line="166" w:lineRule="exact" w:before="25"/>
              <w:ind w:left="479"/>
              <w:rPr>
                <w:sz w:val="16"/>
              </w:rPr>
            </w:pPr>
            <w:r>
              <w:rPr>
                <w:w w:val="104"/>
                <w:sz w:val="16"/>
              </w:rPr>
              <w:t>—</w:t>
            </w:r>
          </w:p>
        </w:tc>
        <w:tc>
          <w:tcPr>
            <w:tcW w:w="882" w:type="dxa"/>
          </w:tcPr>
          <w:p>
            <w:pPr>
              <w:pStyle w:val="TableParagraph"/>
              <w:spacing w:line="166" w:lineRule="exact" w:before="25"/>
              <w:ind w:right="-15"/>
              <w:jc w:val="right"/>
              <w:rPr>
                <w:sz w:val="16"/>
              </w:rPr>
            </w:pPr>
            <w:r>
              <w:rPr>
                <w:spacing w:val="-2"/>
                <w:w w:val="105"/>
                <w:sz w:val="16"/>
              </w:rPr>
              <w:t>124,275</w:t>
            </w:r>
            <w:r>
              <w:rPr>
                <w:spacing w:val="-2"/>
                <w:w w:val="105"/>
                <w:sz w:val="16"/>
                <w:vertAlign w:val="superscript"/>
              </w:rPr>
              <w:t>(16)</w:t>
            </w:r>
          </w:p>
        </w:tc>
        <w:tc>
          <w:tcPr>
            <w:tcW w:w="208" w:type="dxa"/>
          </w:tcPr>
          <w:p>
            <w:pPr>
              <w:pStyle w:val="TableParagraph"/>
              <w:rPr>
                <w:sz w:val="14"/>
              </w:rPr>
            </w:pPr>
          </w:p>
        </w:tc>
        <w:tc>
          <w:tcPr>
            <w:tcW w:w="531" w:type="dxa"/>
          </w:tcPr>
          <w:p>
            <w:pPr>
              <w:pStyle w:val="TableParagraph"/>
              <w:spacing w:line="166" w:lineRule="exact" w:before="25"/>
              <w:ind w:right="27"/>
              <w:jc w:val="right"/>
              <w:rPr>
                <w:sz w:val="16"/>
              </w:rPr>
            </w:pPr>
            <w:r>
              <w:rPr>
                <w:spacing w:val="-2"/>
                <w:w w:val="105"/>
                <w:sz w:val="16"/>
              </w:rPr>
              <w:t>$30.95</w:t>
            </w:r>
          </w:p>
        </w:tc>
        <w:tc>
          <w:tcPr>
            <w:tcW w:w="223" w:type="dxa"/>
          </w:tcPr>
          <w:p>
            <w:pPr>
              <w:pStyle w:val="TableParagraph"/>
              <w:rPr>
                <w:sz w:val="14"/>
              </w:rPr>
            </w:pPr>
          </w:p>
        </w:tc>
        <w:tc>
          <w:tcPr>
            <w:tcW w:w="768" w:type="dxa"/>
          </w:tcPr>
          <w:p>
            <w:pPr>
              <w:pStyle w:val="TableParagraph"/>
              <w:spacing w:line="166" w:lineRule="exact" w:before="25"/>
              <w:ind w:left="8" w:right="-15"/>
              <w:jc w:val="center"/>
              <w:rPr>
                <w:sz w:val="16"/>
              </w:rPr>
            </w:pPr>
            <w:r>
              <w:rPr>
                <w:spacing w:val="-2"/>
                <w:w w:val="105"/>
                <w:sz w:val="16"/>
              </w:rPr>
              <w:t>12/10/2031</w:t>
            </w:r>
          </w:p>
        </w:tc>
        <w:tc>
          <w:tcPr>
            <w:tcW w:w="223" w:type="dxa"/>
          </w:tcPr>
          <w:p>
            <w:pPr>
              <w:pStyle w:val="TableParagraph"/>
              <w:rPr>
                <w:sz w:val="14"/>
              </w:rPr>
            </w:pPr>
          </w:p>
        </w:tc>
        <w:tc>
          <w:tcPr>
            <w:tcW w:w="1565" w:type="dxa"/>
          </w:tcPr>
          <w:p>
            <w:pPr>
              <w:pStyle w:val="TableParagraph"/>
              <w:tabs>
                <w:tab w:pos="946" w:val="left" w:leader="none"/>
              </w:tabs>
              <w:spacing w:line="166" w:lineRule="exact" w:before="25"/>
              <w:jc w:val="right"/>
              <w:rPr>
                <w:sz w:val="16"/>
              </w:rPr>
            </w:pPr>
            <w:r>
              <w:rPr>
                <w:spacing w:val="-10"/>
                <w:w w:val="105"/>
                <w:sz w:val="16"/>
              </w:rPr>
              <w:t>—</w:t>
            </w:r>
            <w:r>
              <w:rPr>
                <w:sz w:val="16"/>
              </w:rPr>
              <w:tab/>
            </w:r>
            <w:r>
              <w:rPr>
                <w:spacing w:val="-10"/>
                <w:w w:val="105"/>
                <w:sz w:val="16"/>
              </w:rPr>
              <w:t>—</w:t>
            </w:r>
          </w:p>
        </w:tc>
      </w:tr>
    </w:tbl>
    <w:p>
      <w:pPr>
        <w:spacing w:after="0" w:line="166" w:lineRule="exact"/>
        <w:jc w:val="right"/>
        <w:rPr>
          <w:sz w:val="16"/>
        </w:rPr>
        <w:sectPr>
          <w:type w:val="continuous"/>
          <w:pgSz w:w="12240" w:h="15840"/>
          <w:pgMar w:header="529" w:footer="1456" w:top="600" w:bottom="960" w:left="480" w:right="460"/>
        </w:sectPr>
      </w:pPr>
    </w:p>
    <w:p>
      <w:pPr>
        <w:pStyle w:val="BodyText"/>
        <w:rPr>
          <w:b/>
          <w:sz w:val="20"/>
        </w:rPr>
      </w:pPr>
    </w:p>
    <w:p>
      <w:pPr>
        <w:pStyle w:val="BodyText"/>
        <w:rPr>
          <w:b/>
          <w:sz w:val="20"/>
        </w:rPr>
      </w:pPr>
    </w:p>
    <w:p>
      <w:pPr>
        <w:pStyle w:val="BodyText"/>
        <w:spacing w:before="5"/>
        <w:rPr>
          <w:b/>
          <w:sz w:val="26"/>
        </w:rPr>
      </w:pPr>
    </w:p>
    <w:p>
      <w:pPr>
        <w:spacing w:after="0"/>
        <w:rPr>
          <w:sz w:val="26"/>
        </w:rPr>
        <w:sectPr>
          <w:headerReference w:type="default" r:id="rId145"/>
          <w:footerReference w:type="default" r:id="rId146"/>
          <w:pgSz w:w="12240" w:h="15840"/>
          <w:pgMar w:header="529" w:footer="1624" w:top="720" w:bottom="1820" w:left="480" w:right="460"/>
        </w:sect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14"/>
        </w:rPr>
      </w:pPr>
    </w:p>
    <w:p>
      <w:pPr>
        <w:spacing w:before="0"/>
        <w:ind w:left="0" w:right="38" w:firstLine="0"/>
        <w:jc w:val="right"/>
        <w:rPr>
          <w:b/>
          <w:sz w:val="15"/>
        </w:rPr>
      </w:pPr>
      <w:r>
        <w:rPr>
          <w:b/>
          <w:spacing w:val="-4"/>
          <w:sz w:val="15"/>
        </w:rPr>
        <w:t>Name</w:t>
      </w:r>
    </w:p>
    <w:p>
      <w:pPr>
        <w:spacing w:line="240" w:lineRule="auto" w:before="0"/>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spacing w:line="232" w:lineRule="auto" w:before="0"/>
        <w:ind w:left="1444" w:right="-3" w:hanging="45"/>
        <w:jc w:val="left"/>
        <w:rPr>
          <w:b/>
          <w:sz w:val="15"/>
        </w:rPr>
      </w:pPr>
      <w:r>
        <w:rPr/>
        <w:pict>
          <v:shape style="position:absolute;margin-left:200.253128pt;margin-top:19.023148pt;width:318.75pt;height:47.45pt;mso-position-horizontal-relative:page;mso-position-vertical-relative:paragraph;z-index:15794688" type="#_x0000_t202" id="docshape37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4"/>
                    <w:gridCol w:w="224"/>
                    <w:gridCol w:w="3584"/>
                    <w:gridCol w:w="225"/>
                    <w:gridCol w:w="889"/>
                    <w:gridCol w:w="693"/>
                  </w:tblGrid>
                  <w:tr>
                    <w:trPr>
                      <w:trHeight w:val="222" w:hRule="atLeast"/>
                    </w:trPr>
                    <w:tc>
                      <w:tcPr>
                        <w:tcW w:w="2894" w:type="dxa"/>
                        <w:tcBorders>
                          <w:top w:val="single" w:sz="6" w:space="0" w:color="000000"/>
                        </w:tcBorders>
                      </w:tcPr>
                      <w:p>
                        <w:pPr>
                          <w:pStyle w:val="TableParagraph"/>
                          <w:spacing w:before="18"/>
                          <w:ind w:left="91"/>
                          <w:rPr>
                            <w:sz w:val="16"/>
                          </w:rPr>
                        </w:pPr>
                        <w:r>
                          <w:rPr>
                            <w:spacing w:val="-2"/>
                            <w:w w:val="105"/>
                            <w:sz w:val="16"/>
                          </w:rPr>
                          <w:t>2/15/2019</w:t>
                        </w:r>
                      </w:p>
                    </w:tc>
                    <w:tc>
                      <w:tcPr>
                        <w:tcW w:w="224" w:type="dxa"/>
                      </w:tcPr>
                      <w:p>
                        <w:pPr>
                          <w:pStyle w:val="TableParagraph"/>
                          <w:rPr>
                            <w:sz w:val="14"/>
                          </w:rPr>
                        </w:pPr>
                      </w:p>
                    </w:tc>
                    <w:tc>
                      <w:tcPr>
                        <w:tcW w:w="3584" w:type="dxa"/>
                      </w:tcPr>
                      <w:p>
                        <w:pPr>
                          <w:pStyle w:val="TableParagraph"/>
                          <w:tabs>
                            <w:tab w:pos="-613" w:val="left" w:leader="none"/>
                            <w:tab w:pos="1282" w:val="left" w:leader="none"/>
                          </w:tabs>
                          <w:spacing w:before="18"/>
                          <w:ind w:left="-1642"/>
                          <w:rPr>
                            <w:sz w:val="16"/>
                          </w:rPr>
                        </w:pPr>
                        <w:r>
                          <w:rPr>
                            <w:spacing w:val="-10"/>
                            <w:w w:val="105"/>
                            <w:sz w:val="16"/>
                          </w:rPr>
                          <w:t>—</w:t>
                        </w:r>
                        <w:r>
                          <w:rPr>
                            <w:sz w:val="16"/>
                          </w:rPr>
                          <w:tab/>
                        </w:r>
                        <w:r>
                          <w:rPr>
                            <w:w w:val="105"/>
                            <w:sz w:val="16"/>
                          </w:rPr>
                          <w:t>—</w:t>
                        </w:r>
                        <w:r>
                          <w:rPr>
                            <w:spacing w:val="75"/>
                            <w:w w:val="105"/>
                            <w:sz w:val="16"/>
                          </w:rPr>
                          <w:t>      </w:t>
                        </w:r>
                        <w:r>
                          <w:rPr>
                            <w:spacing w:val="-10"/>
                            <w:w w:val="105"/>
                            <w:sz w:val="16"/>
                          </w:rPr>
                          <w:t>—</w:t>
                        </w:r>
                        <w:r>
                          <w:rPr>
                            <w:sz w:val="16"/>
                          </w:rPr>
                          <w:tab/>
                        </w:r>
                        <w:r>
                          <w:rPr>
                            <w:spacing w:val="-10"/>
                            <w:w w:val="105"/>
                            <w:sz w:val="16"/>
                          </w:rPr>
                          <w:t>—</w:t>
                        </w:r>
                      </w:p>
                    </w:tc>
                    <w:tc>
                      <w:tcPr>
                        <w:tcW w:w="225" w:type="dxa"/>
                      </w:tcPr>
                      <w:p>
                        <w:pPr>
                          <w:pStyle w:val="TableParagraph"/>
                          <w:rPr>
                            <w:sz w:val="14"/>
                          </w:rPr>
                        </w:pPr>
                      </w:p>
                    </w:tc>
                    <w:tc>
                      <w:tcPr>
                        <w:tcW w:w="889" w:type="dxa"/>
                      </w:tcPr>
                      <w:p>
                        <w:pPr>
                          <w:pStyle w:val="TableParagraph"/>
                          <w:spacing w:before="18"/>
                          <w:ind w:left="-1961" w:right="2243"/>
                          <w:jc w:val="right"/>
                          <w:rPr>
                            <w:sz w:val="16"/>
                          </w:rPr>
                        </w:pPr>
                        <w:r>
                          <w:rPr>
                            <w:spacing w:val="-2"/>
                            <w:sz w:val="16"/>
                          </w:rPr>
                          <w:t>8,374</w:t>
                        </w:r>
                        <w:r>
                          <w:rPr>
                            <w:spacing w:val="-2"/>
                            <w:sz w:val="16"/>
                            <w:vertAlign w:val="superscript"/>
                          </w:rPr>
                          <w:t>(17)</w:t>
                        </w:r>
                      </w:p>
                    </w:tc>
                    <w:tc>
                      <w:tcPr>
                        <w:tcW w:w="693" w:type="dxa"/>
                        <w:tcBorders>
                          <w:top w:val="single" w:sz="6" w:space="0" w:color="000000"/>
                        </w:tcBorders>
                      </w:tcPr>
                      <w:p>
                        <w:pPr>
                          <w:pStyle w:val="TableParagraph"/>
                          <w:spacing w:before="18"/>
                          <w:ind w:left="-2122" w:right="2141"/>
                          <w:jc w:val="right"/>
                          <w:rPr>
                            <w:sz w:val="16"/>
                          </w:rPr>
                        </w:pPr>
                        <w:r>
                          <w:rPr>
                            <w:spacing w:val="-2"/>
                            <w:w w:val="105"/>
                            <w:sz w:val="16"/>
                          </w:rPr>
                          <w:t>177,026</w:t>
                        </w:r>
                      </w:p>
                    </w:tc>
                  </w:tr>
                  <w:tr>
                    <w:trPr>
                      <w:trHeight w:val="224" w:hRule="atLeast"/>
                    </w:trPr>
                    <w:tc>
                      <w:tcPr>
                        <w:tcW w:w="2894" w:type="dxa"/>
                      </w:tcPr>
                      <w:p>
                        <w:pPr>
                          <w:pStyle w:val="TableParagraph"/>
                          <w:spacing w:before="19"/>
                          <w:ind w:left="91"/>
                          <w:rPr>
                            <w:sz w:val="16"/>
                          </w:rPr>
                        </w:pPr>
                        <w:r>
                          <w:rPr>
                            <w:spacing w:val="-2"/>
                            <w:w w:val="105"/>
                            <w:sz w:val="16"/>
                          </w:rPr>
                          <w:t>2/18/2020</w:t>
                        </w:r>
                      </w:p>
                    </w:tc>
                    <w:tc>
                      <w:tcPr>
                        <w:tcW w:w="224" w:type="dxa"/>
                      </w:tcPr>
                      <w:p>
                        <w:pPr>
                          <w:pStyle w:val="TableParagraph"/>
                          <w:rPr>
                            <w:sz w:val="14"/>
                          </w:rPr>
                        </w:pPr>
                      </w:p>
                    </w:tc>
                    <w:tc>
                      <w:tcPr>
                        <w:tcW w:w="3584" w:type="dxa"/>
                      </w:tcPr>
                      <w:p>
                        <w:pPr>
                          <w:pStyle w:val="TableParagraph"/>
                          <w:tabs>
                            <w:tab w:pos="-613" w:val="left" w:leader="none"/>
                            <w:tab w:pos="1282" w:val="left" w:leader="none"/>
                          </w:tabs>
                          <w:spacing w:before="19"/>
                          <w:ind w:left="-1642"/>
                          <w:rPr>
                            <w:sz w:val="16"/>
                          </w:rPr>
                        </w:pPr>
                        <w:r>
                          <w:rPr>
                            <w:spacing w:val="-10"/>
                            <w:w w:val="105"/>
                            <w:sz w:val="16"/>
                          </w:rPr>
                          <w:t>—</w:t>
                        </w:r>
                        <w:r>
                          <w:rPr>
                            <w:sz w:val="16"/>
                          </w:rPr>
                          <w:tab/>
                        </w:r>
                        <w:r>
                          <w:rPr>
                            <w:w w:val="105"/>
                            <w:sz w:val="16"/>
                          </w:rPr>
                          <w:t>—</w:t>
                        </w:r>
                        <w:r>
                          <w:rPr>
                            <w:spacing w:val="75"/>
                            <w:w w:val="105"/>
                            <w:sz w:val="16"/>
                          </w:rPr>
                          <w:t>      </w:t>
                        </w:r>
                        <w:r>
                          <w:rPr>
                            <w:spacing w:val="-10"/>
                            <w:w w:val="105"/>
                            <w:sz w:val="16"/>
                          </w:rPr>
                          <w:t>—</w:t>
                        </w:r>
                        <w:r>
                          <w:rPr>
                            <w:sz w:val="16"/>
                          </w:rPr>
                          <w:tab/>
                        </w:r>
                        <w:r>
                          <w:rPr>
                            <w:spacing w:val="-10"/>
                            <w:w w:val="105"/>
                            <w:sz w:val="16"/>
                          </w:rPr>
                          <w:t>—</w:t>
                        </w:r>
                      </w:p>
                    </w:tc>
                    <w:tc>
                      <w:tcPr>
                        <w:tcW w:w="225" w:type="dxa"/>
                      </w:tcPr>
                      <w:p>
                        <w:pPr>
                          <w:pStyle w:val="TableParagraph"/>
                          <w:rPr>
                            <w:sz w:val="14"/>
                          </w:rPr>
                        </w:pPr>
                      </w:p>
                    </w:tc>
                    <w:tc>
                      <w:tcPr>
                        <w:tcW w:w="889" w:type="dxa"/>
                      </w:tcPr>
                      <w:p>
                        <w:pPr>
                          <w:pStyle w:val="TableParagraph"/>
                          <w:spacing w:before="19"/>
                          <w:ind w:left="-1961" w:right="2243"/>
                          <w:jc w:val="right"/>
                          <w:rPr>
                            <w:sz w:val="16"/>
                          </w:rPr>
                        </w:pPr>
                        <w:r>
                          <w:rPr>
                            <w:spacing w:val="-2"/>
                            <w:sz w:val="16"/>
                          </w:rPr>
                          <w:t>30,223</w:t>
                        </w:r>
                        <w:r>
                          <w:rPr>
                            <w:spacing w:val="-2"/>
                            <w:sz w:val="16"/>
                            <w:vertAlign w:val="superscript"/>
                          </w:rPr>
                          <w:t>(18)</w:t>
                        </w:r>
                      </w:p>
                    </w:tc>
                    <w:tc>
                      <w:tcPr>
                        <w:tcW w:w="693" w:type="dxa"/>
                      </w:tcPr>
                      <w:p>
                        <w:pPr>
                          <w:pStyle w:val="TableParagraph"/>
                          <w:spacing w:before="19"/>
                          <w:ind w:left="-2122" w:right="2141"/>
                          <w:jc w:val="right"/>
                          <w:rPr>
                            <w:sz w:val="16"/>
                          </w:rPr>
                        </w:pPr>
                        <w:r>
                          <w:rPr>
                            <w:spacing w:val="-2"/>
                            <w:w w:val="105"/>
                            <w:sz w:val="16"/>
                          </w:rPr>
                          <w:t>638,914</w:t>
                        </w:r>
                      </w:p>
                    </w:tc>
                  </w:tr>
                  <w:tr>
                    <w:trPr>
                      <w:trHeight w:val="237" w:hRule="atLeast"/>
                    </w:trPr>
                    <w:tc>
                      <w:tcPr>
                        <w:tcW w:w="2894" w:type="dxa"/>
                      </w:tcPr>
                      <w:p>
                        <w:pPr>
                          <w:pStyle w:val="TableParagraph"/>
                          <w:spacing w:before="32"/>
                          <w:ind w:left="91"/>
                          <w:rPr>
                            <w:sz w:val="16"/>
                          </w:rPr>
                        </w:pPr>
                        <w:r>
                          <w:rPr>
                            <w:spacing w:val="-2"/>
                            <w:w w:val="105"/>
                            <w:sz w:val="16"/>
                          </w:rPr>
                          <w:t>2/16/2021</w:t>
                        </w:r>
                      </w:p>
                    </w:tc>
                    <w:tc>
                      <w:tcPr>
                        <w:tcW w:w="224" w:type="dxa"/>
                      </w:tcPr>
                      <w:p>
                        <w:pPr>
                          <w:pStyle w:val="TableParagraph"/>
                          <w:rPr>
                            <w:sz w:val="14"/>
                          </w:rPr>
                        </w:pPr>
                      </w:p>
                    </w:tc>
                    <w:tc>
                      <w:tcPr>
                        <w:tcW w:w="3584" w:type="dxa"/>
                      </w:tcPr>
                      <w:p>
                        <w:pPr>
                          <w:pStyle w:val="TableParagraph"/>
                          <w:tabs>
                            <w:tab w:pos="-613" w:val="left" w:leader="none"/>
                            <w:tab w:pos="1282" w:val="left" w:leader="none"/>
                          </w:tabs>
                          <w:spacing w:before="32"/>
                          <w:ind w:left="-1642"/>
                          <w:rPr>
                            <w:sz w:val="16"/>
                          </w:rPr>
                        </w:pPr>
                        <w:r>
                          <w:rPr>
                            <w:spacing w:val="-10"/>
                            <w:w w:val="105"/>
                            <w:sz w:val="16"/>
                          </w:rPr>
                          <w:t>—</w:t>
                        </w:r>
                        <w:r>
                          <w:rPr>
                            <w:sz w:val="16"/>
                          </w:rPr>
                          <w:tab/>
                        </w:r>
                        <w:r>
                          <w:rPr>
                            <w:w w:val="105"/>
                            <w:sz w:val="16"/>
                          </w:rPr>
                          <w:t>—</w:t>
                        </w:r>
                        <w:r>
                          <w:rPr>
                            <w:spacing w:val="75"/>
                            <w:w w:val="105"/>
                            <w:sz w:val="16"/>
                          </w:rPr>
                          <w:t>      </w:t>
                        </w:r>
                        <w:r>
                          <w:rPr>
                            <w:spacing w:val="-10"/>
                            <w:w w:val="105"/>
                            <w:sz w:val="16"/>
                          </w:rPr>
                          <w:t>—</w:t>
                        </w:r>
                        <w:r>
                          <w:rPr>
                            <w:sz w:val="16"/>
                          </w:rPr>
                          <w:tab/>
                        </w:r>
                        <w:r>
                          <w:rPr>
                            <w:spacing w:val="-10"/>
                            <w:w w:val="105"/>
                            <w:sz w:val="16"/>
                          </w:rPr>
                          <w:t>—</w:t>
                        </w:r>
                      </w:p>
                    </w:tc>
                    <w:tc>
                      <w:tcPr>
                        <w:tcW w:w="225" w:type="dxa"/>
                      </w:tcPr>
                      <w:p>
                        <w:pPr>
                          <w:pStyle w:val="TableParagraph"/>
                          <w:rPr>
                            <w:sz w:val="14"/>
                          </w:rPr>
                        </w:pPr>
                      </w:p>
                    </w:tc>
                    <w:tc>
                      <w:tcPr>
                        <w:tcW w:w="889" w:type="dxa"/>
                      </w:tcPr>
                      <w:p>
                        <w:pPr>
                          <w:pStyle w:val="TableParagraph"/>
                          <w:spacing w:before="32"/>
                          <w:ind w:left="-1961" w:right="2243"/>
                          <w:jc w:val="right"/>
                          <w:rPr>
                            <w:sz w:val="16"/>
                          </w:rPr>
                        </w:pPr>
                        <w:r>
                          <w:rPr>
                            <w:spacing w:val="-2"/>
                            <w:sz w:val="16"/>
                          </w:rPr>
                          <w:t>67,822</w:t>
                        </w:r>
                        <w:r>
                          <w:rPr>
                            <w:spacing w:val="-2"/>
                            <w:sz w:val="16"/>
                            <w:vertAlign w:val="superscript"/>
                          </w:rPr>
                          <w:t>(20)</w:t>
                        </w:r>
                      </w:p>
                    </w:tc>
                    <w:tc>
                      <w:tcPr>
                        <w:tcW w:w="693" w:type="dxa"/>
                      </w:tcPr>
                      <w:p>
                        <w:pPr>
                          <w:pStyle w:val="TableParagraph"/>
                          <w:spacing w:before="32"/>
                          <w:ind w:left="-2122" w:right="2141"/>
                          <w:jc w:val="right"/>
                          <w:rPr>
                            <w:sz w:val="16"/>
                          </w:rPr>
                        </w:pPr>
                        <w:r>
                          <w:rPr>
                            <w:spacing w:val="-2"/>
                            <w:w w:val="105"/>
                            <w:sz w:val="16"/>
                          </w:rPr>
                          <w:t>1,433,757</w:t>
                        </w:r>
                      </w:p>
                    </w:tc>
                  </w:tr>
                  <w:tr>
                    <w:trPr>
                      <w:trHeight w:val="236" w:hRule="atLeast"/>
                    </w:trPr>
                    <w:tc>
                      <w:tcPr>
                        <w:tcW w:w="2894" w:type="dxa"/>
                      </w:tcPr>
                      <w:p>
                        <w:pPr>
                          <w:pStyle w:val="TableParagraph"/>
                          <w:spacing w:before="32"/>
                          <w:ind w:left="8"/>
                          <w:rPr>
                            <w:sz w:val="16"/>
                          </w:rPr>
                        </w:pPr>
                        <w:r>
                          <w:rPr>
                            <w:spacing w:val="-2"/>
                            <w:w w:val="105"/>
                            <w:sz w:val="16"/>
                          </w:rPr>
                          <w:t>12/10/2021</w:t>
                        </w:r>
                      </w:p>
                    </w:tc>
                    <w:tc>
                      <w:tcPr>
                        <w:tcW w:w="224" w:type="dxa"/>
                      </w:tcPr>
                      <w:p>
                        <w:pPr>
                          <w:pStyle w:val="TableParagraph"/>
                          <w:rPr>
                            <w:sz w:val="14"/>
                          </w:rPr>
                        </w:pPr>
                      </w:p>
                    </w:tc>
                    <w:tc>
                      <w:tcPr>
                        <w:tcW w:w="3584" w:type="dxa"/>
                      </w:tcPr>
                      <w:p>
                        <w:pPr>
                          <w:pStyle w:val="TableParagraph"/>
                          <w:rPr>
                            <w:sz w:val="14"/>
                          </w:rPr>
                        </w:pPr>
                      </w:p>
                    </w:tc>
                    <w:tc>
                      <w:tcPr>
                        <w:tcW w:w="225" w:type="dxa"/>
                      </w:tcPr>
                      <w:p>
                        <w:pPr>
                          <w:pStyle w:val="TableParagraph"/>
                          <w:rPr>
                            <w:sz w:val="14"/>
                          </w:rPr>
                        </w:pPr>
                      </w:p>
                    </w:tc>
                    <w:tc>
                      <w:tcPr>
                        <w:tcW w:w="889" w:type="dxa"/>
                      </w:tcPr>
                      <w:p>
                        <w:pPr>
                          <w:pStyle w:val="TableParagraph"/>
                          <w:spacing w:before="32"/>
                          <w:ind w:left="-1961" w:right="2243"/>
                          <w:jc w:val="right"/>
                          <w:rPr>
                            <w:sz w:val="16"/>
                          </w:rPr>
                        </w:pPr>
                        <w:r>
                          <w:rPr>
                            <w:spacing w:val="-2"/>
                            <w:sz w:val="16"/>
                          </w:rPr>
                          <w:t>53,304</w:t>
                        </w:r>
                        <w:r>
                          <w:rPr>
                            <w:spacing w:val="-2"/>
                            <w:sz w:val="16"/>
                            <w:vertAlign w:val="superscript"/>
                          </w:rPr>
                          <w:t>(22)</w:t>
                        </w:r>
                      </w:p>
                    </w:tc>
                    <w:tc>
                      <w:tcPr>
                        <w:tcW w:w="693" w:type="dxa"/>
                        <w:tcBorders>
                          <w:bottom w:val="single" w:sz="6" w:space="0" w:color="000000"/>
                        </w:tcBorders>
                      </w:tcPr>
                      <w:p>
                        <w:pPr>
                          <w:pStyle w:val="TableParagraph"/>
                          <w:spacing w:before="32"/>
                          <w:ind w:left="-2122" w:right="2141"/>
                          <w:jc w:val="right"/>
                          <w:rPr>
                            <w:sz w:val="16"/>
                          </w:rPr>
                        </w:pPr>
                        <w:r>
                          <w:rPr>
                            <w:spacing w:val="-2"/>
                            <w:w w:val="105"/>
                            <w:sz w:val="16"/>
                          </w:rPr>
                          <w:t>1,126,847</w:t>
                        </w:r>
                      </w:p>
                    </w:tc>
                  </w:tr>
                </w:tbl>
                <w:p>
                  <w:pPr>
                    <w:pStyle w:val="BodyText"/>
                  </w:pPr>
                </w:p>
              </w:txbxContent>
            </v:textbox>
            <w10:wrap type="none"/>
          </v:shape>
        </w:pict>
      </w:r>
      <w:r>
        <w:rPr>
          <w:b/>
          <w:spacing w:val="-6"/>
          <w:sz w:val="15"/>
        </w:rPr>
        <w:t>Grant</w:t>
      </w:r>
      <w:r>
        <w:rPr>
          <w:b/>
          <w:spacing w:val="40"/>
          <w:sz w:val="15"/>
        </w:rPr>
        <w:t> </w:t>
      </w:r>
      <w:r>
        <w:rPr>
          <w:b/>
          <w:spacing w:val="-4"/>
          <w:sz w:val="15"/>
        </w:rPr>
        <w:t>Date</w:t>
      </w:r>
    </w:p>
    <w:p>
      <w:pPr>
        <w:spacing w:line="240" w:lineRule="auto" w:before="0"/>
        <w:rPr>
          <w:b/>
          <w:sz w:val="23"/>
        </w:rPr>
      </w:pPr>
      <w:r>
        <w:rPr/>
        <w:br w:type="column"/>
      </w:r>
      <w:r>
        <w:rPr>
          <w:b/>
          <w:sz w:val="23"/>
        </w:rPr>
      </w:r>
    </w:p>
    <w:p>
      <w:pPr>
        <w:spacing w:line="232" w:lineRule="auto" w:before="0"/>
        <w:ind w:left="380" w:right="0" w:hanging="1"/>
        <w:jc w:val="center"/>
        <w:rPr>
          <w:b/>
          <w:sz w:val="15"/>
        </w:rPr>
      </w:pPr>
      <w:r>
        <w:rPr>
          <w:b/>
          <w:sz w:val="15"/>
        </w:rPr>
        <w:t>Number</w:t>
      </w:r>
      <w:r>
        <w:rPr>
          <w:b/>
          <w:spacing w:val="-10"/>
          <w:sz w:val="15"/>
        </w:rPr>
        <w:t> </w:t>
      </w:r>
      <w:r>
        <w:rPr>
          <w:b/>
          <w:sz w:val="15"/>
        </w:rPr>
        <w:t>of</w:t>
      </w:r>
      <w:r>
        <w:rPr>
          <w:b/>
          <w:spacing w:val="40"/>
          <w:sz w:val="15"/>
        </w:rPr>
        <w:t> </w:t>
      </w:r>
      <w:r>
        <w:rPr>
          <w:b/>
          <w:spacing w:val="-2"/>
          <w:sz w:val="15"/>
        </w:rPr>
        <w:t>Securities</w:t>
      </w:r>
      <w:r>
        <w:rPr>
          <w:b/>
          <w:spacing w:val="40"/>
          <w:sz w:val="15"/>
        </w:rPr>
        <w:t> </w:t>
      </w:r>
      <w:r>
        <w:rPr>
          <w:b/>
          <w:spacing w:val="-2"/>
          <w:sz w:val="15"/>
        </w:rPr>
        <w:t>Underlying</w:t>
      </w:r>
      <w:r>
        <w:rPr>
          <w:b/>
          <w:spacing w:val="40"/>
          <w:sz w:val="15"/>
        </w:rPr>
        <w:t> </w:t>
      </w:r>
      <w:r>
        <w:rPr>
          <w:b/>
          <w:spacing w:val="-6"/>
          <w:sz w:val="15"/>
        </w:rPr>
        <w:t>Unexercised</w:t>
      </w:r>
      <w:r>
        <w:rPr>
          <w:b/>
          <w:spacing w:val="40"/>
          <w:sz w:val="15"/>
        </w:rPr>
        <w:t> </w:t>
      </w:r>
      <w:r>
        <w:rPr>
          <w:b/>
          <w:spacing w:val="-2"/>
          <w:sz w:val="15"/>
        </w:rPr>
        <w:t>Options</w:t>
      </w:r>
      <w:r>
        <w:rPr>
          <w:b/>
          <w:spacing w:val="40"/>
          <w:sz w:val="15"/>
        </w:rPr>
        <w:t> </w:t>
      </w:r>
      <w:r>
        <w:rPr>
          <w:b/>
          <w:spacing w:val="-2"/>
          <w:sz w:val="15"/>
        </w:rPr>
        <w:t>Exercisable</w:t>
      </w:r>
      <w:r>
        <w:rPr>
          <w:b/>
          <w:spacing w:val="40"/>
          <w:sz w:val="15"/>
        </w:rPr>
        <w:t> </w:t>
      </w:r>
      <w:r>
        <w:rPr>
          <w:b/>
          <w:spacing w:val="-4"/>
          <w:sz w:val="15"/>
        </w:rPr>
        <w:t>(#)</w:t>
      </w:r>
    </w:p>
    <w:p>
      <w:pPr>
        <w:spacing w:line="240" w:lineRule="auto" w:before="0"/>
        <w:rPr>
          <w:b/>
          <w:sz w:val="23"/>
        </w:rPr>
      </w:pPr>
      <w:r>
        <w:rPr/>
        <w:br w:type="column"/>
      </w:r>
      <w:r>
        <w:rPr>
          <w:b/>
          <w:sz w:val="23"/>
        </w:rPr>
      </w:r>
    </w:p>
    <w:p>
      <w:pPr>
        <w:spacing w:line="232" w:lineRule="auto" w:before="0"/>
        <w:ind w:left="188" w:right="0" w:firstLine="0"/>
        <w:jc w:val="center"/>
        <w:rPr>
          <w:b/>
          <w:sz w:val="9"/>
        </w:rPr>
      </w:pPr>
      <w:r>
        <w:rPr>
          <w:b/>
          <w:sz w:val="15"/>
        </w:rPr>
        <w:t>Number</w:t>
      </w:r>
      <w:r>
        <w:rPr>
          <w:b/>
          <w:spacing w:val="-10"/>
          <w:sz w:val="15"/>
        </w:rPr>
        <w:t> </w:t>
      </w:r>
      <w:r>
        <w:rPr>
          <w:b/>
          <w:sz w:val="15"/>
        </w:rPr>
        <w:t>of</w:t>
      </w:r>
      <w:r>
        <w:rPr>
          <w:b/>
          <w:spacing w:val="40"/>
          <w:sz w:val="15"/>
        </w:rPr>
        <w:t> </w:t>
      </w:r>
      <w:r>
        <w:rPr>
          <w:b/>
          <w:spacing w:val="-2"/>
          <w:sz w:val="15"/>
        </w:rPr>
        <w:t>Securities</w:t>
      </w:r>
      <w:r>
        <w:rPr>
          <w:b/>
          <w:spacing w:val="40"/>
          <w:sz w:val="15"/>
        </w:rPr>
        <w:t> </w:t>
      </w:r>
      <w:r>
        <w:rPr>
          <w:b/>
          <w:spacing w:val="-2"/>
          <w:sz w:val="15"/>
        </w:rPr>
        <w:t>Underlying</w:t>
      </w:r>
      <w:r>
        <w:rPr>
          <w:b/>
          <w:spacing w:val="40"/>
          <w:sz w:val="15"/>
        </w:rPr>
        <w:t> </w:t>
      </w:r>
      <w:r>
        <w:rPr>
          <w:b/>
          <w:spacing w:val="-2"/>
          <w:sz w:val="15"/>
        </w:rPr>
        <w:t>Unexercised</w:t>
      </w:r>
      <w:r>
        <w:rPr>
          <w:b/>
          <w:spacing w:val="40"/>
          <w:sz w:val="15"/>
        </w:rPr>
        <w:t> </w:t>
      </w:r>
      <w:r>
        <w:rPr>
          <w:b/>
          <w:spacing w:val="-2"/>
          <w:sz w:val="15"/>
        </w:rPr>
        <w:t>Options</w:t>
      </w:r>
      <w:r>
        <w:rPr>
          <w:b/>
          <w:spacing w:val="40"/>
          <w:sz w:val="15"/>
        </w:rPr>
        <w:t> </w:t>
      </w:r>
      <w:r>
        <w:rPr>
          <w:b/>
          <w:spacing w:val="-6"/>
          <w:sz w:val="15"/>
        </w:rPr>
        <w:t>Unexercisable</w:t>
      </w:r>
      <w:r>
        <w:rPr>
          <w:b/>
          <w:spacing w:val="40"/>
          <w:sz w:val="15"/>
        </w:rPr>
        <w:t> </w:t>
      </w:r>
      <w:r>
        <w:rPr>
          <w:b/>
          <w:spacing w:val="-2"/>
          <w:position w:val="-5"/>
          <w:sz w:val="15"/>
        </w:rPr>
        <w:t>(#)</w:t>
      </w:r>
      <w:r>
        <w:rPr>
          <w:b/>
          <w:spacing w:val="-2"/>
          <w:sz w:val="9"/>
        </w:rPr>
        <w:t>(1)</w:t>
      </w:r>
    </w:p>
    <w:p>
      <w:pPr>
        <w:spacing w:line="240" w:lineRule="auto" w:before="0"/>
        <w:rPr>
          <w:b/>
          <w:sz w:val="16"/>
        </w:rPr>
      </w:pPr>
      <w:r>
        <w:rPr/>
        <w:br w:type="column"/>
      </w:r>
      <w:r>
        <w:rPr>
          <w:b/>
          <w:sz w:val="16"/>
        </w:rPr>
      </w:r>
    </w:p>
    <w:p>
      <w:pPr>
        <w:pStyle w:val="BodyText"/>
        <w:rPr>
          <w:b/>
          <w:sz w:val="16"/>
        </w:rPr>
      </w:pPr>
    </w:p>
    <w:p>
      <w:pPr>
        <w:pStyle w:val="BodyText"/>
        <w:rPr>
          <w:b/>
          <w:sz w:val="16"/>
        </w:rPr>
      </w:pPr>
    </w:p>
    <w:p>
      <w:pPr>
        <w:pStyle w:val="BodyText"/>
        <w:spacing w:before="9"/>
        <w:rPr>
          <w:b/>
        </w:rPr>
      </w:pPr>
    </w:p>
    <w:p>
      <w:pPr>
        <w:spacing w:line="232" w:lineRule="auto" w:before="0"/>
        <w:ind w:left="191" w:right="0" w:hanging="1"/>
        <w:jc w:val="center"/>
        <w:rPr>
          <w:b/>
          <w:sz w:val="9"/>
        </w:rPr>
      </w:pPr>
      <w:r>
        <w:rPr>
          <w:b/>
          <w:spacing w:val="-2"/>
          <w:sz w:val="15"/>
        </w:rPr>
        <w:t>Option</w:t>
      </w:r>
      <w:r>
        <w:rPr>
          <w:b/>
          <w:spacing w:val="40"/>
          <w:sz w:val="15"/>
        </w:rPr>
        <w:t> </w:t>
      </w:r>
      <w:r>
        <w:rPr>
          <w:b/>
          <w:spacing w:val="-6"/>
          <w:sz w:val="15"/>
        </w:rPr>
        <w:t>Exercise</w:t>
      </w:r>
      <w:r>
        <w:rPr>
          <w:b/>
          <w:spacing w:val="40"/>
          <w:sz w:val="15"/>
        </w:rPr>
        <w:t> </w:t>
      </w:r>
      <w:r>
        <w:rPr>
          <w:b/>
          <w:spacing w:val="-2"/>
          <w:sz w:val="15"/>
        </w:rPr>
        <w:t>Price</w:t>
      </w:r>
      <w:r>
        <w:rPr>
          <w:b/>
          <w:spacing w:val="40"/>
          <w:sz w:val="15"/>
        </w:rPr>
        <w:t> </w:t>
      </w:r>
      <w:r>
        <w:rPr>
          <w:b/>
          <w:spacing w:val="-2"/>
          <w:position w:val="-5"/>
          <w:sz w:val="15"/>
        </w:rPr>
        <w:t>($)</w:t>
      </w:r>
      <w:r>
        <w:rPr>
          <w:b/>
          <w:spacing w:val="-2"/>
          <w:sz w:val="9"/>
        </w:rPr>
        <w:t>(2)</w:t>
      </w:r>
    </w:p>
    <w:p>
      <w:pPr>
        <w:spacing w:line="240" w:lineRule="auto" w:before="0"/>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spacing w:before="4"/>
        <w:rPr>
          <w:b/>
          <w:sz w:val="17"/>
        </w:rPr>
      </w:pPr>
    </w:p>
    <w:p>
      <w:pPr>
        <w:spacing w:line="232" w:lineRule="auto" w:before="1"/>
        <w:ind w:left="241" w:right="0" w:hanging="1"/>
        <w:jc w:val="center"/>
        <w:rPr>
          <w:b/>
          <w:sz w:val="15"/>
        </w:rPr>
      </w:pPr>
      <w:r>
        <w:rPr>
          <w:b/>
          <w:spacing w:val="-2"/>
          <w:sz w:val="15"/>
        </w:rPr>
        <w:t>Option</w:t>
      </w:r>
      <w:r>
        <w:rPr>
          <w:b/>
          <w:spacing w:val="40"/>
          <w:sz w:val="15"/>
        </w:rPr>
        <w:t> </w:t>
      </w:r>
      <w:r>
        <w:rPr>
          <w:b/>
          <w:spacing w:val="-4"/>
          <w:sz w:val="15"/>
        </w:rPr>
        <w:t>Expiration</w:t>
      </w:r>
      <w:r>
        <w:rPr>
          <w:b/>
          <w:spacing w:val="40"/>
          <w:sz w:val="15"/>
        </w:rPr>
        <w:t> </w:t>
      </w:r>
      <w:r>
        <w:rPr>
          <w:b/>
          <w:spacing w:val="-4"/>
          <w:sz w:val="15"/>
        </w:rPr>
        <w:t>Date</w:t>
      </w:r>
    </w:p>
    <w:p>
      <w:pPr>
        <w:spacing w:line="232" w:lineRule="auto" w:before="97"/>
        <w:ind w:left="321" w:right="0" w:hanging="85"/>
        <w:jc w:val="left"/>
        <w:rPr>
          <w:b/>
          <w:sz w:val="15"/>
        </w:rPr>
      </w:pPr>
      <w:r>
        <w:rPr/>
        <w:br w:type="column"/>
      </w:r>
      <w:r>
        <w:rPr>
          <w:b/>
          <w:spacing w:val="-4"/>
          <w:sz w:val="15"/>
        </w:rPr>
        <w:t>Number</w:t>
      </w:r>
      <w:r>
        <w:rPr>
          <w:b/>
          <w:spacing w:val="-9"/>
          <w:sz w:val="15"/>
        </w:rPr>
        <w:t> </w:t>
      </w:r>
      <w:r>
        <w:rPr>
          <w:b/>
          <w:spacing w:val="-4"/>
          <w:sz w:val="15"/>
        </w:rPr>
        <w:t>of</w:t>
      </w:r>
      <w:r>
        <w:rPr>
          <w:b/>
          <w:spacing w:val="40"/>
          <w:sz w:val="15"/>
        </w:rPr>
        <w:t> </w:t>
      </w:r>
      <w:r>
        <w:rPr>
          <w:b/>
          <w:spacing w:val="-2"/>
          <w:sz w:val="15"/>
        </w:rPr>
        <w:t>Shares</w:t>
      </w:r>
      <w:r>
        <w:rPr>
          <w:b/>
          <w:spacing w:val="40"/>
          <w:sz w:val="15"/>
        </w:rPr>
        <w:t> </w:t>
      </w:r>
      <w:r>
        <w:rPr>
          <w:b/>
          <w:sz w:val="15"/>
        </w:rPr>
        <w:t>or</w:t>
      </w:r>
      <w:r>
        <w:rPr>
          <w:b/>
          <w:spacing w:val="-10"/>
          <w:sz w:val="15"/>
        </w:rPr>
        <w:t> </w:t>
      </w:r>
      <w:r>
        <w:rPr>
          <w:b/>
          <w:sz w:val="15"/>
        </w:rPr>
        <w:t>Units</w:t>
      </w:r>
      <w:r>
        <w:rPr>
          <w:b/>
          <w:spacing w:val="40"/>
          <w:sz w:val="15"/>
        </w:rPr>
        <w:t> </w:t>
      </w:r>
      <w:r>
        <w:rPr>
          <w:b/>
          <w:sz w:val="15"/>
        </w:rPr>
        <w:t>of</w:t>
      </w:r>
      <w:r>
        <w:rPr>
          <w:b/>
          <w:spacing w:val="-10"/>
          <w:sz w:val="15"/>
        </w:rPr>
        <w:t> </w:t>
      </w:r>
      <w:r>
        <w:rPr>
          <w:b/>
          <w:sz w:val="15"/>
        </w:rPr>
        <w:t>Stock</w:t>
      </w:r>
    </w:p>
    <w:p>
      <w:pPr>
        <w:spacing w:line="232" w:lineRule="auto" w:before="2"/>
        <w:ind w:left="279" w:right="40" w:firstLine="0"/>
        <w:jc w:val="center"/>
        <w:rPr>
          <w:b/>
          <w:sz w:val="9"/>
        </w:rPr>
      </w:pPr>
      <w:r>
        <w:rPr>
          <w:b/>
          <w:spacing w:val="-4"/>
          <w:sz w:val="15"/>
        </w:rPr>
        <w:t>That</w:t>
      </w:r>
      <w:r>
        <w:rPr>
          <w:b/>
          <w:spacing w:val="40"/>
          <w:sz w:val="15"/>
        </w:rPr>
        <w:t> </w:t>
      </w:r>
      <w:r>
        <w:rPr>
          <w:b/>
          <w:spacing w:val="-4"/>
          <w:sz w:val="15"/>
        </w:rPr>
        <w:t>Have</w:t>
      </w:r>
      <w:r>
        <w:rPr>
          <w:b/>
          <w:spacing w:val="-7"/>
          <w:sz w:val="15"/>
        </w:rPr>
        <w:t> </w:t>
      </w:r>
      <w:r>
        <w:rPr>
          <w:b/>
          <w:spacing w:val="-4"/>
          <w:sz w:val="15"/>
        </w:rPr>
        <w:t>Not</w:t>
      </w:r>
      <w:r>
        <w:rPr>
          <w:b/>
          <w:spacing w:val="40"/>
          <w:sz w:val="15"/>
        </w:rPr>
        <w:t> </w:t>
      </w:r>
      <w:r>
        <w:rPr>
          <w:b/>
          <w:spacing w:val="-2"/>
          <w:sz w:val="15"/>
        </w:rPr>
        <w:t>Vested</w:t>
      </w:r>
      <w:r>
        <w:rPr>
          <w:b/>
          <w:spacing w:val="40"/>
          <w:sz w:val="15"/>
        </w:rPr>
        <w:t> </w:t>
      </w:r>
      <w:r>
        <w:rPr>
          <w:b/>
          <w:spacing w:val="-2"/>
          <w:position w:val="-5"/>
          <w:sz w:val="15"/>
        </w:rPr>
        <w:t>(#)</w:t>
      </w:r>
      <w:r>
        <w:rPr>
          <w:b/>
          <w:spacing w:val="-2"/>
          <w:sz w:val="9"/>
        </w:rPr>
        <w:t>(1)</w:t>
      </w:r>
    </w:p>
    <w:p>
      <w:pPr>
        <w:spacing w:line="232" w:lineRule="auto" w:before="97"/>
        <w:ind w:left="195" w:right="1408" w:hanging="1"/>
        <w:jc w:val="center"/>
        <w:rPr>
          <w:b/>
          <w:sz w:val="9"/>
        </w:rPr>
      </w:pPr>
      <w:r>
        <w:rPr/>
        <w:br w:type="column"/>
      </w:r>
      <w:r>
        <w:rPr>
          <w:b/>
          <w:spacing w:val="-2"/>
          <w:sz w:val="15"/>
        </w:rPr>
        <w:t>Market</w:t>
      </w:r>
      <w:r>
        <w:rPr>
          <w:b/>
          <w:spacing w:val="40"/>
          <w:sz w:val="15"/>
        </w:rPr>
        <w:t> </w:t>
      </w:r>
      <w:r>
        <w:rPr>
          <w:b/>
          <w:sz w:val="15"/>
        </w:rPr>
        <w:t>Value</w:t>
      </w:r>
      <w:r>
        <w:rPr>
          <w:b/>
          <w:spacing w:val="-10"/>
          <w:sz w:val="15"/>
        </w:rPr>
        <w:t> </w:t>
      </w:r>
      <w:r>
        <w:rPr>
          <w:b/>
          <w:sz w:val="15"/>
        </w:rPr>
        <w:t>of</w:t>
      </w:r>
      <w:r>
        <w:rPr>
          <w:b/>
          <w:spacing w:val="40"/>
          <w:sz w:val="15"/>
        </w:rPr>
        <w:t> </w:t>
      </w:r>
      <w:r>
        <w:rPr>
          <w:b/>
          <w:sz w:val="15"/>
        </w:rPr>
        <w:t>Shares</w:t>
      </w:r>
      <w:r>
        <w:rPr>
          <w:b/>
          <w:spacing w:val="-10"/>
          <w:sz w:val="15"/>
        </w:rPr>
        <w:t> </w:t>
      </w:r>
      <w:r>
        <w:rPr>
          <w:b/>
          <w:sz w:val="15"/>
        </w:rPr>
        <w:t>or</w:t>
      </w:r>
      <w:r>
        <w:rPr>
          <w:b/>
          <w:spacing w:val="40"/>
          <w:sz w:val="15"/>
        </w:rPr>
        <w:t> </w:t>
      </w:r>
      <w:r>
        <w:rPr>
          <w:b/>
          <w:sz w:val="15"/>
        </w:rPr>
        <w:t>Units</w:t>
      </w:r>
      <w:r>
        <w:rPr>
          <w:b/>
          <w:spacing w:val="-10"/>
          <w:sz w:val="15"/>
        </w:rPr>
        <w:t> </w:t>
      </w:r>
      <w:r>
        <w:rPr>
          <w:b/>
          <w:sz w:val="15"/>
        </w:rPr>
        <w:t>of</w:t>
      </w:r>
      <w:r>
        <w:rPr>
          <w:b/>
          <w:spacing w:val="40"/>
          <w:sz w:val="15"/>
        </w:rPr>
        <w:t> </w:t>
      </w:r>
      <w:r>
        <w:rPr>
          <w:b/>
          <w:spacing w:val="-4"/>
          <w:sz w:val="15"/>
        </w:rPr>
        <w:t>Stock</w:t>
      </w:r>
      <w:r>
        <w:rPr>
          <w:b/>
          <w:spacing w:val="-9"/>
          <w:sz w:val="15"/>
        </w:rPr>
        <w:t> </w:t>
      </w:r>
      <w:r>
        <w:rPr>
          <w:b/>
          <w:spacing w:val="-4"/>
          <w:sz w:val="15"/>
        </w:rPr>
        <w:t>That</w:t>
      </w:r>
      <w:r>
        <w:rPr>
          <w:b/>
          <w:spacing w:val="40"/>
          <w:sz w:val="15"/>
        </w:rPr>
        <w:t> </w:t>
      </w:r>
      <w:r>
        <w:rPr>
          <w:b/>
          <w:sz w:val="15"/>
        </w:rPr>
        <w:t>Have</w:t>
      </w:r>
      <w:r>
        <w:rPr>
          <w:b/>
          <w:spacing w:val="-10"/>
          <w:sz w:val="15"/>
        </w:rPr>
        <w:t> </w:t>
      </w:r>
      <w:r>
        <w:rPr>
          <w:b/>
          <w:sz w:val="15"/>
        </w:rPr>
        <w:t>Not</w:t>
      </w:r>
      <w:r>
        <w:rPr>
          <w:b/>
          <w:spacing w:val="40"/>
          <w:sz w:val="15"/>
        </w:rPr>
        <w:t> </w:t>
      </w:r>
      <w:r>
        <w:rPr>
          <w:b/>
          <w:spacing w:val="-2"/>
          <w:sz w:val="15"/>
        </w:rPr>
        <w:t>Vested</w:t>
      </w:r>
      <w:r>
        <w:rPr>
          <w:b/>
          <w:spacing w:val="40"/>
          <w:sz w:val="15"/>
        </w:rPr>
        <w:t> </w:t>
      </w:r>
      <w:r>
        <w:rPr>
          <w:b/>
          <w:spacing w:val="-2"/>
          <w:position w:val="-5"/>
          <w:sz w:val="15"/>
        </w:rPr>
        <w:t>($)</w:t>
      </w:r>
      <w:r>
        <w:rPr>
          <w:b/>
          <w:spacing w:val="-2"/>
          <w:sz w:val="9"/>
        </w:rPr>
        <w:t>(3)</w:t>
      </w:r>
    </w:p>
    <w:p>
      <w:pPr>
        <w:spacing w:after="0" w:line="232" w:lineRule="auto"/>
        <w:jc w:val="center"/>
        <w:rPr>
          <w:sz w:val="9"/>
        </w:rPr>
        <w:sectPr>
          <w:type w:val="continuous"/>
          <w:pgSz w:w="12240" w:h="15840"/>
          <w:pgMar w:header="529" w:footer="1624" w:top="600" w:bottom="960" w:left="480" w:right="460"/>
          <w:cols w:num="8" w:equalWidth="0">
            <w:col w:w="1804" w:space="522"/>
            <w:col w:w="1778" w:space="40"/>
            <w:col w:w="1126" w:space="39"/>
            <w:col w:w="1044" w:space="40"/>
            <w:col w:w="707" w:space="40"/>
            <w:col w:w="903" w:space="39"/>
            <w:col w:w="902" w:space="39"/>
            <w:col w:w="2277"/>
          </w:cols>
        </w:sectPr>
      </w:pPr>
    </w:p>
    <w:p>
      <w:pPr>
        <w:pStyle w:val="BodyText"/>
        <w:spacing w:before="1"/>
        <w:rPr>
          <w:b/>
          <w:sz w:val="3"/>
        </w:rPr>
      </w:pPr>
      <w:r>
        <w:rPr/>
        <w:pict>
          <v:group style="position:absolute;margin-left:28.999998pt;margin-top:732.182434pt;width:555pt;height:1.4pt;mso-position-horizontal-relative:page;mso-position-vertical-relative:page;z-index:15794176" id="docshapegroup380" coordorigin="580,14644" coordsize="11100,28">
            <v:rect style="position:absolute;left:580;top:14643;width:11100;height:14" id="docshape381" filled="true" fillcolor="#999999" stroked="false">
              <v:fill type="solid"/>
            </v:rect>
            <v:shape style="position:absolute;left:579;top:14643;width:11100;height:28" id="docshape382" coordorigin="580,14644" coordsize="11100,28" path="m11680,14644l11666,14658,580,14658,580,14672,11666,14672,11680,14672,11680,14658,11680,14644xe" filled="true" fillcolor="#ededed" stroked="false">
              <v:path arrowok="t"/>
              <v:fill type="solid"/>
            </v:shape>
            <v:shape style="position:absolute;left:580;top:14643;width:14;height:28" id="docshape383" coordorigin="580,14644" coordsize="14,28" path="m580,14672l580,14644,594,14644,594,14658,580,14672xe" filled="true" fillcolor="#999999" stroked="false">
              <v:path arrowok="t"/>
              <v:fill type="solid"/>
            </v:shape>
            <w10:wrap type="none"/>
          </v:group>
        </w:pict>
      </w:r>
    </w:p>
    <w:p>
      <w:pPr>
        <w:tabs>
          <w:tab w:pos="4517" w:val="left" w:leader="none"/>
          <w:tab w:pos="5496" w:val="left" w:leader="none"/>
          <w:tab w:pos="6572" w:val="left" w:leader="none"/>
          <w:tab w:pos="7327" w:val="left" w:leader="none"/>
          <w:tab w:pos="8320" w:val="left" w:leader="none"/>
        </w:tabs>
        <w:spacing w:line="20" w:lineRule="exact"/>
        <w:ind w:left="1400" w:right="0" w:firstLine="0"/>
        <w:jc w:val="left"/>
        <w:rPr>
          <w:sz w:val="2"/>
        </w:rPr>
      </w:pPr>
      <w:r>
        <w:rPr>
          <w:sz w:val="2"/>
        </w:rPr>
        <w:pict>
          <v:group style="width:95.1pt;height:.7pt;mso-position-horizontal-relative:char;mso-position-vertical-relative:line" id="docshapegroup384" coordorigin="0,0" coordsize="1902,14">
            <v:rect style="position:absolute;left:0;top:0;width:1902;height:14" id="docshape385" filled="true" fillcolor="#000000" stroked="false">
              <v:fill type="solid"/>
            </v:rect>
          </v:group>
        </w:pict>
      </w:r>
      <w:r>
        <w:rPr>
          <w:sz w:val="2"/>
        </w:rPr>
      </w:r>
      <w:r>
        <w:rPr>
          <w:sz w:val="2"/>
        </w:rPr>
        <w:tab/>
      </w:r>
      <w:r>
        <w:rPr>
          <w:sz w:val="2"/>
        </w:rPr>
        <w:pict>
          <v:group style="width:37.75pt;height:.7pt;mso-position-horizontal-relative:char;mso-position-vertical-relative:line" id="docshapegroup386" coordorigin="0,0" coordsize="755,14">
            <v:shape style="position:absolute;left:-1;top:0;width:755;height:14" id="docshape387" coordorigin="0,0" coordsize="755,14" path="m755,0l657,0,98,0,0,0,0,14,98,14,657,14,755,14,755,0xe" filled="true" fillcolor="#000000" stroked="false">
              <v:path arrowok="t"/>
              <v:fill type="solid"/>
            </v:shape>
          </v:group>
        </w:pict>
      </w:r>
      <w:r>
        <w:rPr>
          <w:sz w:val="2"/>
        </w:rPr>
      </w:r>
      <w:r>
        <w:rPr>
          <w:sz w:val="2"/>
        </w:rPr>
        <w:tab/>
      </w:r>
      <w:r>
        <w:rPr>
          <w:sz w:val="2"/>
        </w:rPr>
        <w:pict>
          <v:group style="width:42.65pt;height:.7pt;mso-position-horizontal-relative:char;mso-position-vertical-relative:line" id="docshapegroup388" coordorigin="0,0" coordsize="853,14">
            <v:shape style="position:absolute;left:0;top:0;width:853;height:14" id="docshape389" coordorigin="0,0" coordsize="853,14" path="m853,0l699,0,154,0,0,0,0,14,154,14,699,14,853,14,853,0xe" filled="true" fillcolor="#000000" stroked="false">
              <v:path arrowok="t"/>
              <v:fill type="solid"/>
            </v:shape>
          </v:group>
        </w:pict>
      </w:r>
      <w:r>
        <w:rPr>
          <w:sz w:val="2"/>
        </w:rPr>
      </w:r>
      <w:r>
        <w:rPr>
          <w:sz w:val="2"/>
        </w:rPr>
        <w:tab/>
      </w:r>
      <w:r>
        <w:rPr>
          <w:sz w:val="2"/>
        </w:rPr>
        <w:pict>
          <v:group style="width:26.6pt;height:.7pt;mso-position-horizontal-relative:char;mso-position-vertical-relative:line" id="docshapegroup390" coordorigin="0,0" coordsize="532,14">
            <v:shape style="position:absolute;left:0;top:0;width:532;height:14" id="docshape391" coordorigin="0,0" coordsize="532,14" path="m531,0l503,0,126,0,42,0,0,0,0,14,42,14,126,14,503,14,531,14,531,0xe" filled="true" fillcolor="#000000" stroked="false">
              <v:path arrowok="t"/>
              <v:fill type="solid"/>
            </v:shape>
          </v:group>
        </w:pict>
      </w:r>
      <w:r>
        <w:rPr>
          <w:sz w:val="2"/>
        </w:rPr>
      </w:r>
      <w:r>
        <w:rPr>
          <w:sz w:val="2"/>
        </w:rPr>
        <w:tab/>
      </w:r>
      <w:r>
        <w:rPr>
          <w:sz w:val="2"/>
        </w:rPr>
        <w:pict>
          <v:group style="width:38.450pt;height:.7pt;mso-position-horizontal-relative:char;mso-position-vertical-relative:line" id="docshapegroup392" coordorigin="0,0" coordsize="769,14">
            <v:rect style="position:absolute;left:0;top:0;width:769;height:14" id="docshape393" filled="true" fillcolor="#000000" stroked="false">
              <v:fill type="solid"/>
            </v:rect>
          </v:group>
        </w:pict>
      </w:r>
      <w:r>
        <w:rPr>
          <w:sz w:val="2"/>
        </w:rPr>
      </w:r>
      <w:r>
        <w:rPr>
          <w:sz w:val="2"/>
        </w:rPr>
        <w:tab/>
      </w:r>
      <w:r>
        <w:rPr>
          <w:sz w:val="2"/>
        </w:rPr>
        <w:pict>
          <v:group style="width:32.9pt;height:.7pt;mso-position-horizontal-relative:char;mso-position-vertical-relative:line" id="docshapegroup394" coordorigin="0,0" coordsize="658,14">
            <v:shape style="position:absolute;left:0;top:0;width:658;height:14" id="docshape395" coordorigin="0,0" coordsize="658,14" path="m657,0l601,0,56,0,0,0,0,14,56,14,601,14,657,14,657,0xe" filled="true" fillcolor="#000000" stroked="false">
              <v:path arrowok="t"/>
              <v:fill type="solid"/>
            </v:shape>
          </v:group>
        </w:pict>
      </w:r>
      <w:r>
        <w:rPr>
          <w:sz w:val="2"/>
        </w:rPr>
      </w:r>
    </w:p>
    <w:p>
      <w:pPr>
        <w:pStyle w:val="BodyText"/>
        <w:rPr>
          <w:b/>
          <w:sz w:val="20"/>
        </w:rPr>
      </w:pPr>
    </w:p>
    <w:p>
      <w:pPr>
        <w:pStyle w:val="BodyText"/>
        <w:rPr>
          <w:b/>
          <w:sz w:val="20"/>
        </w:rPr>
      </w:pPr>
    </w:p>
    <w:p>
      <w:pPr>
        <w:pStyle w:val="BodyText"/>
        <w:rPr>
          <w:b/>
          <w:sz w:val="20"/>
        </w:rPr>
      </w:pPr>
    </w:p>
    <w:p>
      <w:pPr>
        <w:pStyle w:val="BodyText"/>
        <w:spacing w:before="4"/>
        <w:rPr>
          <w:b/>
          <w:sz w:val="20"/>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5"/>
        <w:gridCol w:w="1091"/>
        <w:gridCol w:w="1035"/>
        <w:gridCol w:w="960"/>
        <w:gridCol w:w="468"/>
        <w:gridCol w:w="253"/>
        <w:gridCol w:w="770"/>
        <w:gridCol w:w="225"/>
        <w:gridCol w:w="889"/>
        <w:gridCol w:w="693"/>
      </w:tblGrid>
      <w:tr>
        <w:trPr>
          <w:trHeight w:val="236" w:hRule="atLeast"/>
        </w:trPr>
        <w:tc>
          <w:tcPr>
            <w:tcW w:w="2125" w:type="dxa"/>
            <w:tcBorders>
              <w:bottom w:val="single" w:sz="6" w:space="0" w:color="CCEDFF"/>
            </w:tcBorders>
          </w:tcPr>
          <w:p>
            <w:pPr>
              <w:pStyle w:val="TableParagraph"/>
              <w:rPr>
                <w:sz w:val="14"/>
              </w:rPr>
            </w:pPr>
          </w:p>
        </w:tc>
        <w:tc>
          <w:tcPr>
            <w:tcW w:w="1091" w:type="dxa"/>
            <w:tcBorders>
              <w:bottom w:val="single" w:sz="6" w:space="0" w:color="CCEDFF"/>
            </w:tcBorders>
          </w:tcPr>
          <w:p>
            <w:pPr>
              <w:pStyle w:val="TableParagraph"/>
              <w:spacing w:before="32"/>
              <w:ind w:left="405"/>
              <w:rPr>
                <w:b/>
                <w:sz w:val="16"/>
              </w:rPr>
            </w:pPr>
            <w:r>
              <w:rPr>
                <w:b/>
                <w:spacing w:val="-2"/>
                <w:w w:val="105"/>
                <w:sz w:val="16"/>
              </w:rPr>
              <w:t>Total</w:t>
            </w:r>
          </w:p>
        </w:tc>
        <w:tc>
          <w:tcPr>
            <w:tcW w:w="1035" w:type="dxa"/>
            <w:tcBorders>
              <w:bottom w:val="single" w:sz="6" w:space="0" w:color="CCEDFF"/>
            </w:tcBorders>
          </w:tcPr>
          <w:p>
            <w:pPr>
              <w:pStyle w:val="TableParagraph"/>
              <w:spacing w:line="20" w:lineRule="exact"/>
              <w:ind w:left="-1"/>
              <w:rPr>
                <w:sz w:val="2"/>
              </w:rPr>
            </w:pPr>
            <w:r>
              <w:rPr>
                <w:sz w:val="2"/>
              </w:rPr>
              <w:pict>
                <v:group style="width:28pt;height:.7pt;mso-position-horizontal-relative:char;mso-position-vertical-relative:line" id="docshapegroup396" coordorigin="0,0" coordsize="560,14">
                  <v:rect style="position:absolute;left:0;top:0;width:560;height:14" id="docshape397" filled="true" fillcolor="#000000" stroked="false">
                    <v:fill type="solid"/>
                  </v:rect>
                </v:group>
              </w:pict>
            </w:r>
            <w:r>
              <w:rPr>
                <w:sz w:val="2"/>
              </w:rPr>
            </w:r>
          </w:p>
          <w:p>
            <w:pPr>
              <w:pStyle w:val="TableParagraph"/>
              <w:spacing w:before="12"/>
              <w:ind w:left="7"/>
              <w:rPr>
                <w:b/>
                <w:sz w:val="16"/>
              </w:rPr>
            </w:pPr>
            <w:r>
              <w:rPr>
                <w:b/>
                <w:spacing w:val="-2"/>
                <w:w w:val="105"/>
                <w:sz w:val="16"/>
              </w:rPr>
              <w:t>917,603</w:t>
            </w:r>
          </w:p>
        </w:tc>
        <w:tc>
          <w:tcPr>
            <w:tcW w:w="960" w:type="dxa"/>
            <w:tcBorders>
              <w:bottom w:val="single" w:sz="6" w:space="0" w:color="CCEDFF"/>
            </w:tcBorders>
          </w:tcPr>
          <w:p>
            <w:pPr>
              <w:pStyle w:val="TableParagraph"/>
              <w:spacing w:line="20" w:lineRule="exact"/>
              <w:ind w:left="-2"/>
              <w:rPr>
                <w:sz w:val="2"/>
              </w:rPr>
            </w:pPr>
            <w:r>
              <w:rPr>
                <w:sz w:val="2"/>
              </w:rPr>
              <w:pict>
                <v:group style="width:27.3pt;height:.7pt;mso-position-horizontal-relative:char;mso-position-vertical-relative:line" id="docshapegroup398" coordorigin="0,0" coordsize="546,14">
                  <v:rect style="position:absolute;left:0;top:0;width:546;height:14" id="docshape399" filled="true" fillcolor="#000000" stroked="false">
                    <v:fill type="solid"/>
                  </v:rect>
                </v:group>
              </w:pict>
            </w:r>
            <w:r>
              <w:rPr>
                <w:sz w:val="2"/>
              </w:rPr>
            </w:r>
          </w:p>
          <w:p>
            <w:pPr>
              <w:pStyle w:val="TableParagraph"/>
              <w:spacing w:before="12"/>
              <w:ind w:left="1"/>
              <w:rPr>
                <w:b/>
                <w:sz w:val="16"/>
              </w:rPr>
            </w:pPr>
            <w:r>
              <w:rPr>
                <w:b/>
                <w:spacing w:val="-2"/>
                <w:w w:val="105"/>
                <w:sz w:val="16"/>
              </w:rPr>
              <w:t>296,640</w:t>
            </w:r>
          </w:p>
        </w:tc>
        <w:tc>
          <w:tcPr>
            <w:tcW w:w="468" w:type="dxa"/>
            <w:tcBorders>
              <w:top w:val="single" w:sz="6" w:space="0" w:color="000000"/>
              <w:bottom w:val="single" w:sz="6" w:space="0" w:color="000000"/>
            </w:tcBorders>
          </w:tcPr>
          <w:p>
            <w:pPr>
              <w:pStyle w:val="TableParagraph"/>
              <w:rPr>
                <w:sz w:val="14"/>
              </w:rPr>
            </w:pPr>
          </w:p>
        </w:tc>
        <w:tc>
          <w:tcPr>
            <w:tcW w:w="253" w:type="dxa"/>
            <w:tcBorders>
              <w:bottom w:val="single" w:sz="6" w:space="0" w:color="CCEDFF"/>
            </w:tcBorders>
          </w:tcPr>
          <w:p>
            <w:pPr>
              <w:pStyle w:val="TableParagraph"/>
              <w:rPr>
                <w:sz w:val="14"/>
              </w:rPr>
            </w:pPr>
          </w:p>
        </w:tc>
        <w:tc>
          <w:tcPr>
            <w:tcW w:w="770" w:type="dxa"/>
            <w:tcBorders>
              <w:bottom w:val="single" w:sz="6" w:space="0" w:color="000000"/>
            </w:tcBorders>
          </w:tcPr>
          <w:p>
            <w:pPr>
              <w:pStyle w:val="TableParagraph"/>
              <w:spacing w:line="20" w:lineRule="exact"/>
              <w:ind w:left="-5" w:right="-58"/>
              <w:rPr>
                <w:sz w:val="2"/>
              </w:rPr>
            </w:pPr>
            <w:r>
              <w:rPr>
                <w:sz w:val="2"/>
              </w:rPr>
              <w:pict>
                <v:group style="width:38.450pt;height:.7pt;mso-position-horizontal-relative:char;mso-position-vertical-relative:line" id="docshapegroup400" coordorigin="0,0" coordsize="769,14">
                  <v:rect style="position:absolute;left:0;top:0;width:769;height:14" id="docshape401" filled="true" fillcolor="#000000" stroked="false">
                    <v:fill type="solid"/>
                  </v:rect>
                </v:group>
              </w:pict>
            </w:r>
            <w:r>
              <w:rPr>
                <w:sz w:val="2"/>
              </w:rPr>
            </w:r>
          </w:p>
        </w:tc>
        <w:tc>
          <w:tcPr>
            <w:tcW w:w="225" w:type="dxa"/>
            <w:tcBorders>
              <w:bottom w:val="single" w:sz="6" w:space="0" w:color="CCEDFF"/>
            </w:tcBorders>
          </w:tcPr>
          <w:p>
            <w:pPr>
              <w:pStyle w:val="TableParagraph"/>
              <w:rPr>
                <w:sz w:val="14"/>
              </w:rPr>
            </w:pPr>
          </w:p>
        </w:tc>
        <w:tc>
          <w:tcPr>
            <w:tcW w:w="889" w:type="dxa"/>
            <w:tcBorders>
              <w:bottom w:val="single" w:sz="6" w:space="0" w:color="000000"/>
            </w:tcBorders>
          </w:tcPr>
          <w:p>
            <w:pPr>
              <w:pStyle w:val="TableParagraph"/>
              <w:spacing w:line="20" w:lineRule="exact"/>
              <w:ind w:left="48"/>
              <w:rPr>
                <w:sz w:val="2"/>
              </w:rPr>
            </w:pPr>
            <w:r>
              <w:rPr>
                <w:sz w:val="2"/>
              </w:rPr>
              <w:pict>
                <v:group style="width:27.3pt;height:.7pt;mso-position-horizontal-relative:char;mso-position-vertical-relative:line" id="docshapegroup402" coordorigin="0,0" coordsize="546,14">
                  <v:rect style="position:absolute;left:0;top:0;width:546;height:14" id="docshape403" filled="true" fillcolor="#000000" stroked="false">
                    <v:fill type="solid"/>
                  </v:rect>
                </v:group>
              </w:pict>
            </w:r>
            <w:r>
              <w:rPr>
                <w:sz w:val="2"/>
              </w:rPr>
            </w:r>
          </w:p>
          <w:p>
            <w:pPr>
              <w:pStyle w:val="TableParagraph"/>
              <w:spacing w:before="12"/>
              <w:ind w:left="52"/>
              <w:rPr>
                <w:b/>
                <w:sz w:val="16"/>
              </w:rPr>
            </w:pPr>
            <w:r>
              <w:rPr>
                <w:b/>
                <w:spacing w:val="-2"/>
                <w:w w:val="105"/>
                <w:sz w:val="16"/>
              </w:rPr>
              <w:t>159,723</w:t>
            </w:r>
          </w:p>
        </w:tc>
        <w:tc>
          <w:tcPr>
            <w:tcW w:w="693" w:type="dxa"/>
            <w:tcBorders>
              <w:bottom w:val="single" w:sz="6" w:space="0" w:color="000000"/>
            </w:tcBorders>
          </w:tcPr>
          <w:p>
            <w:pPr>
              <w:pStyle w:val="TableParagraph"/>
              <w:spacing w:before="32"/>
              <w:ind w:right="16"/>
              <w:jc w:val="right"/>
              <w:rPr>
                <w:b/>
                <w:sz w:val="16"/>
              </w:rPr>
            </w:pPr>
            <w:r>
              <w:rPr>
                <w:b/>
                <w:spacing w:val="-2"/>
                <w:w w:val="105"/>
                <w:sz w:val="16"/>
              </w:rPr>
              <w:t>3,376,544</w:t>
            </w:r>
          </w:p>
        </w:tc>
      </w:tr>
      <w:tr>
        <w:trPr>
          <w:trHeight w:val="223" w:hRule="atLeast"/>
        </w:trPr>
        <w:tc>
          <w:tcPr>
            <w:tcW w:w="2125" w:type="dxa"/>
            <w:tcBorders>
              <w:top w:val="single" w:sz="6" w:space="0" w:color="CCEDFF"/>
            </w:tcBorders>
          </w:tcPr>
          <w:p>
            <w:pPr>
              <w:pStyle w:val="TableParagraph"/>
              <w:spacing w:before="18"/>
              <w:rPr>
                <w:sz w:val="16"/>
              </w:rPr>
            </w:pPr>
            <w:r>
              <w:rPr>
                <w:w w:val="105"/>
                <w:sz w:val="16"/>
              </w:rPr>
              <w:t>Shubham</w:t>
            </w:r>
            <w:r>
              <w:rPr>
                <w:spacing w:val="17"/>
                <w:w w:val="105"/>
                <w:sz w:val="16"/>
              </w:rPr>
              <w:t> </w:t>
            </w:r>
            <w:r>
              <w:rPr>
                <w:spacing w:val="-2"/>
                <w:w w:val="105"/>
                <w:sz w:val="16"/>
              </w:rPr>
              <w:t>Maheshwari</w:t>
            </w:r>
          </w:p>
        </w:tc>
        <w:tc>
          <w:tcPr>
            <w:tcW w:w="1091" w:type="dxa"/>
            <w:tcBorders>
              <w:top w:val="single" w:sz="6" w:space="0" w:color="CCEDFF"/>
            </w:tcBorders>
          </w:tcPr>
          <w:p>
            <w:pPr>
              <w:pStyle w:val="TableParagraph"/>
              <w:spacing w:before="18"/>
              <w:ind w:left="8"/>
              <w:rPr>
                <w:sz w:val="16"/>
              </w:rPr>
            </w:pPr>
            <w:r>
              <w:rPr>
                <w:spacing w:val="-2"/>
                <w:w w:val="105"/>
                <w:sz w:val="16"/>
              </w:rPr>
              <w:t>10/02/2020</w:t>
            </w:r>
          </w:p>
        </w:tc>
        <w:tc>
          <w:tcPr>
            <w:tcW w:w="1035" w:type="dxa"/>
            <w:tcBorders>
              <w:top w:val="single" w:sz="6" w:space="0" w:color="CCEDFF"/>
            </w:tcBorders>
          </w:tcPr>
          <w:p>
            <w:pPr>
              <w:pStyle w:val="TableParagraph"/>
              <w:spacing w:before="18"/>
              <w:ind w:left="91"/>
              <w:rPr>
                <w:sz w:val="16"/>
              </w:rPr>
            </w:pPr>
            <w:r>
              <w:rPr>
                <w:spacing w:val="-2"/>
                <w:w w:val="105"/>
                <w:sz w:val="16"/>
              </w:rPr>
              <w:t>83,824</w:t>
            </w:r>
            <w:r>
              <w:rPr>
                <w:spacing w:val="-2"/>
                <w:w w:val="105"/>
                <w:sz w:val="16"/>
                <w:vertAlign w:val="superscript"/>
              </w:rPr>
              <w:t>(13)</w:t>
            </w:r>
          </w:p>
        </w:tc>
        <w:tc>
          <w:tcPr>
            <w:tcW w:w="960" w:type="dxa"/>
            <w:tcBorders>
              <w:top w:val="single" w:sz="6" w:space="0" w:color="CCEDFF"/>
            </w:tcBorders>
          </w:tcPr>
          <w:p>
            <w:pPr>
              <w:pStyle w:val="TableParagraph"/>
              <w:spacing w:before="18"/>
              <w:ind w:right="240"/>
              <w:jc w:val="right"/>
              <w:rPr>
                <w:sz w:val="16"/>
              </w:rPr>
            </w:pPr>
            <w:r>
              <w:rPr>
                <w:spacing w:val="-2"/>
                <w:w w:val="105"/>
                <w:sz w:val="16"/>
              </w:rPr>
              <w:t>77,120</w:t>
            </w:r>
            <w:r>
              <w:rPr>
                <w:spacing w:val="-2"/>
                <w:w w:val="105"/>
                <w:sz w:val="16"/>
                <w:vertAlign w:val="superscript"/>
              </w:rPr>
              <w:t>(13)</w:t>
            </w:r>
          </w:p>
        </w:tc>
        <w:tc>
          <w:tcPr>
            <w:tcW w:w="468" w:type="dxa"/>
            <w:tcBorders>
              <w:top w:val="single" w:sz="6" w:space="0" w:color="000000"/>
            </w:tcBorders>
          </w:tcPr>
          <w:p>
            <w:pPr>
              <w:pStyle w:val="TableParagraph"/>
              <w:spacing w:before="18"/>
              <w:ind w:left="-2" w:right="4"/>
              <w:jc w:val="right"/>
              <w:rPr>
                <w:sz w:val="16"/>
              </w:rPr>
            </w:pPr>
            <w:r>
              <w:rPr>
                <w:spacing w:val="-2"/>
                <w:w w:val="105"/>
                <w:sz w:val="16"/>
              </w:rPr>
              <w:t>$13.61</w:t>
            </w:r>
          </w:p>
        </w:tc>
        <w:tc>
          <w:tcPr>
            <w:tcW w:w="253" w:type="dxa"/>
            <w:tcBorders>
              <w:top w:val="single" w:sz="6" w:space="0" w:color="CCEDFF"/>
            </w:tcBorders>
          </w:tcPr>
          <w:p>
            <w:pPr>
              <w:pStyle w:val="TableParagraph"/>
              <w:rPr>
                <w:sz w:val="14"/>
              </w:rPr>
            </w:pPr>
          </w:p>
        </w:tc>
        <w:tc>
          <w:tcPr>
            <w:tcW w:w="770" w:type="dxa"/>
            <w:tcBorders>
              <w:top w:val="single" w:sz="6" w:space="0" w:color="000000"/>
            </w:tcBorders>
          </w:tcPr>
          <w:p>
            <w:pPr>
              <w:pStyle w:val="TableParagraph"/>
              <w:spacing w:before="18"/>
              <w:ind w:left="-2" w:right="6"/>
              <w:jc w:val="right"/>
              <w:rPr>
                <w:sz w:val="16"/>
              </w:rPr>
            </w:pPr>
            <w:r>
              <w:rPr>
                <w:spacing w:val="-2"/>
                <w:w w:val="105"/>
                <w:sz w:val="16"/>
              </w:rPr>
              <w:t>8/15/2030</w:t>
            </w:r>
          </w:p>
        </w:tc>
        <w:tc>
          <w:tcPr>
            <w:tcW w:w="225" w:type="dxa"/>
            <w:tcBorders>
              <w:top w:val="single" w:sz="6" w:space="0" w:color="CCEDFF"/>
            </w:tcBorders>
          </w:tcPr>
          <w:p>
            <w:pPr>
              <w:pStyle w:val="TableParagraph"/>
              <w:rPr>
                <w:sz w:val="14"/>
              </w:rPr>
            </w:pPr>
          </w:p>
        </w:tc>
        <w:tc>
          <w:tcPr>
            <w:tcW w:w="889" w:type="dxa"/>
            <w:tcBorders>
              <w:top w:val="single" w:sz="6" w:space="0" w:color="000000"/>
            </w:tcBorders>
          </w:tcPr>
          <w:p>
            <w:pPr>
              <w:pStyle w:val="TableParagraph"/>
              <w:spacing w:before="18"/>
              <w:ind w:left="429"/>
              <w:rPr>
                <w:sz w:val="16"/>
              </w:rPr>
            </w:pPr>
            <w:r>
              <w:rPr>
                <w:w w:val="104"/>
                <w:sz w:val="16"/>
              </w:rPr>
              <w:t>—</w:t>
            </w:r>
          </w:p>
        </w:tc>
        <w:tc>
          <w:tcPr>
            <w:tcW w:w="693" w:type="dxa"/>
            <w:tcBorders>
              <w:top w:val="single" w:sz="6" w:space="0" w:color="000000"/>
            </w:tcBorders>
          </w:tcPr>
          <w:p>
            <w:pPr>
              <w:pStyle w:val="TableParagraph"/>
              <w:spacing w:before="18"/>
              <w:ind w:right="16"/>
              <w:jc w:val="right"/>
              <w:rPr>
                <w:sz w:val="16"/>
              </w:rPr>
            </w:pPr>
            <w:r>
              <w:rPr>
                <w:w w:val="104"/>
                <w:sz w:val="16"/>
              </w:rPr>
              <w:t>—</w:t>
            </w:r>
          </w:p>
        </w:tc>
      </w:tr>
      <w:tr>
        <w:trPr>
          <w:trHeight w:val="236" w:hRule="atLeast"/>
        </w:trPr>
        <w:tc>
          <w:tcPr>
            <w:tcW w:w="2125" w:type="dxa"/>
          </w:tcPr>
          <w:p>
            <w:pPr>
              <w:pStyle w:val="TableParagraph"/>
              <w:rPr>
                <w:sz w:val="14"/>
              </w:rPr>
            </w:pPr>
          </w:p>
        </w:tc>
        <w:tc>
          <w:tcPr>
            <w:tcW w:w="1091" w:type="dxa"/>
          </w:tcPr>
          <w:p>
            <w:pPr>
              <w:pStyle w:val="TableParagraph"/>
              <w:spacing w:before="32"/>
              <w:ind w:left="8"/>
              <w:rPr>
                <w:sz w:val="16"/>
              </w:rPr>
            </w:pPr>
            <w:r>
              <w:rPr>
                <w:spacing w:val="-2"/>
                <w:w w:val="105"/>
                <w:sz w:val="16"/>
              </w:rPr>
              <w:t>05/21/2021</w:t>
            </w:r>
          </w:p>
        </w:tc>
        <w:tc>
          <w:tcPr>
            <w:tcW w:w="1035" w:type="dxa"/>
          </w:tcPr>
          <w:p>
            <w:pPr>
              <w:pStyle w:val="TableParagraph"/>
              <w:spacing w:before="32"/>
              <w:ind w:right="309"/>
              <w:jc w:val="right"/>
              <w:rPr>
                <w:sz w:val="16"/>
              </w:rPr>
            </w:pPr>
            <w:r>
              <w:rPr>
                <w:spacing w:val="-2"/>
                <w:w w:val="105"/>
                <w:sz w:val="16"/>
              </w:rPr>
              <w:t>5,868</w:t>
            </w:r>
            <w:r>
              <w:rPr>
                <w:spacing w:val="-2"/>
                <w:w w:val="105"/>
                <w:sz w:val="16"/>
                <w:vertAlign w:val="superscript"/>
              </w:rPr>
              <w:t>(15)</w:t>
            </w:r>
          </w:p>
        </w:tc>
        <w:tc>
          <w:tcPr>
            <w:tcW w:w="960" w:type="dxa"/>
          </w:tcPr>
          <w:p>
            <w:pPr>
              <w:pStyle w:val="TableParagraph"/>
              <w:spacing w:before="32"/>
              <w:ind w:right="240"/>
              <w:jc w:val="right"/>
              <w:rPr>
                <w:sz w:val="16"/>
              </w:rPr>
            </w:pPr>
            <w:r>
              <w:rPr>
                <w:spacing w:val="-2"/>
                <w:w w:val="105"/>
                <w:sz w:val="16"/>
              </w:rPr>
              <w:t>11,737</w:t>
            </w:r>
            <w:r>
              <w:rPr>
                <w:spacing w:val="-2"/>
                <w:w w:val="105"/>
                <w:sz w:val="16"/>
                <w:vertAlign w:val="superscript"/>
              </w:rPr>
              <w:t>(15)</w:t>
            </w:r>
          </w:p>
        </w:tc>
        <w:tc>
          <w:tcPr>
            <w:tcW w:w="468" w:type="dxa"/>
          </w:tcPr>
          <w:p>
            <w:pPr>
              <w:pStyle w:val="TableParagraph"/>
              <w:spacing w:before="32"/>
              <w:ind w:left="-2" w:right="4"/>
              <w:jc w:val="right"/>
              <w:rPr>
                <w:sz w:val="16"/>
              </w:rPr>
            </w:pPr>
            <w:r>
              <w:rPr>
                <w:spacing w:val="-2"/>
                <w:w w:val="105"/>
                <w:sz w:val="16"/>
              </w:rPr>
              <w:t>$27.95</w:t>
            </w:r>
          </w:p>
        </w:tc>
        <w:tc>
          <w:tcPr>
            <w:tcW w:w="253" w:type="dxa"/>
          </w:tcPr>
          <w:p>
            <w:pPr>
              <w:pStyle w:val="TableParagraph"/>
              <w:rPr>
                <w:sz w:val="14"/>
              </w:rPr>
            </w:pPr>
          </w:p>
        </w:tc>
        <w:tc>
          <w:tcPr>
            <w:tcW w:w="770" w:type="dxa"/>
          </w:tcPr>
          <w:p>
            <w:pPr>
              <w:pStyle w:val="TableParagraph"/>
              <w:spacing w:before="32"/>
              <w:ind w:left="-2" w:right="6"/>
              <w:jc w:val="right"/>
              <w:rPr>
                <w:sz w:val="16"/>
              </w:rPr>
            </w:pPr>
            <w:r>
              <w:rPr>
                <w:spacing w:val="-2"/>
                <w:w w:val="105"/>
                <w:sz w:val="16"/>
              </w:rPr>
              <w:t>5/21/2031</w:t>
            </w:r>
          </w:p>
        </w:tc>
        <w:tc>
          <w:tcPr>
            <w:tcW w:w="225" w:type="dxa"/>
          </w:tcPr>
          <w:p>
            <w:pPr>
              <w:pStyle w:val="TableParagraph"/>
              <w:rPr>
                <w:sz w:val="14"/>
              </w:rPr>
            </w:pPr>
          </w:p>
        </w:tc>
        <w:tc>
          <w:tcPr>
            <w:tcW w:w="889" w:type="dxa"/>
          </w:tcPr>
          <w:p>
            <w:pPr>
              <w:pStyle w:val="TableParagraph"/>
              <w:spacing w:before="32"/>
              <w:ind w:left="429"/>
              <w:rPr>
                <w:sz w:val="16"/>
              </w:rPr>
            </w:pPr>
            <w:r>
              <w:rPr>
                <w:w w:val="104"/>
                <w:sz w:val="16"/>
              </w:rPr>
              <w:t>—</w:t>
            </w:r>
          </w:p>
        </w:tc>
        <w:tc>
          <w:tcPr>
            <w:tcW w:w="693" w:type="dxa"/>
          </w:tcPr>
          <w:p>
            <w:pPr>
              <w:pStyle w:val="TableParagraph"/>
              <w:spacing w:before="32"/>
              <w:ind w:right="16"/>
              <w:jc w:val="right"/>
              <w:rPr>
                <w:sz w:val="16"/>
              </w:rPr>
            </w:pPr>
            <w:r>
              <w:rPr>
                <w:w w:val="104"/>
                <w:sz w:val="16"/>
              </w:rPr>
              <w:t>—</w:t>
            </w:r>
          </w:p>
        </w:tc>
      </w:tr>
      <w:tr>
        <w:trPr>
          <w:trHeight w:val="223" w:hRule="atLeast"/>
        </w:trPr>
        <w:tc>
          <w:tcPr>
            <w:tcW w:w="2125" w:type="dxa"/>
          </w:tcPr>
          <w:p>
            <w:pPr>
              <w:pStyle w:val="TableParagraph"/>
              <w:rPr>
                <w:sz w:val="14"/>
              </w:rPr>
            </w:pPr>
          </w:p>
        </w:tc>
        <w:tc>
          <w:tcPr>
            <w:tcW w:w="1091" w:type="dxa"/>
          </w:tcPr>
          <w:p>
            <w:pPr>
              <w:pStyle w:val="TableParagraph"/>
              <w:spacing w:before="19"/>
              <w:ind w:left="8"/>
              <w:rPr>
                <w:sz w:val="16"/>
              </w:rPr>
            </w:pPr>
            <w:r>
              <w:rPr>
                <w:spacing w:val="-2"/>
                <w:w w:val="105"/>
                <w:sz w:val="16"/>
              </w:rPr>
              <w:t>12/10/2021</w:t>
            </w:r>
          </w:p>
        </w:tc>
        <w:tc>
          <w:tcPr>
            <w:tcW w:w="1035" w:type="dxa"/>
          </w:tcPr>
          <w:p>
            <w:pPr>
              <w:pStyle w:val="TableParagraph"/>
              <w:spacing w:before="19"/>
              <w:ind w:right="96"/>
              <w:jc w:val="center"/>
              <w:rPr>
                <w:sz w:val="16"/>
              </w:rPr>
            </w:pPr>
            <w:r>
              <w:rPr>
                <w:w w:val="104"/>
                <w:sz w:val="16"/>
              </w:rPr>
              <w:t>—</w:t>
            </w:r>
          </w:p>
        </w:tc>
        <w:tc>
          <w:tcPr>
            <w:tcW w:w="960" w:type="dxa"/>
          </w:tcPr>
          <w:p>
            <w:pPr>
              <w:pStyle w:val="TableParagraph"/>
              <w:spacing w:before="19"/>
              <w:ind w:right="240"/>
              <w:jc w:val="right"/>
              <w:rPr>
                <w:sz w:val="16"/>
              </w:rPr>
            </w:pPr>
            <w:r>
              <w:rPr>
                <w:spacing w:val="-2"/>
                <w:w w:val="105"/>
                <w:sz w:val="16"/>
              </w:rPr>
              <w:t>32,932</w:t>
            </w:r>
            <w:r>
              <w:rPr>
                <w:spacing w:val="-2"/>
                <w:w w:val="105"/>
                <w:sz w:val="16"/>
                <w:vertAlign w:val="superscript"/>
              </w:rPr>
              <w:t>(16)</w:t>
            </w:r>
          </w:p>
        </w:tc>
        <w:tc>
          <w:tcPr>
            <w:tcW w:w="468" w:type="dxa"/>
          </w:tcPr>
          <w:p>
            <w:pPr>
              <w:pStyle w:val="TableParagraph"/>
              <w:spacing w:before="19"/>
              <w:ind w:left="-2" w:right="4"/>
              <w:jc w:val="right"/>
              <w:rPr>
                <w:sz w:val="16"/>
              </w:rPr>
            </w:pPr>
            <w:r>
              <w:rPr>
                <w:spacing w:val="-2"/>
                <w:w w:val="105"/>
                <w:sz w:val="16"/>
              </w:rPr>
              <w:t>$30.95</w:t>
            </w:r>
          </w:p>
        </w:tc>
        <w:tc>
          <w:tcPr>
            <w:tcW w:w="253" w:type="dxa"/>
          </w:tcPr>
          <w:p>
            <w:pPr>
              <w:pStyle w:val="TableParagraph"/>
              <w:rPr>
                <w:sz w:val="14"/>
              </w:rPr>
            </w:pPr>
          </w:p>
        </w:tc>
        <w:tc>
          <w:tcPr>
            <w:tcW w:w="770" w:type="dxa"/>
          </w:tcPr>
          <w:p>
            <w:pPr>
              <w:pStyle w:val="TableParagraph"/>
              <w:spacing w:before="19"/>
              <w:ind w:left="-2" w:right="6"/>
              <w:jc w:val="right"/>
              <w:rPr>
                <w:sz w:val="16"/>
              </w:rPr>
            </w:pPr>
            <w:r>
              <w:rPr>
                <w:spacing w:val="-2"/>
                <w:w w:val="105"/>
                <w:sz w:val="16"/>
              </w:rPr>
              <w:t>12/10/2031</w:t>
            </w:r>
          </w:p>
        </w:tc>
        <w:tc>
          <w:tcPr>
            <w:tcW w:w="225" w:type="dxa"/>
          </w:tcPr>
          <w:p>
            <w:pPr>
              <w:pStyle w:val="TableParagraph"/>
              <w:rPr>
                <w:sz w:val="14"/>
              </w:rPr>
            </w:pPr>
          </w:p>
        </w:tc>
        <w:tc>
          <w:tcPr>
            <w:tcW w:w="889" w:type="dxa"/>
          </w:tcPr>
          <w:p>
            <w:pPr>
              <w:pStyle w:val="TableParagraph"/>
              <w:spacing w:before="19"/>
              <w:ind w:left="429"/>
              <w:rPr>
                <w:sz w:val="16"/>
              </w:rPr>
            </w:pPr>
            <w:r>
              <w:rPr>
                <w:w w:val="104"/>
                <w:sz w:val="16"/>
              </w:rPr>
              <w:t>—</w:t>
            </w:r>
          </w:p>
        </w:tc>
        <w:tc>
          <w:tcPr>
            <w:tcW w:w="693" w:type="dxa"/>
          </w:tcPr>
          <w:p>
            <w:pPr>
              <w:pStyle w:val="TableParagraph"/>
              <w:spacing w:before="19"/>
              <w:ind w:right="16"/>
              <w:jc w:val="right"/>
              <w:rPr>
                <w:sz w:val="16"/>
              </w:rPr>
            </w:pPr>
            <w:r>
              <w:rPr>
                <w:w w:val="104"/>
                <w:sz w:val="16"/>
              </w:rPr>
              <w:t>—</w:t>
            </w:r>
          </w:p>
        </w:tc>
      </w:tr>
      <w:tr>
        <w:trPr>
          <w:trHeight w:val="224" w:hRule="atLeast"/>
        </w:trPr>
        <w:tc>
          <w:tcPr>
            <w:tcW w:w="2125" w:type="dxa"/>
          </w:tcPr>
          <w:p>
            <w:pPr>
              <w:pStyle w:val="TableParagraph"/>
              <w:rPr>
                <w:sz w:val="14"/>
              </w:rPr>
            </w:pPr>
          </w:p>
        </w:tc>
        <w:tc>
          <w:tcPr>
            <w:tcW w:w="1091" w:type="dxa"/>
          </w:tcPr>
          <w:p>
            <w:pPr>
              <w:pStyle w:val="TableParagraph"/>
              <w:spacing w:before="19"/>
              <w:ind w:left="8"/>
              <w:rPr>
                <w:sz w:val="16"/>
              </w:rPr>
            </w:pPr>
            <w:r>
              <w:rPr>
                <w:spacing w:val="-2"/>
                <w:w w:val="105"/>
                <w:sz w:val="16"/>
              </w:rPr>
              <w:t>10/02/2020</w:t>
            </w:r>
          </w:p>
        </w:tc>
        <w:tc>
          <w:tcPr>
            <w:tcW w:w="1035" w:type="dxa"/>
          </w:tcPr>
          <w:p>
            <w:pPr>
              <w:pStyle w:val="TableParagraph"/>
              <w:spacing w:before="19"/>
              <w:ind w:right="96"/>
              <w:jc w:val="center"/>
              <w:rPr>
                <w:sz w:val="16"/>
              </w:rPr>
            </w:pPr>
            <w:r>
              <w:rPr>
                <w:w w:val="104"/>
                <w:sz w:val="16"/>
              </w:rPr>
              <w:t>—</w:t>
            </w:r>
          </w:p>
        </w:tc>
        <w:tc>
          <w:tcPr>
            <w:tcW w:w="960" w:type="dxa"/>
          </w:tcPr>
          <w:p>
            <w:pPr>
              <w:pStyle w:val="TableParagraph"/>
              <w:spacing w:before="19"/>
              <w:ind w:right="31"/>
              <w:jc w:val="center"/>
              <w:rPr>
                <w:sz w:val="16"/>
              </w:rPr>
            </w:pPr>
            <w:r>
              <w:rPr>
                <w:w w:val="104"/>
                <w:sz w:val="16"/>
              </w:rPr>
              <w:t>—</w:t>
            </w:r>
          </w:p>
        </w:tc>
        <w:tc>
          <w:tcPr>
            <w:tcW w:w="468" w:type="dxa"/>
          </w:tcPr>
          <w:p>
            <w:pPr>
              <w:pStyle w:val="TableParagraph"/>
              <w:spacing w:before="19"/>
              <w:ind w:right="4"/>
              <w:jc w:val="right"/>
              <w:rPr>
                <w:sz w:val="16"/>
              </w:rPr>
            </w:pPr>
            <w:r>
              <w:rPr>
                <w:w w:val="104"/>
                <w:sz w:val="16"/>
              </w:rPr>
              <w:t>—</w:t>
            </w:r>
          </w:p>
        </w:tc>
        <w:tc>
          <w:tcPr>
            <w:tcW w:w="253" w:type="dxa"/>
          </w:tcPr>
          <w:p>
            <w:pPr>
              <w:pStyle w:val="TableParagraph"/>
              <w:rPr>
                <w:sz w:val="14"/>
              </w:rPr>
            </w:pPr>
          </w:p>
        </w:tc>
        <w:tc>
          <w:tcPr>
            <w:tcW w:w="770" w:type="dxa"/>
          </w:tcPr>
          <w:p>
            <w:pPr>
              <w:pStyle w:val="TableParagraph"/>
              <w:spacing w:before="19"/>
              <w:ind w:right="6"/>
              <w:jc w:val="right"/>
              <w:rPr>
                <w:sz w:val="16"/>
              </w:rPr>
            </w:pPr>
            <w:r>
              <w:rPr>
                <w:w w:val="104"/>
                <w:sz w:val="16"/>
              </w:rPr>
              <w:t>—</w:t>
            </w:r>
          </w:p>
        </w:tc>
        <w:tc>
          <w:tcPr>
            <w:tcW w:w="225" w:type="dxa"/>
          </w:tcPr>
          <w:p>
            <w:pPr>
              <w:pStyle w:val="TableParagraph"/>
              <w:rPr>
                <w:sz w:val="14"/>
              </w:rPr>
            </w:pPr>
          </w:p>
        </w:tc>
        <w:tc>
          <w:tcPr>
            <w:tcW w:w="889" w:type="dxa"/>
          </w:tcPr>
          <w:p>
            <w:pPr>
              <w:pStyle w:val="TableParagraph"/>
              <w:spacing w:before="19"/>
              <w:ind w:left="-1961" w:right="118"/>
              <w:jc w:val="right"/>
              <w:rPr>
                <w:sz w:val="16"/>
              </w:rPr>
            </w:pPr>
            <w:r>
              <w:rPr>
                <w:spacing w:val="-2"/>
                <w:w w:val="105"/>
                <w:sz w:val="16"/>
              </w:rPr>
              <w:t>30,315</w:t>
            </w:r>
            <w:r>
              <w:rPr>
                <w:spacing w:val="-2"/>
                <w:w w:val="105"/>
                <w:sz w:val="16"/>
                <w:vertAlign w:val="superscript"/>
              </w:rPr>
              <w:t>(19)</w:t>
            </w:r>
          </w:p>
        </w:tc>
        <w:tc>
          <w:tcPr>
            <w:tcW w:w="693" w:type="dxa"/>
          </w:tcPr>
          <w:p>
            <w:pPr>
              <w:pStyle w:val="TableParagraph"/>
              <w:spacing w:before="19"/>
              <w:ind w:right="16"/>
              <w:jc w:val="right"/>
              <w:rPr>
                <w:sz w:val="16"/>
              </w:rPr>
            </w:pPr>
            <w:r>
              <w:rPr>
                <w:spacing w:val="-2"/>
                <w:w w:val="105"/>
                <w:sz w:val="16"/>
              </w:rPr>
              <w:t>640,859</w:t>
            </w:r>
          </w:p>
        </w:tc>
      </w:tr>
      <w:tr>
        <w:trPr>
          <w:trHeight w:val="237" w:hRule="atLeast"/>
        </w:trPr>
        <w:tc>
          <w:tcPr>
            <w:tcW w:w="2125" w:type="dxa"/>
          </w:tcPr>
          <w:p>
            <w:pPr>
              <w:pStyle w:val="TableParagraph"/>
              <w:rPr>
                <w:sz w:val="14"/>
              </w:rPr>
            </w:pPr>
          </w:p>
        </w:tc>
        <w:tc>
          <w:tcPr>
            <w:tcW w:w="1091" w:type="dxa"/>
          </w:tcPr>
          <w:p>
            <w:pPr>
              <w:pStyle w:val="TableParagraph"/>
              <w:spacing w:before="32"/>
              <w:ind w:left="8"/>
              <w:rPr>
                <w:sz w:val="16"/>
              </w:rPr>
            </w:pPr>
            <w:r>
              <w:rPr>
                <w:spacing w:val="-2"/>
                <w:w w:val="105"/>
                <w:sz w:val="16"/>
              </w:rPr>
              <w:t>05/21/2021</w:t>
            </w:r>
          </w:p>
        </w:tc>
        <w:tc>
          <w:tcPr>
            <w:tcW w:w="1035" w:type="dxa"/>
          </w:tcPr>
          <w:p>
            <w:pPr>
              <w:pStyle w:val="TableParagraph"/>
              <w:spacing w:before="32"/>
              <w:ind w:right="96"/>
              <w:jc w:val="center"/>
              <w:rPr>
                <w:sz w:val="16"/>
              </w:rPr>
            </w:pPr>
            <w:r>
              <w:rPr>
                <w:w w:val="104"/>
                <w:sz w:val="16"/>
              </w:rPr>
              <w:t>—</w:t>
            </w:r>
          </w:p>
        </w:tc>
        <w:tc>
          <w:tcPr>
            <w:tcW w:w="960" w:type="dxa"/>
          </w:tcPr>
          <w:p>
            <w:pPr>
              <w:pStyle w:val="TableParagraph"/>
              <w:spacing w:before="32"/>
              <w:ind w:right="31"/>
              <w:jc w:val="center"/>
              <w:rPr>
                <w:sz w:val="16"/>
              </w:rPr>
            </w:pPr>
            <w:r>
              <w:rPr>
                <w:w w:val="104"/>
                <w:sz w:val="16"/>
              </w:rPr>
              <w:t>—</w:t>
            </w:r>
          </w:p>
        </w:tc>
        <w:tc>
          <w:tcPr>
            <w:tcW w:w="468" w:type="dxa"/>
          </w:tcPr>
          <w:p>
            <w:pPr>
              <w:pStyle w:val="TableParagraph"/>
              <w:spacing w:before="32"/>
              <w:ind w:right="4"/>
              <w:jc w:val="right"/>
              <w:rPr>
                <w:sz w:val="16"/>
              </w:rPr>
            </w:pPr>
            <w:r>
              <w:rPr>
                <w:w w:val="104"/>
                <w:sz w:val="16"/>
              </w:rPr>
              <w:t>—</w:t>
            </w:r>
          </w:p>
        </w:tc>
        <w:tc>
          <w:tcPr>
            <w:tcW w:w="253" w:type="dxa"/>
          </w:tcPr>
          <w:p>
            <w:pPr>
              <w:pStyle w:val="TableParagraph"/>
              <w:rPr>
                <w:sz w:val="14"/>
              </w:rPr>
            </w:pPr>
          </w:p>
        </w:tc>
        <w:tc>
          <w:tcPr>
            <w:tcW w:w="770" w:type="dxa"/>
          </w:tcPr>
          <w:p>
            <w:pPr>
              <w:pStyle w:val="TableParagraph"/>
              <w:spacing w:before="32"/>
              <w:ind w:right="6"/>
              <w:jc w:val="right"/>
              <w:rPr>
                <w:sz w:val="16"/>
              </w:rPr>
            </w:pPr>
            <w:r>
              <w:rPr>
                <w:w w:val="104"/>
                <w:sz w:val="16"/>
              </w:rPr>
              <w:t>—</w:t>
            </w:r>
          </w:p>
        </w:tc>
        <w:tc>
          <w:tcPr>
            <w:tcW w:w="225" w:type="dxa"/>
          </w:tcPr>
          <w:p>
            <w:pPr>
              <w:pStyle w:val="TableParagraph"/>
              <w:rPr>
                <w:sz w:val="14"/>
              </w:rPr>
            </w:pPr>
          </w:p>
        </w:tc>
        <w:tc>
          <w:tcPr>
            <w:tcW w:w="889" w:type="dxa"/>
          </w:tcPr>
          <w:p>
            <w:pPr>
              <w:pStyle w:val="TableParagraph"/>
              <w:spacing w:before="32"/>
              <w:ind w:left="-1961" w:right="118"/>
              <w:jc w:val="right"/>
              <w:rPr>
                <w:sz w:val="16"/>
              </w:rPr>
            </w:pPr>
            <w:r>
              <w:rPr>
                <w:spacing w:val="-2"/>
                <w:w w:val="105"/>
                <w:sz w:val="16"/>
              </w:rPr>
              <w:t>7,378</w:t>
            </w:r>
            <w:r>
              <w:rPr>
                <w:spacing w:val="-2"/>
                <w:w w:val="105"/>
                <w:sz w:val="16"/>
                <w:vertAlign w:val="superscript"/>
              </w:rPr>
              <w:t>(21)</w:t>
            </w:r>
          </w:p>
        </w:tc>
        <w:tc>
          <w:tcPr>
            <w:tcW w:w="693" w:type="dxa"/>
          </w:tcPr>
          <w:p>
            <w:pPr>
              <w:pStyle w:val="TableParagraph"/>
              <w:spacing w:before="32"/>
              <w:ind w:right="16"/>
              <w:jc w:val="right"/>
              <w:rPr>
                <w:sz w:val="16"/>
              </w:rPr>
            </w:pPr>
            <w:r>
              <w:rPr>
                <w:spacing w:val="-2"/>
                <w:w w:val="105"/>
                <w:sz w:val="16"/>
              </w:rPr>
              <w:t>155,971</w:t>
            </w:r>
          </w:p>
        </w:tc>
      </w:tr>
      <w:tr>
        <w:trPr>
          <w:trHeight w:val="236" w:hRule="atLeast"/>
        </w:trPr>
        <w:tc>
          <w:tcPr>
            <w:tcW w:w="2125" w:type="dxa"/>
            <w:tcBorders>
              <w:bottom w:val="single" w:sz="6" w:space="0" w:color="CCEDFF"/>
            </w:tcBorders>
          </w:tcPr>
          <w:p>
            <w:pPr>
              <w:pStyle w:val="TableParagraph"/>
              <w:rPr>
                <w:sz w:val="14"/>
              </w:rPr>
            </w:pPr>
          </w:p>
        </w:tc>
        <w:tc>
          <w:tcPr>
            <w:tcW w:w="1091" w:type="dxa"/>
            <w:tcBorders>
              <w:bottom w:val="single" w:sz="6" w:space="0" w:color="CCEDFF"/>
            </w:tcBorders>
          </w:tcPr>
          <w:p>
            <w:pPr>
              <w:pStyle w:val="TableParagraph"/>
              <w:spacing w:before="32"/>
              <w:ind w:left="8"/>
              <w:rPr>
                <w:sz w:val="16"/>
              </w:rPr>
            </w:pPr>
            <w:r>
              <w:rPr>
                <w:spacing w:val="-2"/>
                <w:w w:val="105"/>
                <w:sz w:val="16"/>
              </w:rPr>
              <w:t>12/10/2021</w:t>
            </w:r>
          </w:p>
        </w:tc>
        <w:tc>
          <w:tcPr>
            <w:tcW w:w="1035" w:type="dxa"/>
            <w:tcBorders>
              <w:bottom w:val="single" w:sz="6" w:space="0" w:color="CCEDFF"/>
            </w:tcBorders>
          </w:tcPr>
          <w:p>
            <w:pPr>
              <w:pStyle w:val="TableParagraph"/>
              <w:spacing w:before="32"/>
              <w:ind w:right="96"/>
              <w:jc w:val="center"/>
              <w:rPr>
                <w:sz w:val="16"/>
              </w:rPr>
            </w:pPr>
            <w:r>
              <w:rPr>
                <w:w w:val="104"/>
                <w:sz w:val="16"/>
              </w:rPr>
              <w:t>—</w:t>
            </w:r>
          </w:p>
        </w:tc>
        <w:tc>
          <w:tcPr>
            <w:tcW w:w="960" w:type="dxa"/>
            <w:tcBorders>
              <w:bottom w:val="single" w:sz="6" w:space="0" w:color="CCEDFF"/>
            </w:tcBorders>
          </w:tcPr>
          <w:p>
            <w:pPr>
              <w:pStyle w:val="TableParagraph"/>
              <w:spacing w:before="32"/>
              <w:ind w:right="31"/>
              <w:jc w:val="center"/>
              <w:rPr>
                <w:sz w:val="16"/>
              </w:rPr>
            </w:pPr>
            <w:r>
              <w:rPr>
                <w:w w:val="104"/>
                <w:sz w:val="16"/>
              </w:rPr>
              <w:t>—</w:t>
            </w:r>
          </w:p>
        </w:tc>
        <w:tc>
          <w:tcPr>
            <w:tcW w:w="468" w:type="dxa"/>
            <w:tcBorders>
              <w:bottom w:val="single" w:sz="6" w:space="0" w:color="000000"/>
            </w:tcBorders>
          </w:tcPr>
          <w:p>
            <w:pPr>
              <w:pStyle w:val="TableParagraph"/>
              <w:spacing w:before="32"/>
              <w:ind w:right="4"/>
              <w:jc w:val="right"/>
              <w:rPr>
                <w:sz w:val="16"/>
              </w:rPr>
            </w:pPr>
            <w:r>
              <w:rPr>
                <w:w w:val="104"/>
                <w:sz w:val="16"/>
              </w:rPr>
              <w:t>—</w:t>
            </w:r>
          </w:p>
        </w:tc>
        <w:tc>
          <w:tcPr>
            <w:tcW w:w="253" w:type="dxa"/>
            <w:tcBorders>
              <w:bottom w:val="single" w:sz="6" w:space="0" w:color="CCEDFF"/>
            </w:tcBorders>
          </w:tcPr>
          <w:p>
            <w:pPr>
              <w:pStyle w:val="TableParagraph"/>
              <w:rPr>
                <w:sz w:val="14"/>
              </w:rPr>
            </w:pPr>
          </w:p>
        </w:tc>
        <w:tc>
          <w:tcPr>
            <w:tcW w:w="770" w:type="dxa"/>
            <w:tcBorders>
              <w:bottom w:val="single" w:sz="6" w:space="0" w:color="000000"/>
            </w:tcBorders>
          </w:tcPr>
          <w:p>
            <w:pPr>
              <w:pStyle w:val="TableParagraph"/>
              <w:spacing w:before="32"/>
              <w:ind w:right="6"/>
              <w:jc w:val="right"/>
              <w:rPr>
                <w:sz w:val="16"/>
              </w:rPr>
            </w:pPr>
            <w:r>
              <w:rPr>
                <w:w w:val="104"/>
                <w:sz w:val="16"/>
              </w:rPr>
              <w:t>—</w:t>
            </w:r>
          </w:p>
        </w:tc>
        <w:tc>
          <w:tcPr>
            <w:tcW w:w="225" w:type="dxa"/>
            <w:tcBorders>
              <w:bottom w:val="single" w:sz="6" w:space="0" w:color="CCEDFF"/>
            </w:tcBorders>
          </w:tcPr>
          <w:p>
            <w:pPr>
              <w:pStyle w:val="TableParagraph"/>
              <w:rPr>
                <w:sz w:val="14"/>
              </w:rPr>
            </w:pPr>
          </w:p>
        </w:tc>
        <w:tc>
          <w:tcPr>
            <w:tcW w:w="889" w:type="dxa"/>
            <w:tcBorders>
              <w:bottom w:val="single" w:sz="6" w:space="0" w:color="000000"/>
            </w:tcBorders>
          </w:tcPr>
          <w:p>
            <w:pPr>
              <w:pStyle w:val="TableParagraph"/>
              <w:spacing w:before="32"/>
              <w:ind w:left="-1961" w:right="118"/>
              <w:jc w:val="right"/>
              <w:rPr>
                <w:sz w:val="16"/>
              </w:rPr>
            </w:pPr>
            <w:r>
              <w:rPr>
                <w:spacing w:val="-2"/>
                <w:w w:val="105"/>
                <w:sz w:val="16"/>
              </w:rPr>
              <w:t>14,125</w:t>
            </w:r>
            <w:r>
              <w:rPr>
                <w:spacing w:val="-2"/>
                <w:w w:val="105"/>
                <w:sz w:val="16"/>
                <w:vertAlign w:val="superscript"/>
              </w:rPr>
              <w:t>(22)</w:t>
            </w:r>
          </w:p>
        </w:tc>
        <w:tc>
          <w:tcPr>
            <w:tcW w:w="693" w:type="dxa"/>
            <w:tcBorders>
              <w:bottom w:val="single" w:sz="6" w:space="0" w:color="000000"/>
            </w:tcBorders>
          </w:tcPr>
          <w:p>
            <w:pPr>
              <w:pStyle w:val="TableParagraph"/>
              <w:spacing w:before="32"/>
              <w:ind w:right="16"/>
              <w:jc w:val="right"/>
              <w:rPr>
                <w:sz w:val="16"/>
              </w:rPr>
            </w:pPr>
            <w:r>
              <w:rPr>
                <w:spacing w:val="-2"/>
                <w:w w:val="105"/>
                <w:sz w:val="16"/>
              </w:rPr>
              <w:t>298,603</w:t>
            </w:r>
          </w:p>
        </w:tc>
      </w:tr>
      <w:tr>
        <w:trPr>
          <w:trHeight w:val="250" w:hRule="atLeast"/>
        </w:trPr>
        <w:tc>
          <w:tcPr>
            <w:tcW w:w="2125" w:type="dxa"/>
            <w:tcBorders>
              <w:top w:val="single" w:sz="6" w:space="0" w:color="CCEDFF"/>
            </w:tcBorders>
          </w:tcPr>
          <w:p>
            <w:pPr>
              <w:pStyle w:val="TableParagraph"/>
              <w:rPr>
                <w:sz w:val="14"/>
              </w:rPr>
            </w:pPr>
          </w:p>
        </w:tc>
        <w:tc>
          <w:tcPr>
            <w:tcW w:w="1091" w:type="dxa"/>
            <w:tcBorders>
              <w:top w:val="single" w:sz="6" w:space="0" w:color="CCEDFF"/>
            </w:tcBorders>
          </w:tcPr>
          <w:p>
            <w:pPr>
              <w:pStyle w:val="TableParagraph"/>
              <w:spacing w:before="32"/>
              <w:ind w:left="405"/>
              <w:rPr>
                <w:b/>
                <w:sz w:val="16"/>
              </w:rPr>
            </w:pPr>
            <w:r>
              <w:rPr>
                <w:b/>
                <w:spacing w:val="-2"/>
                <w:w w:val="105"/>
                <w:sz w:val="16"/>
              </w:rPr>
              <w:t>Total</w:t>
            </w:r>
          </w:p>
        </w:tc>
        <w:tc>
          <w:tcPr>
            <w:tcW w:w="1035" w:type="dxa"/>
            <w:tcBorders>
              <w:top w:val="single" w:sz="6" w:space="0" w:color="CCEDFF"/>
            </w:tcBorders>
          </w:tcPr>
          <w:p>
            <w:pPr>
              <w:pStyle w:val="TableParagraph"/>
              <w:spacing w:before="32"/>
              <w:ind w:left="91"/>
              <w:rPr>
                <w:b/>
                <w:sz w:val="16"/>
              </w:rPr>
            </w:pPr>
            <w:r>
              <w:rPr>
                <w:b/>
                <w:spacing w:val="-2"/>
                <w:w w:val="105"/>
                <w:sz w:val="16"/>
              </w:rPr>
              <w:t>89,692</w:t>
            </w:r>
          </w:p>
        </w:tc>
        <w:tc>
          <w:tcPr>
            <w:tcW w:w="960" w:type="dxa"/>
            <w:tcBorders>
              <w:top w:val="single" w:sz="6" w:space="0" w:color="CCEDFF"/>
            </w:tcBorders>
          </w:tcPr>
          <w:p>
            <w:pPr>
              <w:pStyle w:val="TableParagraph"/>
              <w:spacing w:before="32"/>
              <w:ind w:left="1"/>
              <w:rPr>
                <w:b/>
                <w:sz w:val="16"/>
              </w:rPr>
            </w:pPr>
            <w:r>
              <w:rPr>
                <w:b/>
                <w:spacing w:val="-2"/>
                <w:w w:val="105"/>
                <w:sz w:val="16"/>
              </w:rPr>
              <w:t>121,789</w:t>
            </w:r>
          </w:p>
        </w:tc>
        <w:tc>
          <w:tcPr>
            <w:tcW w:w="468" w:type="dxa"/>
            <w:tcBorders>
              <w:top w:val="single" w:sz="6" w:space="0" w:color="000000"/>
              <w:bottom w:val="single" w:sz="6" w:space="0" w:color="000000"/>
            </w:tcBorders>
          </w:tcPr>
          <w:p>
            <w:pPr>
              <w:pStyle w:val="TableParagraph"/>
              <w:rPr>
                <w:sz w:val="14"/>
              </w:rPr>
            </w:pPr>
          </w:p>
        </w:tc>
        <w:tc>
          <w:tcPr>
            <w:tcW w:w="253" w:type="dxa"/>
            <w:tcBorders>
              <w:top w:val="single" w:sz="6" w:space="0" w:color="CCEDFF"/>
            </w:tcBorders>
          </w:tcPr>
          <w:p>
            <w:pPr>
              <w:pStyle w:val="TableParagraph"/>
              <w:rPr>
                <w:sz w:val="14"/>
              </w:rPr>
            </w:pPr>
          </w:p>
        </w:tc>
        <w:tc>
          <w:tcPr>
            <w:tcW w:w="770" w:type="dxa"/>
            <w:tcBorders>
              <w:top w:val="single" w:sz="6" w:space="0" w:color="000000"/>
              <w:bottom w:val="single" w:sz="6" w:space="0" w:color="000000"/>
            </w:tcBorders>
          </w:tcPr>
          <w:p>
            <w:pPr>
              <w:pStyle w:val="TableParagraph"/>
              <w:rPr>
                <w:sz w:val="14"/>
              </w:rPr>
            </w:pPr>
          </w:p>
        </w:tc>
        <w:tc>
          <w:tcPr>
            <w:tcW w:w="225" w:type="dxa"/>
            <w:tcBorders>
              <w:top w:val="single" w:sz="6" w:space="0" w:color="CCEDFF"/>
            </w:tcBorders>
          </w:tcPr>
          <w:p>
            <w:pPr>
              <w:pStyle w:val="TableParagraph"/>
              <w:rPr>
                <w:sz w:val="14"/>
              </w:rPr>
            </w:pPr>
          </w:p>
        </w:tc>
        <w:tc>
          <w:tcPr>
            <w:tcW w:w="889" w:type="dxa"/>
            <w:tcBorders>
              <w:top w:val="single" w:sz="6" w:space="0" w:color="000000"/>
            </w:tcBorders>
          </w:tcPr>
          <w:p>
            <w:pPr>
              <w:pStyle w:val="TableParagraph"/>
              <w:spacing w:before="32"/>
              <w:ind w:left="136"/>
              <w:rPr>
                <w:b/>
                <w:sz w:val="16"/>
              </w:rPr>
            </w:pPr>
            <w:r>
              <w:rPr>
                <w:b/>
                <w:spacing w:val="-2"/>
                <w:w w:val="105"/>
                <w:sz w:val="16"/>
              </w:rPr>
              <w:t>51,818</w:t>
            </w:r>
          </w:p>
        </w:tc>
        <w:tc>
          <w:tcPr>
            <w:tcW w:w="693" w:type="dxa"/>
            <w:tcBorders>
              <w:top w:val="single" w:sz="6" w:space="0" w:color="000000"/>
              <w:bottom w:val="single" w:sz="6" w:space="0" w:color="000000"/>
            </w:tcBorders>
          </w:tcPr>
          <w:p>
            <w:pPr>
              <w:pStyle w:val="TableParagraph"/>
              <w:spacing w:before="32"/>
              <w:ind w:right="16"/>
              <w:jc w:val="right"/>
              <w:rPr>
                <w:b/>
                <w:sz w:val="16"/>
              </w:rPr>
            </w:pPr>
            <w:r>
              <w:rPr>
                <w:b/>
                <w:spacing w:val="-2"/>
                <w:w w:val="105"/>
                <w:sz w:val="16"/>
              </w:rPr>
              <w:t>1,095,433</w:t>
            </w:r>
          </w:p>
        </w:tc>
      </w:tr>
      <w:tr>
        <w:trPr>
          <w:trHeight w:val="222" w:hRule="atLeast"/>
        </w:trPr>
        <w:tc>
          <w:tcPr>
            <w:tcW w:w="2125" w:type="dxa"/>
          </w:tcPr>
          <w:p>
            <w:pPr>
              <w:pStyle w:val="TableParagraph"/>
              <w:spacing w:before="18"/>
              <w:rPr>
                <w:sz w:val="16"/>
              </w:rPr>
            </w:pPr>
            <w:r>
              <w:rPr>
                <w:w w:val="105"/>
                <w:sz w:val="16"/>
              </w:rPr>
              <w:t>Kimberley</w:t>
            </w:r>
            <w:r>
              <w:rPr>
                <w:spacing w:val="15"/>
                <w:w w:val="105"/>
                <w:sz w:val="16"/>
              </w:rPr>
              <w:t> </w:t>
            </w:r>
            <w:r>
              <w:rPr>
                <w:w w:val="105"/>
                <w:sz w:val="16"/>
              </w:rPr>
              <w:t>E.</w:t>
            </w:r>
            <w:r>
              <w:rPr>
                <w:spacing w:val="15"/>
                <w:w w:val="105"/>
                <w:sz w:val="16"/>
              </w:rPr>
              <w:t> </w:t>
            </w:r>
            <w:r>
              <w:rPr>
                <w:spacing w:val="-2"/>
                <w:w w:val="105"/>
                <w:sz w:val="16"/>
              </w:rPr>
              <w:t>Honeysett</w:t>
            </w:r>
          </w:p>
        </w:tc>
        <w:tc>
          <w:tcPr>
            <w:tcW w:w="1091" w:type="dxa"/>
          </w:tcPr>
          <w:p>
            <w:pPr>
              <w:pStyle w:val="TableParagraph"/>
              <w:spacing w:before="18"/>
              <w:ind w:left="91"/>
              <w:rPr>
                <w:sz w:val="16"/>
              </w:rPr>
            </w:pPr>
            <w:r>
              <w:rPr>
                <w:spacing w:val="-2"/>
                <w:w w:val="105"/>
                <w:sz w:val="16"/>
              </w:rPr>
              <w:t>2/12/2016</w:t>
            </w:r>
          </w:p>
        </w:tc>
        <w:tc>
          <w:tcPr>
            <w:tcW w:w="1035" w:type="dxa"/>
          </w:tcPr>
          <w:p>
            <w:pPr>
              <w:pStyle w:val="TableParagraph"/>
              <w:spacing w:line="20" w:lineRule="exact"/>
              <w:ind w:left="-1"/>
              <w:rPr>
                <w:sz w:val="2"/>
              </w:rPr>
            </w:pPr>
            <w:r>
              <w:rPr>
                <w:sz w:val="2"/>
              </w:rPr>
              <w:pict>
                <v:group style="width:28pt;height:.7pt;mso-position-horizontal-relative:char;mso-position-vertical-relative:line" id="docshapegroup404" coordorigin="0,0" coordsize="560,14">
                  <v:rect style="position:absolute;left:0;top:0;width:560;height:14" id="docshape405" filled="true" fillcolor="#000000" stroked="false">
                    <v:fill type="solid"/>
                  </v:rect>
                </v:group>
              </w:pict>
            </w:r>
            <w:r>
              <w:rPr>
                <w:sz w:val="2"/>
              </w:rPr>
            </w:r>
          </w:p>
          <w:p>
            <w:pPr>
              <w:pStyle w:val="TableParagraph"/>
              <w:ind w:right="360"/>
              <w:jc w:val="right"/>
              <w:rPr>
                <w:sz w:val="16"/>
              </w:rPr>
            </w:pPr>
            <w:r>
              <w:rPr>
                <w:spacing w:val="-2"/>
                <w:w w:val="105"/>
                <w:sz w:val="16"/>
              </w:rPr>
              <w:t>9,189</w:t>
            </w:r>
            <w:r>
              <w:rPr>
                <w:spacing w:val="-2"/>
                <w:w w:val="105"/>
                <w:sz w:val="16"/>
                <w:vertAlign w:val="superscript"/>
              </w:rPr>
              <w:t>(4)</w:t>
            </w:r>
          </w:p>
        </w:tc>
        <w:tc>
          <w:tcPr>
            <w:tcW w:w="960" w:type="dxa"/>
          </w:tcPr>
          <w:p>
            <w:pPr>
              <w:pStyle w:val="TableParagraph"/>
              <w:spacing w:line="20" w:lineRule="exact"/>
              <w:ind w:left="-2"/>
              <w:rPr>
                <w:sz w:val="2"/>
              </w:rPr>
            </w:pPr>
            <w:r>
              <w:rPr>
                <w:sz w:val="2"/>
              </w:rPr>
              <w:pict>
                <v:group style="width:27.3pt;height:.7pt;mso-position-horizontal-relative:char;mso-position-vertical-relative:line" id="docshapegroup406" coordorigin="0,0" coordsize="546,14">
                  <v:rect style="position:absolute;left:0;top:0;width:546;height:14" id="docshape407" filled="true" fillcolor="#000000" stroked="false">
                    <v:fill type="solid"/>
                  </v:rect>
                </v:group>
              </w:pict>
            </w:r>
            <w:r>
              <w:rPr>
                <w:sz w:val="2"/>
              </w:rPr>
            </w:r>
          </w:p>
          <w:p>
            <w:pPr>
              <w:pStyle w:val="TableParagraph"/>
              <w:ind w:right="31"/>
              <w:jc w:val="center"/>
              <w:rPr>
                <w:sz w:val="16"/>
              </w:rPr>
            </w:pPr>
            <w:r>
              <w:rPr>
                <w:w w:val="104"/>
                <w:sz w:val="16"/>
              </w:rPr>
              <w:t>—</w:t>
            </w:r>
          </w:p>
        </w:tc>
        <w:tc>
          <w:tcPr>
            <w:tcW w:w="468" w:type="dxa"/>
            <w:tcBorders>
              <w:top w:val="single" w:sz="6" w:space="0" w:color="000000"/>
            </w:tcBorders>
          </w:tcPr>
          <w:p>
            <w:pPr>
              <w:pStyle w:val="TableParagraph"/>
              <w:spacing w:before="18"/>
              <w:ind w:left="-2" w:right="4"/>
              <w:jc w:val="right"/>
              <w:rPr>
                <w:sz w:val="16"/>
              </w:rPr>
            </w:pPr>
            <w:r>
              <w:rPr>
                <w:spacing w:val="-2"/>
                <w:w w:val="105"/>
                <w:sz w:val="16"/>
              </w:rPr>
              <w:t>$25.17</w:t>
            </w:r>
          </w:p>
        </w:tc>
        <w:tc>
          <w:tcPr>
            <w:tcW w:w="253" w:type="dxa"/>
          </w:tcPr>
          <w:p>
            <w:pPr>
              <w:pStyle w:val="TableParagraph"/>
              <w:rPr>
                <w:sz w:val="14"/>
              </w:rPr>
            </w:pPr>
          </w:p>
        </w:tc>
        <w:tc>
          <w:tcPr>
            <w:tcW w:w="770" w:type="dxa"/>
            <w:tcBorders>
              <w:top w:val="single" w:sz="6" w:space="0" w:color="000000"/>
            </w:tcBorders>
          </w:tcPr>
          <w:p>
            <w:pPr>
              <w:pStyle w:val="TableParagraph"/>
              <w:spacing w:before="18"/>
              <w:ind w:left="-2" w:right="6"/>
              <w:jc w:val="right"/>
              <w:rPr>
                <w:sz w:val="16"/>
              </w:rPr>
            </w:pPr>
            <w:r>
              <w:rPr>
                <w:spacing w:val="-2"/>
                <w:w w:val="105"/>
                <w:sz w:val="16"/>
              </w:rPr>
              <w:t>2/12/2023</w:t>
            </w:r>
          </w:p>
        </w:tc>
        <w:tc>
          <w:tcPr>
            <w:tcW w:w="225" w:type="dxa"/>
          </w:tcPr>
          <w:p>
            <w:pPr>
              <w:pStyle w:val="TableParagraph"/>
              <w:rPr>
                <w:sz w:val="14"/>
              </w:rPr>
            </w:pPr>
          </w:p>
        </w:tc>
        <w:tc>
          <w:tcPr>
            <w:tcW w:w="889" w:type="dxa"/>
          </w:tcPr>
          <w:p>
            <w:pPr>
              <w:pStyle w:val="TableParagraph"/>
              <w:spacing w:line="20" w:lineRule="exact"/>
              <w:ind w:left="48"/>
              <w:rPr>
                <w:sz w:val="2"/>
              </w:rPr>
            </w:pPr>
            <w:r>
              <w:rPr>
                <w:sz w:val="2"/>
              </w:rPr>
              <w:pict>
                <v:group style="width:27.3pt;height:.7pt;mso-position-horizontal-relative:char;mso-position-vertical-relative:line" id="docshapegroup408" coordorigin="0,0" coordsize="546,14">
                  <v:rect style="position:absolute;left:0;top:0;width:546;height:14" id="docshape409" filled="true" fillcolor="#000000" stroked="false">
                    <v:fill type="solid"/>
                  </v:rect>
                </v:group>
              </w:pict>
            </w:r>
            <w:r>
              <w:rPr>
                <w:sz w:val="2"/>
              </w:rPr>
            </w:r>
          </w:p>
          <w:p>
            <w:pPr>
              <w:pStyle w:val="TableParagraph"/>
              <w:ind w:left="429"/>
              <w:rPr>
                <w:sz w:val="16"/>
              </w:rPr>
            </w:pPr>
            <w:r>
              <w:rPr>
                <w:w w:val="104"/>
                <w:sz w:val="16"/>
              </w:rPr>
              <w:t>—</w:t>
            </w:r>
          </w:p>
        </w:tc>
        <w:tc>
          <w:tcPr>
            <w:tcW w:w="693" w:type="dxa"/>
            <w:tcBorders>
              <w:top w:val="single" w:sz="6" w:space="0" w:color="000000"/>
            </w:tcBorders>
          </w:tcPr>
          <w:p>
            <w:pPr>
              <w:pStyle w:val="TableParagraph"/>
              <w:spacing w:before="18"/>
              <w:ind w:right="16"/>
              <w:jc w:val="right"/>
              <w:rPr>
                <w:sz w:val="16"/>
              </w:rPr>
            </w:pPr>
            <w:r>
              <w:rPr>
                <w:w w:val="104"/>
                <w:sz w:val="16"/>
              </w:rPr>
              <w:t>—</w:t>
            </w:r>
          </w:p>
        </w:tc>
      </w:tr>
      <w:tr>
        <w:trPr>
          <w:trHeight w:val="223" w:hRule="atLeast"/>
        </w:trPr>
        <w:tc>
          <w:tcPr>
            <w:tcW w:w="2125" w:type="dxa"/>
          </w:tcPr>
          <w:p>
            <w:pPr>
              <w:pStyle w:val="TableParagraph"/>
              <w:rPr>
                <w:sz w:val="14"/>
              </w:rPr>
            </w:pPr>
          </w:p>
        </w:tc>
        <w:tc>
          <w:tcPr>
            <w:tcW w:w="1091" w:type="dxa"/>
          </w:tcPr>
          <w:p>
            <w:pPr>
              <w:pStyle w:val="TableParagraph"/>
              <w:spacing w:before="19"/>
              <w:ind w:left="91"/>
              <w:rPr>
                <w:sz w:val="16"/>
              </w:rPr>
            </w:pPr>
            <w:r>
              <w:rPr>
                <w:spacing w:val="-2"/>
                <w:w w:val="105"/>
                <w:sz w:val="16"/>
              </w:rPr>
              <w:t>2/16/2017</w:t>
            </w:r>
          </w:p>
        </w:tc>
        <w:tc>
          <w:tcPr>
            <w:tcW w:w="1035" w:type="dxa"/>
          </w:tcPr>
          <w:p>
            <w:pPr>
              <w:pStyle w:val="TableParagraph"/>
              <w:spacing w:before="19"/>
              <w:ind w:left="91"/>
              <w:rPr>
                <w:sz w:val="16"/>
              </w:rPr>
            </w:pPr>
            <w:r>
              <w:rPr>
                <w:spacing w:val="-2"/>
                <w:w w:val="105"/>
                <w:sz w:val="16"/>
              </w:rPr>
              <w:t>55,357</w:t>
            </w:r>
            <w:r>
              <w:rPr>
                <w:spacing w:val="-2"/>
                <w:w w:val="105"/>
                <w:sz w:val="16"/>
                <w:vertAlign w:val="superscript"/>
              </w:rPr>
              <w:t>(7)</w:t>
            </w:r>
          </w:p>
        </w:tc>
        <w:tc>
          <w:tcPr>
            <w:tcW w:w="960" w:type="dxa"/>
          </w:tcPr>
          <w:p>
            <w:pPr>
              <w:pStyle w:val="TableParagraph"/>
              <w:spacing w:before="19"/>
              <w:ind w:right="31"/>
              <w:jc w:val="center"/>
              <w:rPr>
                <w:sz w:val="16"/>
              </w:rPr>
            </w:pPr>
            <w:r>
              <w:rPr>
                <w:w w:val="104"/>
                <w:sz w:val="16"/>
              </w:rPr>
              <w:t>—</w:t>
            </w:r>
          </w:p>
        </w:tc>
        <w:tc>
          <w:tcPr>
            <w:tcW w:w="468" w:type="dxa"/>
          </w:tcPr>
          <w:p>
            <w:pPr>
              <w:pStyle w:val="TableParagraph"/>
              <w:spacing w:before="19"/>
              <w:ind w:left="-2" w:right="4"/>
              <w:jc w:val="right"/>
              <w:rPr>
                <w:sz w:val="16"/>
              </w:rPr>
            </w:pPr>
            <w:r>
              <w:rPr>
                <w:spacing w:val="-2"/>
                <w:w w:val="105"/>
                <w:sz w:val="16"/>
              </w:rPr>
              <w:t>$31.08</w:t>
            </w:r>
          </w:p>
        </w:tc>
        <w:tc>
          <w:tcPr>
            <w:tcW w:w="253" w:type="dxa"/>
          </w:tcPr>
          <w:p>
            <w:pPr>
              <w:pStyle w:val="TableParagraph"/>
              <w:rPr>
                <w:sz w:val="14"/>
              </w:rPr>
            </w:pPr>
          </w:p>
        </w:tc>
        <w:tc>
          <w:tcPr>
            <w:tcW w:w="770" w:type="dxa"/>
          </w:tcPr>
          <w:p>
            <w:pPr>
              <w:pStyle w:val="TableParagraph"/>
              <w:spacing w:before="19"/>
              <w:ind w:left="-2" w:right="6"/>
              <w:jc w:val="right"/>
              <w:rPr>
                <w:sz w:val="16"/>
              </w:rPr>
            </w:pPr>
            <w:r>
              <w:rPr>
                <w:spacing w:val="-2"/>
                <w:w w:val="105"/>
                <w:sz w:val="16"/>
              </w:rPr>
              <w:t>2/16/2024</w:t>
            </w:r>
          </w:p>
        </w:tc>
        <w:tc>
          <w:tcPr>
            <w:tcW w:w="225" w:type="dxa"/>
          </w:tcPr>
          <w:p>
            <w:pPr>
              <w:pStyle w:val="TableParagraph"/>
              <w:rPr>
                <w:sz w:val="14"/>
              </w:rPr>
            </w:pPr>
          </w:p>
        </w:tc>
        <w:tc>
          <w:tcPr>
            <w:tcW w:w="889" w:type="dxa"/>
          </w:tcPr>
          <w:p>
            <w:pPr>
              <w:pStyle w:val="TableParagraph"/>
              <w:spacing w:before="19"/>
              <w:ind w:left="429"/>
              <w:rPr>
                <w:sz w:val="16"/>
              </w:rPr>
            </w:pPr>
            <w:r>
              <w:rPr>
                <w:w w:val="104"/>
                <w:sz w:val="16"/>
              </w:rPr>
              <w:t>—</w:t>
            </w:r>
          </w:p>
        </w:tc>
        <w:tc>
          <w:tcPr>
            <w:tcW w:w="693" w:type="dxa"/>
          </w:tcPr>
          <w:p>
            <w:pPr>
              <w:pStyle w:val="TableParagraph"/>
              <w:spacing w:before="19"/>
              <w:ind w:right="16"/>
              <w:jc w:val="right"/>
              <w:rPr>
                <w:sz w:val="16"/>
              </w:rPr>
            </w:pPr>
            <w:r>
              <w:rPr>
                <w:w w:val="104"/>
                <w:sz w:val="16"/>
              </w:rPr>
              <w:t>—</w:t>
            </w:r>
          </w:p>
        </w:tc>
      </w:tr>
      <w:tr>
        <w:trPr>
          <w:trHeight w:val="224" w:hRule="atLeast"/>
        </w:trPr>
        <w:tc>
          <w:tcPr>
            <w:tcW w:w="2125" w:type="dxa"/>
          </w:tcPr>
          <w:p>
            <w:pPr>
              <w:pStyle w:val="TableParagraph"/>
              <w:rPr>
                <w:sz w:val="14"/>
              </w:rPr>
            </w:pPr>
          </w:p>
        </w:tc>
        <w:tc>
          <w:tcPr>
            <w:tcW w:w="1091" w:type="dxa"/>
          </w:tcPr>
          <w:p>
            <w:pPr>
              <w:pStyle w:val="TableParagraph"/>
              <w:spacing w:before="19"/>
              <w:ind w:left="91"/>
              <w:rPr>
                <w:sz w:val="16"/>
              </w:rPr>
            </w:pPr>
            <w:r>
              <w:rPr>
                <w:spacing w:val="-2"/>
                <w:w w:val="105"/>
                <w:sz w:val="16"/>
              </w:rPr>
              <w:t>2/15/2018</w:t>
            </w:r>
          </w:p>
        </w:tc>
        <w:tc>
          <w:tcPr>
            <w:tcW w:w="1035" w:type="dxa"/>
          </w:tcPr>
          <w:p>
            <w:pPr>
              <w:pStyle w:val="TableParagraph"/>
              <w:spacing w:before="19"/>
              <w:ind w:left="91"/>
              <w:rPr>
                <w:sz w:val="16"/>
              </w:rPr>
            </w:pPr>
            <w:r>
              <w:rPr>
                <w:spacing w:val="-2"/>
                <w:w w:val="105"/>
                <w:sz w:val="16"/>
              </w:rPr>
              <w:t>13,875</w:t>
            </w:r>
            <w:r>
              <w:rPr>
                <w:spacing w:val="-2"/>
                <w:w w:val="105"/>
                <w:sz w:val="16"/>
                <w:vertAlign w:val="superscript"/>
              </w:rPr>
              <w:t>(9)</w:t>
            </w:r>
          </w:p>
        </w:tc>
        <w:tc>
          <w:tcPr>
            <w:tcW w:w="960" w:type="dxa"/>
          </w:tcPr>
          <w:p>
            <w:pPr>
              <w:pStyle w:val="TableParagraph"/>
              <w:rPr>
                <w:sz w:val="14"/>
              </w:rPr>
            </w:pPr>
          </w:p>
        </w:tc>
        <w:tc>
          <w:tcPr>
            <w:tcW w:w="468" w:type="dxa"/>
          </w:tcPr>
          <w:p>
            <w:pPr>
              <w:pStyle w:val="TableParagraph"/>
              <w:spacing w:before="19"/>
              <w:ind w:left="-2" w:right="4"/>
              <w:jc w:val="right"/>
              <w:rPr>
                <w:sz w:val="16"/>
              </w:rPr>
            </w:pPr>
            <w:r>
              <w:rPr>
                <w:spacing w:val="-2"/>
                <w:w w:val="105"/>
                <w:sz w:val="16"/>
              </w:rPr>
              <w:t>$37.10</w:t>
            </w:r>
          </w:p>
        </w:tc>
        <w:tc>
          <w:tcPr>
            <w:tcW w:w="253" w:type="dxa"/>
          </w:tcPr>
          <w:p>
            <w:pPr>
              <w:pStyle w:val="TableParagraph"/>
              <w:rPr>
                <w:sz w:val="14"/>
              </w:rPr>
            </w:pPr>
          </w:p>
        </w:tc>
        <w:tc>
          <w:tcPr>
            <w:tcW w:w="770" w:type="dxa"/>
          </w:tcPr>
          <w:p>
            <w:pPr>
              <w:pStyle w:val="TableParagraph"/>
              <w:spacing w:before="19"/>
              <w:ind w:left="-2" w:right="6"/>
              <w:jc w:val="right"/>
              <w:rPr>
                <w:sz w:val="16"/>
              </w:rPr>
            </w:pPr>
            <w:r>
              <w:rPr>
                <w:spacing w:val="-2"/>
                <w:w w:val="105"/>
                <w:sz w:val="16"/>
              </w:rPr>
              <w:t>2/15/2025</w:t>
            </w:r>
          </w:p>
        </w:tc>
        <w:tc>
          <w:tcPr>
            <w:tcW w:w="225" w:type="dxa"/>
          </w:tcPr>
          <w:p>
            <w:pPr>
              <w:pStyle w:val="TableParagraph"/>
              <w:rPr>
                <w:sz w:val="14"/>
              </w:rPr>
            </w:pPr>
          </w:p>
        </w:tc>
        <w:tc>
          <w:tcPr>
            <w:tcW w:w="889" w:type="dxa"/>
          </w:tcPr>
          <w:p>
            <w:pPr>
              <w:pStyle w:val="TableParagraph"/>
              <w:spacing w:before="19"/>
              <w:ind w:left="429"/>
              <w:rPr>
                <w:sz w:val="16"/>
              </w:rPr>
            </w:pPr>
            <w:r>
              <w:rPr>
                <w:w w:val="104"/>
                <w:sz w:val="16"/>
              </w:rPr>
              <w:t>—</w:t>
            </w:r>
          </w:p>
        </w:tc>
        <w:tc>
          <w:tcPr>
            <w:tcW w:w="693" w:type="dxa"/>
          </w:tcPr>
          <w:p>
            <w:pPr>
              <w:pStyle w:val="TableParagraph"/>
              <w:spacing w:before="19"/>
              <w:ind w:right="16"/>
              <w:jc w:val="right"/>
              <w:rPr>
                <w:sz w:val="16"/>
              </w:rPr>
            </w:pPr>
            <w:r>
              <w:rPr>
                <w:w w:val="104"/>
                <w:sz w:val="16"/>
              </w:rPr>
              <w:t>—</w:t>
            </w:r>
          </w:p>
        </w:tc>
      </w:tr>
      <w:tr>
        <w:trPr>
          <w:trHeight w:val="236" w:hRule="atLeast"/>
        </w:trPr>
        <w:tc>
          <w:tcPr>
            <w:tcW w:w="2125" w:type="dxa"/>
          </w:tcPr>
          <w:p>
            <w:pPr>
              <w:pStyle w:val="TableParagraph"/>
              <w:rPr>
                <w:sz w:val="14"/>
              </w:rPr>
            </w:pPr>
          </w:p>
        </w:tc>
        <w:tc>
          <w:tcPr>
            <w:tcW w:w="1091" w:type="dxa"/>
          </w:tcPr>
          <w:p>
            <w:pPr>
              <w:pStyle w:val="TableParagraph"/>
              <w:spacing w:before="32"/>
              <w:ind w:left="91"/>
              <w:rPr>
                <w:sz w:val="16"/>
              </w:rPr>
            </w:pPr>
            <w:r>
              <w:rPr>
                <w:spacing w:val="-2"/>
                <w:w w:val="105"/>
                <w:sz w:val="16"/>
              </w:rPr>
              <w:t>2/15/2019</w:t>
            </w:r>
          </w:p>
        </w:tc>
        <w:tc>
          <w:tcPr>
            <w:tcW w:w="1035" w:type="dxa"/>
          </w:tcPr>
          <w:p>
            <w:pPr>
              <w:pStyle w:val="TableParagraph"/>
              <w:spacing w:before="32"/>
              <w:ind w:left="91"/>
              <w:rPr>
                <w:sz w:val="16"/>
              </w:rPr>
            </w:pPr>
            <w:r>
              <w:rPr>
                <w:spacing w:val="-2"/>
                <w:w w:val="105"/>
                <w:sz w:val="16"/>
              </w:rPr>
              <w:t>15,434</w:t>
            </w:r>
            <w:r>
              <w:rPr>
                <w:spacing w:val="-2"/>
                <w:w w:val="105"/>
                <w:sz w:val="16"/>
                <w:vertAlign w:val="superscript"/>
              </w:rPr>
              <w:t>(11)</w:t>
            </w:r>
          </w:p>
        </w:tc>
        <w:tc>
          <w:tcPr>
            <w:tcW w:w="960" w:type="dxa"/>
          </w:tcPr>
          <w:p>
            <w:pPr>
              <w:pStyle w:val="TableParagraph"/>
              <w:spacing w:before="32"/>
              <w:ind w:right="244"/>
              <w:jc w:val="right"/>
              <w:rPr>
                <w:sz w:val="16"/>
              </w:rPr>
            </w:pPr>
            <w:r>
              <w:rPr>
                <w:spacing w:val="-2"/>
                <w:w w:val="105"/>
                <w:sz w:val="16"/>
              </w:rPr>
              <w:t>1,795</w:t>
            </w:r>
            <w:r>
              <w:rPr>
                <w:spacing w:val="-2"/>
                <w:w w:val="105"/>
                <w:sz w:val="16"/>
                <w:vertAlign w:val="superscript"/>
              </w:rPr>
              <w:t>(11)</w:t>
            </w:r>
          </w:p>
        </w:tc>
        <w:tc>
          <w:tcPr>
            <w:tcW w:w="468" w:type="dxa"/>
          </w:tcPr>
          <w:p>
            <w:pPr>
              <w:pStyle w:val="TableParagraph"/>
              <w:spacing w:before="32"/>
              <w:ind w:left="-2" w:right="4"/>
              <w:jc w:val="right"/>
              <w:rPr>
                <w:sz w:val="16"/>
              </w:rPr>
            </w:pPr>
            <w:r>
              <w:rPr>
                <w:spacing w:val="-2"/>
                <w:w w:val="105"/>
                <w:sz w:val="16"/>
              </w:rPr>
              <w:t>$31.42</w:t>
            </w:r>
          </w:p>
        </w:tc>
        <w:tc>
          <w:tcPr>
            <w:tcW w:w="253" w:type="dxa"/>
          </w:tcPr>
          <w:p>
            <w:pPr>
              <w:pStyle w:val="TableParagraph"/>
              <w:rPr>
                <w:sz w:val="14"/>
              </w:rPr>
            </w:pPr>
          </w:p>
        </w:tc>
        <w:tc>
          <w:tcPr>
            <w:tcW w:w="770" w:type="dxa"/>
          </w:tcPr>
          <w:p>
            <w:pPr>
              <w:pStyle w:val="TableParagraph"/>
              <w:spacing w:before="32"/>
              <w:ind w:left="-2" w:right="6"/>
              <w:jc w:val="right"/>
              <w:rPr>
                <w:sz w:val="16"/>
              </w:rPr>
            </w:pPr>
            <w:r>
              <w:rPr>
                <w:spacing w:val="-2"/>
                <w:w w:val="105"/>
                <w:sz w:val="16"/>
              </w:rPr>
              <w:t>2/15/2026</w:t>
            </w:r>
          </w:p>
        </w:tc>
        <w:tc>
          <w:tcPr>
            <w:tcW w:w="225" w:type="dxa"/>
          </w:tcPr>
          <w:p>
            <w:pPr>
              <w:pStyle w:val="TableParagraph"/>
              <w:rPr>
                <w:sz w:val="14"/>
              </w:rPr>
            </w:pPr>
          </w:p>
        </w:tc>
        <w:tc>
          <w:tcPr>
            <w:tcW w:w="889" w:type="dxa"/>
          </w:tcPr>
          <w:p>
            <w:pPr>
              <w:pStyle w:val="TableParagraph"/>
              <w:spacing w:before="32"/>
              <w:ind w:left="429"/>
              <w:rPr>
                <w:sz w:val="16"/>
              </w:rPr>
            </w:pPr>
            <w:r>
              <w:rPr>
                <w:w w:val="104"/>
                <w:sz w:val="16"/>
              </w:rPr>
              <w:t>—</w:t>
            </w:r>
          </w:p>
        </w:tc>
        <w:tc>
          <w:tcPr>
            <w:tcW w:w="693" w:type="dxa"/>
          </w:tcPr>
          <w:p>
            <w:pPr>
              <w:pStyle w:val="TableParagraph"/>
              <w:spacing w:before="32"/>
              <w:ind w:right="16"/>
              <w:jc w:val="right"/>
              <w:rPr>
                <w:sz w:val="16"/>
              </w:rPr>
            </w:pPr>
            <w:r>
              <w:rPr>
                <w:w w:val="104"/>
                <w:sz w:val="16"/>
              </w:rPr>
              <w:t>—</w:t>
            </w:r>
          </w:p>
        </w:tc>
      </w:tr>
      <w:tr>
        <w:trPr>
          <w:trHeight w:val="224" w:hRule="atLeast"/>
        </w:trPr>
        <w:tc>
          <w:tcPr>
            <w:tcW w:w="2125" w:type="dxa"/>
          </w:tcPr>
          <w:p>
            <w:pPr>
              <w:pStyle w:val="TableParagraph"/>
              <w:rPr>
                <w:sz w:val="14"/>
              </w:rPr>
            </w:pPr>
          </w:p>
        </w:tc>
        <w:tc>
          <w:tcPr>
            <w:tcW w:w="1091" w:type="dxa"/>
          </w:tcPr>
          <w:p>
            <w:pPr>
              <w:pStyle w:val="TableParagraph"/>
              <w:spacing w:before="19"/>
              <w:ind w:left="91"/>
              <w:rPr>
                <w:sz w:val="16"/>
              </w:rPr>
            </w:pPr>
            <w:r>
              <w:rPr>
                <w:spacing w:val="-2"/>
                <w:w w:val="105"/>
                <w:sz w:val="16"/>
              </w:rPr>
              <w:t>2/18/2020</w:t>
            </w:r>
          </w:p>
        </w:tc>
        <w:tc>
          <w:tcPr>
            <w:tcW w:w="1035" w:type="dxa"/>
          </w:tcPr>
          <w:p>
            <w:pPr>
              <w:pStyle w:val="TableParagraph"/>
              <w:spacing w:before="19"/>
              <w:ind w:left="91"/>
              <w:rPr>
                <w:sz w:val="16"/>
              </w:rPr>
            </w:pPr>
            <w:r>
              <w:rPr>
                <w:spacing w:val="-2"/>
                <w:w w:val="105"/>
                <w:sz w:val="16"/>
              </w:rPr>
              <w:t>18,824</w:t>
            </w:r>
            <w:r>
              <w:rPr>
                <w:spacing w:val="-2"/>
                <w:w w:val="105"/>
                <w:sz w:val="16"/>
                <w:vertAlign w:val="superscript"/>
              </w:rPr>
              <w:t>(12)</w:t>
            </w:r>
          </w:p>
        </w:tc>
        <w:tc>
          <w:tcPr>
            <w:tcW w:w="960" w:type="dxa"/>
          </w:tcPr>
          <w:p>
            <w:pPr>
              <w:pStyle w:val="TableParagraph"/>
              <w:spacing w:before="19"/>
              <w:ind w:right="240"/>
              <w:jc w:val="right"/>
              <w:rPr>
                <w:sz w:val="16"/>
              </w:rPr>
            </w:pPr>
            <w:r>
              <w:rPr>
                <w:spacing w:val="-2"/>
                <w:w w:val="105"/>
                <w:sz w:val="16"/>
              </w:rPr>
              <w:t>10,323</w:t>
            </w:r>
            <w:r>
              <w:rPr>
                <w:spacing w:val="-2"/>
                <w:w w:val="105"/>
                <w:sz w:val="16"/>
                <w:vertAlign w:val="superscript"/>
              </w:rPr>
              <w:t>(12)</w:t>
            </w:r>
          </w:p>
        </w:tc>
        <w:tc>
          <w:tcPr>
            <w:tcW w:w="468" w:type="dxa"/>
          </w:tcPr>
          <w:p>
            <w:pPr>
              <w:pStyle w:val="TableParagraph"/>
              <w:spacing w:before="19"/>
              <w:ind w:left="-2" w:right="4"/>
              <w:jc w:val="right"/>
              <w:rPr>
                <w:sz w:val="16"/>
              </w:rPr>
            </w:pPr>
            <w:r>
              <w:rPr>
                <w:spacing w:val="-2"/>
                <w:w w:val="105"/>
                <w:sz w:val="16"/>
              </w:rPr>
              <w:t>$28.12</w:t>
            </w:r>
          </w:p>
        </w:tc>
        <w:tc>
          <w:tcPr>
            <w:tcW w:w="253" w:type="dxa"/>
          </w:tcPr>
          <w:p>
            <w:pPr>
              <w:pStyle w:val="TableParagraph"/>
              <w:rPr>
                <w:sz w:val="14"/>
              </w:rPr>
            </w:pPr>
          </w:p>
        </w:tc>
        <w:tc>
          <w:tcPr>
            <w:tcW w:w="770" w:type="dxa"/>
          </w:tcPr>
          <w:p>
            <w:pPr>
              <w:pStyle w:val="TableParagraph"/>
              <w:spacing w:before="19"/>
              <w:ind w:left="-2" w:right="6"/>
              <w:jc w:val="right"/>
              <w:rPr>
                <w:sz w:val="16"/>
              </w:rPr>
            </w:pPr>
            <w:r>
              <w:rPr>
                <w:spacing w:val="-2"/>
                <w:w w:val="105"/>
                <w:sz w:val="16"/>
              </w:rPr>
              <w:t>2/15/2030</w:t>
            </w:r>
          </w:p>
        </w:tc>
        <w:tc>
          <w:tcPr>
            <w:tcW w:w="225" w:type="dxa"/>
          </w:tcPr>
          <w:p>
            <w:pPr>
              <w:pStyle w:val="TableParagraph"/>
              <w:rPr>
                <w:sz w:val="14"/>
              </w:rPr>
            </w:pPr>
          </w:p>
        </w:tc>
        <w:tc>
          <w:tcPr>
            <w:tcW w:w="889" w:type="dxa"/>
          </w:tcPr>
          <w:p>
            <w:pPr>
              <w:pStyle w:val="TableParagraph"/>
              <w:spacing w:before="19"/>
              <w:ind w:left="429"/>
              <w:rPr>
                <w:sz w:val="16"/>
              </w:rPr>
            </w:pPr>
            <w:r>
              <w:rPr>
                <w:w w:val="104"/>
                <w:sz w:val="16"/>
              </w:rPr>
              <w:t>—</w:t>
            </w:r>
          </w:p>
        </w:tc>
        <w:tc>
          <w:tcPr>
            <w:tcW w:w="693" w:type="dxa"/>
          </w:tcPr>
          <w:p>
            <w:pPr>
              <w:pStyle w:val="TableParagraph"/>
              <w:spacing w:before="19"/>
              <w:ind w:right="16"/>
              <w:jc w:val="right"/>
              <w:rPr>
                <w:sz w:val="16"/>
              </w:rPr>
            </w:pPr>
            <w:r>
              <w:rPr>
                <w:w w:val="104"/>
                <w:sz w:val="16"/>
              </w:rPr>
              <w:t>—</w:t>
            </w:r>
          </w:p>
        </w:tc>
      </w:tr>
      <w:tr>
        <w:trPr>
          <w:trHeight w:val="236" w:hRule="atLeast"/>
        </w:trPr>
        <w:tc>
          <w:tcPr>
            <w:tcW w:w="2125" w:type="dxa"/>
          </w:tcPr>
          <w:p>
            <w:pPr>
              <w:pStyle w:val="TableParagraph"/>
              <w:rPr>
                <w:sz w:val="14"/>
              </w:rPr>
            </w:pPr>
          </w:p>
        </w:tc>
        <w:tc>
          <w:tcPr>
            <w:tcW w:w="1091" w:type="dxa"/>
          </w:tcPr>
          <w:p>
            <w:pPr>
              <w:pStyle w:val="TableParagraph"/>
              <w:spacing w:before="32"/>
              <w:ind w:left="91"/>
              <w:rPr>
                <w:sz w:val="16"/>
              </w:rPr>
            </w:pPr>
            <w:r>
              <w:rPr>
                <w:spacing w:val="-2"/>
                <w:w w:val="105"/>
                <w:sz w:val="16"/>
              </w:rPr>
              <w:t>2/16/2021</w:t>
            </w:r>
          </w:p>
        </w:tc>
        <w:tc>
          <w:tcPr>
            <w:tcW w:w="1035" w:type="dxa"/>
          </w:tcPr>
          <w:p>
            <w:pPr>
              <w:pStyle w:val="TableParagraph"/>
              <w:spacing w:before="32"/>
              <w:ind w:left="97"/>
              <w:rPr>
                <w:sz w:val="16"/>
              </w:rPr>
            </w:pPr>
            <w:r>
              <w:rPr>
                <w:spacing w:val="-2"/>
                <w:w w:val="105"/>
                <w:sz w:val="16"/>
              </w:rPr>
              <w:t>11,159</w:t>
            </w:r>
            <w:r>
              <w:rPr>
                <w:spacing w:val="-2"/>
                <w:w w:val="105"/>
                <w:sz w:val="16"/>
                <w:vertAlign w:val="superscript"/>
              </w:rPr>
              <w:t>(14)</w:t>
            </w:r>
          </w:p>
        </w:tc>
        <w:tc>
          <w:tcPr>
            <w:tcW w:w="960" w:type="dxa"/>
          </w:tcPr>
          <w:p>
            <w:pPr>
              <w:pStyle w:val="TableParagraph"/>
              <w:spacing w:before="32"/>
              <w:ind w:right="240"/>
              <w:jc w:val="right"/>
              <w:rPr>
                <w:sz w:val="16"/>
              </w:rPr>
            </w:pPr>
            <w:r>
              <w:rPr>
                <w:spacing w:val="-2"/>
                <w:w w:val="105"/>
                <w:sz w:val="16"/>
              </w:rPr>
              <w:t>17,036</w:t>
            </w:r>
            <w:r>
              <w:rPr>
                <w:spacing w:val="-2"/>
                <w:w w:val="105"/>
                <w:sz w:val="16"/>
                <w:vertAlign w:val="superscript"/>
              </w:rPr>
              <w:t>(14)</w:t>
            </w:r>
          </w:p>
        </w:tc>
        <w:tc>
          <w:tcPr>
            <w:tcW w:w="468" w:type="dxa"/>
          </w:tcPr>
          <w:p>
            <w:pPr>
              <w:pStyle w:val="TableParagraph"/>
              <w:spacing w:before="32"/>
              <w:ind w:left="-2" w:right="4"/>
              <w:jc w:val="right"/>
              <w:rPr>
                <w:sz w:val="16"/>
              </w:rPr>
            </w:pPr>
            <w:r>
              <w:rPr>
                <w:spacing w:val="-2"/>
                <w:w w:val="105"/>
                <w:sz w:val="16"/>
              </w:rPr>
              <w:t>$25.06</w:t>
            </w:r>
          </w:p>
        </w:tc>
        <w:tc>
          <w:tcPr>
            <w:tcW w:w="253" w:type="dxa"/>
          </w:tcPr>
          <w:p>
            <w:pPr>
              <w:pStyle w:val="TableParagraph"/>
              <w:rPr>
                <w:sz w:val="14"/>
              </w:rPr>
            </w:pPr>
          </w:p>
        </w:tc>
        <w:tc>
          <w:tcPr>
            <w:tcW w:w="770" w:type="dxa"/>
          </w:tcPr>
          <w:p>
            <w:pPr>
              <w:pStyle w:val="TableParagraph"/>
              <w:spacing w:before="32"/>
              <w:ind w:left="-2" w:right="6"/>
              <w:jc w:val="right"/>
              <w:rPr>
                <w:sz w:val="16"/>
              </w:rPr>
            </w:pPr>
            <w:r>
              <w:rPr>
                <w:spacing w:val="-2"/>
                <w:w w:val="105"/>
                <w:sz w:val="16"/>
              </w:rPr>
              <w:t>2/16/2031</w:t>
            </w:r>
          </w:p>
        </w:tc>
        <w:tc>
          <w:tcPr>
            <w:tcW w:w="225" w:type="dxa"/>
          </w:tcPr>
          <w:p>
            <w:pPr>
              <w:pStyle w:val="TableParagraph"/>
              <w:rPr>
                <w:sz w:val="14"/>
              </w:rPr>
            </w:pPr>
          </w:p>
        </w:tc>
        <w:tc>
          <w:tcPr>
            <w:tcW w:w="889" w:type="dxa"/>
          </w:tcPr>
          <w:p>
            <w:pPr>
              <w:pStyle w:val="TableParagraph"/>
              <w:spacing w:before="32"/>
              <w:ind w:left="429"/>
              <w:rPr>
                <w:sz w:val="16"/>
              </w:rPr>
            </w:pPr>
            <w:r>
              <w:rPr>
                <w:w w:val="104"/>
                <w:sz w:val="16"/>
              </w:rPr>
              <w:t>—</w:t>
            </w:r>
          </w:p>
        </w:tc>
        <w:tc>
          <w:tcPr>
            <w:tcW w:w="693" w:type="dxa"/>
          </w:tcPr>
          <w:p>
            <w:pPr>
              <w:pStyle w:val="TableParagraph"/>
              <w:spacing w:before="32"/>
              <w:ind w:right="16"/>
              <w:jc w:val="right"/>
              <w:rPr>
                <w:sz w:val="16"/>
              </w:rPr>
            </w:pPr>
            <w:r>
              <w:rPr>
                <w:w w:val="104"/>
                <w:sz w:val="16"/>
              </w:rPr>
              <w:t>—</w:t>
            </w:r>
          </w:p>
        </w:tc>
      </w:tr>
      <w:tr>
        <w:trPr>
          <w:trHeight w:val="223" w:hRule="atLeast"/>
        </w:trPr>
        <w:tc>
          <w:tcPr>
            <w:tcW w:w="2125" w:type="dxa"/>
          </w:tcPr>
          <w:p>
            <w:pPr>
              <w:pStyle w:val="TableParagraph"/>
              <w:rPr>
                <w:sz w:val="14"/>
              </w:rPr>
            </w:pPr>
          </w:p>
        </w:tc>
        <w:tc>
          <w:tcPr>
            <w:tcW w:w="1091" w:type="dxa"/>
          </w:tcPr>
          <w:p>
            <w:pPr>
              <w:pStyle w:val="TableParagraph"/>
              <w:spacing w:before="19"/>
              <w:ind w:left="8"/>
              <w:rPr>
                <w:sz w:val="16"/>
              </w:rPr>
            </w:pPr>
            <w:r>
              <w:rPr>
                <w:spacing w:val="-2"/>
                <w:w w:val="105"/>
                <w:sz w:val="16"/>
              </w:rPr>
              <w:t>12/10/2021</w:t>
            </w:r>
          </w:p>
        </w:tc>
        <w:tc>
          <w:tcPr>
            <w:tcW w:w="1035" w:type="dxa"/>
          </w:tcPr>
          <w:p>
            <w:pPr>
              <w:pStyle w:val="TableParagraph"/>
              <w:spacing w:before="19"/>
              <w:ind w:right="96"/>
              <w:jc w:val="center"/>
              <w:rPr>
                <w:sz w:val="16"/>
              </w:rPr>
            </w:pPr>
            <w:r>
              <w:rPr>
                <w:w w:val="104"/>
                <w:sz w:val="16"/>
              </w:rPr>
              <w:t>—</w:t>
            </w:r>
          </w:p>
        </w:tc>
        <w:tc>
          <w:tcPr>
            <w:tcW w:w="960" w:type="dxa"/>
          </w:tcPr>
          <w:p>
            <w:pPr>
              <w:pStyle w:val="TableParagraph"/>
              <w:spacing w:before="19"/>
              <w:ind w:right="240"/>
              <w:jc w:val="right"/>
              <w:rPr>
                <w:sz w:val="16"/>
              </w:rPr>
            </w:pPr>
            <w:r>
              <w:rPr>
                <w:spacing w:val="-2"/>
                <w:w w:val="105"/>
                <w:sz w:val="16"/>
              </w:rPr>
              <w:t>23,819</w:t>
            </w:r>
            <w:r>
              <w:rPr>
                <w:spacing w:val="-2"/>
                <w:w w:val="105"/>
                <w:sz w:val="16"/>
                <w:vertAlign w:val="superscript"/>
              </w:rPr>
              <w:t>(16)</w:t>
            </w:r>
          </w:p>
        </w:tc>
        <w:tc>
          <w:tcPr>
            <w:tcW w:w="468" w:type="dxa"/>
          </w:tcPr>
          <w:p>
            <w:pPr>
              <w:pStyle w:val="TableParagraph"/>
              <w:spacing w:before="19"/>
              <w:ind w:left="-2" w:right="4"/>
              <w:jc w:val="right"/>
              <w:rPr>
                <w:sz w:val="16"/>
              </w:rPr>
            </w:pPr>
            <w:r>
              <w:rPr>
                <w:spacing w:val="-2"/>
                <w:w w:val="105"/>
                <w:sz w:val="16"/>
              </w:rPr>
              <w:t>$30.95</w:t>
            </w:r>
          </w:p>
        </w:tc>
        <w:tc>
          <w:tcPr>
            <w:tcW w:w="253" w:type="dxa"/>
          </w:tcPr>
          <w:p>
            <w:pPr>
              <w:pStyle w:val="TableParagraph"/>
              <w:rPr>
                <w:sz w:val="14"/>
              </w:rPr>
            </w:pPr>
          </w:p>
        </w:tc>
        <w:tc>
          <w:tcPr>
            <w:tcW w:w="770" w:type="dxa"/>
          </w:tcPr>
          <w:p>
            <w:pPr>
              <w:pStyle w:val="TableParagraph"/>
              <w:spacing w:before="19"/>
              <w:ind w:left="-2" w:right="6"/>
              <w:jc w:val="right"/>
              <w:rPr>
                <w:sz w:val="16"/>
              </w:rPr>
            </w:pPr>
            <w:r>
              <w:rPr>
                <w:spacing w:val="-2"/>
                <w:w w:val="105"/>
                <w:sz w:val="16"/>
              </w:rPr>
              <w:t>12/10/2031</w:t>
            </w:r>
          </w:p>
        </w:tc>
        <w:tc>
          <w:tcPr>
            <w:tcW w:w="225" w:type="dxa"/>
          </w:tcPr>
          <w:p>
            <w:pPr>
              <w:pStyle w:val="TableParagraph"/>
              <w:rPr>
                <w:sz w:val="14"/>
              </w:rPr>
            </w:pPr>
          </w:p>
        </w:tc>
        <w:tc>
          <w:tcPr>
            <w:tcW w:w="889" w:type="dxa"/>
          </w:tcPr>
          <w:p>
            <w:pPr>
              <w:pStyle w:val="TableParagraph"/>
              <w:spacing w:before="19"/>
              <w:ind w:left="429"/>
              <w:rPr>
                <w:sz w:val="16"/>
              </w:rPr>
            </w:pPr>
            <w:r>
              <w:rPr>
                <w:w w:val="104"/>
                <w:sz w:val="16"/>
              </w:rPr>
              <w:t>—</w:t>
            </w:r>
          </w:p>
        </w:tc>
        <w:tc>
          <w:tcPr>
            <w:tcW w:w="693" w:type="dxa"/>
          </w:tcPr>
          <w:p>
            <w:pPr>
              <w:pStyle w:val="TableParagraph"/>
              <w:spacing w:before="19"/>
              <w:ind w:right="16"/>
              <w:jc w:val="right"/>
              <w:rPr>
                <w:sz w:val="16"/>
              </w:rPr>
            </w:pPr>
            <w:r>
              <w:rPr>
                <w:w w:val="104"/>
                <w:sz w:val="16"/>
              </w:rPr>
              <w:t>—</w:t>
            </w:r>
          </w:p>
        </w:tc>
      </w:tr>
      <w:tr>
        <w:trPr>
          <w:trHeight w:val="224" w:hRule="atLeast"/>
        </w:trPr>
        <w:tc>
          <w:tcPr>
            <w:tcW w:w="2125" w:type="dxa"/>
          </w:tcPr>
          <w:p>
            <w:pPr>
              <w:pStyle w:val="TableParagraph"/>
              <w:rPr>
                <w:sz w:val="14"/>
              </w:rPr>
            </w:pPr>
          </w:p>
        </w:tc>
        <w:tc>
          <w:tcPr>
            <w:tcW w:w="1091" w:type="dxa"/>
          </w:tcPr>
          <w:p>
            <w:pPr>
              <w:pStyle w:val="TableParagraph"/>
              <w:spacing w:before="19"/>
              <w:ind w:left="91"/>
              <w:rPr>
                <w:sz w:val="16"/>
              </w:rPr>
            </w:pPr>
            <w:r>
              <w:rPr>
                <w:spacing w:val="-2"/>
                <w:w w:val="105"/>
                <w:sz w:val="16"/>
              </w:rPr>
              <w:t>2/15/2019</w:t>
            </w:r>
          </w:p>
        </w:tc>
        <w:tc>
          <w:tcPr>
            <w:tcW w:w="1035" w:type="dxa"/>
          </w:tcPr>
          <w:p>
            <w:pPr>
              <w:pStyle w:val="TableParagraph"/>
              <w:spacing w:before="19"/>
              <w:ind w:right="96"/>
              <w:jc w:val="center"/>
              <w:rPr>
                <w:sz w:val="16"/>
              </w:rPr>
            </w:pPr>
            <w:r>
              <w:rPr>
                <w:w w:val="104"/>
                <w:sz w:val="16"/>
              </w:rPr>
              <w:t>—</w:t>
            </w:r>
          </w:p>
        </w:tc>
        <w:tc>
          <w:tcPr>
            <w:tcW w:w="960" w:type="dxa"/>
          </w:tcPr>
          <w:p>
            <w:pPr>
              <w:pStyle w:val="TableParagraph"/>
              <w:spacing w:before="19"/>
              <w:ind w:right="31"/>
              <w:jc w:val="center"/>
              <w:rPr>
                <w:sz w:val="16"/>
              </w:rPr>
            </w:pPr>
            <w:r>
              <w:rPr>
                <w:w w:val="104"/>
                <w:sz w:val="16"/>
              </w:rPr>
              <w:t>—</w:t>
            </w:r>
          </w:p>
        </w:tc>
        <w:tc>
          <w:tcPr>
            <w:tcW w:w="468" w:type="dxa"/>
          </w:tcPr>
          <w:p>
            <w:pPr>
              <w:pStyle w:val="TableParagraph"/>
              <w:spacing w:before="19"/>
              <w:ind w:right="4"/>
              <w:jc w:val="right"/>
              <w:rPr>
                <w:sz w:val="16"/>
              </w:rPr>
            </w:pPr>
            <w:r>
              <w:rPr>
                <w:w w:val="104"/>
                <w:sz w:val="16"/>
              </w:rPr>
              <w:t>—</w:t>
            </w:r>
          </w:p>
        </w:tc>
        <w:tc>
          <w:tcPr>
            <w:tcW w:w="253" w:type="dxa"/>
          </w:tcPr>
          <w:p>
            <w:pPr>
              <w:pStyle w:val="TableParagraph"/>
              <w:rPr>
                <w:sz w:val="14"/>
              </w:rPr>
            </w:pPr>
          </w:p>
        </w:tc>
        <w:tc>
          <w:tcPr>
            <w:tcW w:w="770" w:type="dxa"/>
          </w:tcPr>
          <w:p>
            <w:pPr>
              <w:pStyle w:val="TableParagraph"/>
              <w:spacing w:before="19"/>
              <w:ind w:right="6"/>
              <w:jc w:val="right"/>
              <w:rPr>
                <w:sz w:val="16"/>
              </w:rPr>
            </w:pPr>
            <w:r>
              <w:rPr>
                <w:w w:val="104"/>
                <w:sz w:val="16"/>
              </w:rPr>
              <w:t>—</w:t>
            </w:r>
          </w:p>
        </w:tc>
        <w:tc>
          <w:tcPr>
            <w:tcW w:w="225" w:type="dxa"/>
          </w:tcPr>
          <w:p>
            <w:pPr>
              <w:pStyle w:val="TableParagraph"/>
              <w:rPr>
                <w:sz w:val="14"/>
              </w:rPr>
            </w:pPr>
          </w:p>
        </w:tc>
        <w:tc>
          <w:tcPr>
            <w:tcW w:w="889" w:type="dxa"/>
          </w:tcPr>
          <w:p>
            <w:pPr>
              <w:pStyle w:val="TableParagraph"/>
              <w:spacing w:before="19"/>
              <w:ind w:left="-1961" w:right="118"/>
              <w:jc w:val="right"/>
              <w:rPr>
                <w:sz w:val="16"/>
              </w:rPr>
            </w:pPr>
            <w:r>
              <w:rPr>
                <w:spacing w:val="-2"/>
                <w:w w:val="105"/>
                <w:sz w:val="16"/>
              </w:rPr>
              <w:t>1,397</w:t>
            </w:r>
            <w:r>
              <w:rPr>
                <w:spacing w:val="-2"/>
                <w:w w:val="105"/>
                <w:sz w:val="16"/>
                <w:vertAlign w:val="superscript"/>
              </w:rPr>
              <w:t>(17)</w:t>
            </w:r>
          </w:p>
        </w:tc>
        <w:tc>
          <w:tcPr>
            <w:tcW w:w="693" w:type="dxa"/>
          </w:tcPr>
          <w:p>
            <w:pPr>
              <w:pStyle w:val="TableParagraph"/>
              <w:spacing w:before="19"/>
              <w:ind w:right="16"/>
              <w:jc w:val="right"/>
              <w:rPr>
                <w:sz w:val="16"/>
              </w:rPr>
            </w:pPr>
            <w:r>
              <w:rPr>
                <w:spacing w:val="-2"/>
                <w:w w:val="105"/>
                <w:sz w:val="16"/>
              </w:rPr>
              <w:t>29,533</w:t>
            </w:r>
          </w:p>
        </w:tc>
      </w:tr>
      <w:tr>
        <w:trPr>
          <w:trHeight w:val="236" w:hRule="atLeast"/>
        </w:trPr>
        <w:tc>
          <w:tcPr>
            <w:tcW w:w="2125" w:type="dxa"/>
          </w:tcPr>
          <w:p>
            <w:pPr>
              <w:pStyle w:val="TableParagraph"/>
              <w:rPr>
                <w:sz w:val="14"/>
              </w:rPr>
            </w:pPr>
          </w:p>
        </w:tc>
        <w:tc>
          <w:tcPr>
            <w:tcW w:w="1091" w:type="dxa"/>
          </w:tcPr>
          <w:p>
            <w:pPr>
              <w:pStyle w:val="TableParagraph"/>
              <w:spacing w:before="32"/>
              <w:ind w:left="91"/>
              <w:rPr>
                <w:sz w:val="16"/>
              </w:rPr>
            </w:pPr>
            <w:r>
              <w:rPr>
                <w:spacing w:val="-2"/>
                <w:w w:val="105"/>
                <w:sz w:val="16"/>
              </w:rPr>
              <w:t>2/18/2020</w:t>
            </w:r>
          </w:p>
        </w:tc>
        <w:tc>
          <w:tcPr>
            <w:tcW w:w="1035" w:type="dxa"/>
          </w:tcPr>
          <w:p>
            <w:pPr>
              <w:pStyle w:val="TableParagraph"/>
              <w:spacing w:before="32"/>
              <w:ind w:right="96"/>
              <w:jc w:val="center"/>
              <w:rPr>
                <w:sz w:val="16"/>
              </w:rPr>
            </w:pPr>
            <w:r>
              <w:rPr>
                <w:w w:val="104"/>
                <w:sz w:val="16"/>
              </w:rPr>
              <w:t>—</w:t>
            </w:r>
          </w:p>
        </w:tc>
        <w:tc>
          <w:tcPr>
            <w:tcW w:w="960" w:type="dxa"/>
          </w:tcPr>
          <w:p>
            <w:pPr>
              <w:pStyle w:val="TableParagraph"/>
              <w:spacing w:before="32"/>
              <w:ind w:right="31"/>
              <w:jc w:val="center"/>
              <w:rPr>
                <w:sz w:val="16"/>
              </w:rPr>
            </w:pPr>
            <w:r>
              <w:rPr>
                <w:w w:val="104"/>
                <w:sz w:val="16"/>
              </w:rPr>
              <w:t>—</w:t>
            </w:r>
          </w:p>
        </w:tc>
        <w:tc>
          <w:tcPr>
            <w:tcW w:w="468" w:type="dxa"/>
          </w:tcPr>
          <w:p>
            <w:pPr>
              <w:pStyle w:val="TableParagraph"/>
              <w:spacing w:before="32"/>
              <w:ind w:right="4"/>
              <w:jc w:val="right"/>
              <w:rPr>
                <w:sz w:val="16"/>
              </w:rPr>
            </w:pPr>
            <w:r>
              <w:rPr>
                <w:w w:val="104"/>
                <w:sz w:val="16"/>
              </w:rPr>
              <w:t>—</w:t>
            </w:r>
          </w:p>
        </w:tc>
        <w:tc>
          <w:tcPr>
            <w:tcW w:w="253" w:type="dxa"/>
          </w:tcPr>
          <w:p>
            <w:pPr>
              <w:pStyle w:val="TableParagraph"/>
              <w:rPr>
                <w:sz w:val="14"/>
              </w:rPr>
            </w:pPr>
          </w:p>
        </w:tc>
        <w:tc>
          <w:tcPr>
            <w:tcW w:w="770" w:type="dxa"/>
          </w:tcPr>
          <w:p>
            <w:pPr>
              <w:pStyle w:val="TableParagraph"/>
              <w:spacing w:before="32"/>
              <w:ind w:right="6"/>
              <w:jc w:val="right"/>
              <w:rPr>
                <w:sz w:val="16"/>
              </w:rPr>
            </w:pPr>
            <w:r>
              <w:rPr>
                <w:w w:val="104"/>
                <w:sz w:val="16"/>
              </w:rPr>
              <w:t>—</w:t>
            </w:r>
          </w:p>
        </w:tc>
        <w:tc>
          <w:tcPr>
            <w:tcW w:w="225" w:type="dxa"/>
          </w:tcPr>
          <w:p>
            <w:pPr>
              <w:pStyle w:val="TableParagraph"/>
              <w:rPr>
                <w:sz w:val="14"/>
              </w:rPr>
            </w:pPr>
          </w:p>
        </w:tc>
        <w:tc>
          <w:tcPr>
            <w:tcW w:w="889" w:type="dxa"/>
          </w:tcPr>
          <w:p>
            <w:pPr>
              <w:pStyle w:val="TableParagraph"/>
              <w:spacing w:before="32"/>
              <w:ind w:left="-1961" w:right="118"/>
              <w:jc w:val="right"/>
              <w:rPr>
                <w:sz w:val="16"/>
              </w:rPr>
            </w:pPr>
            <w:r>
              <w:rPr>
                <w:spacing w:val="-2"/>
                <w:w w:val="105"/>
                <w:sz w:val="16"/>
              </w:rPr>
              <w:t>5,086</w:t>
            </w:r>
            <w:r>
              <w:rPr>
                <w:spacing w:val="-2"/>
                <w:w w:val="105"/>
                <w:sz w:val="16"/>
                <w:vertAlign w:val="superscript"/>
              </w:rPr>
              <w:t>(18)</w:t>
            </w:r>
          </w:p>
        </w:tc>
        <w:tc>
          <w:tcPr>
            <w:tcW w:w="693" w:type="dxa"/>
          </w:tcPr>
          <w:p>
            <w:pPr>
              <w:pStyle w:val="TableParagraph"/>
              <w:spacing w:before="32"/>
              <w:ind w:right="16"/>
              <w:jc w:val="right"/>
              <w:rPr>
                <w:sz w:val="16"/>
              </w:rPr>
            </w:pPr>
            <w:r>
              <w:rPr>
                <w:spacing w:val="-2"/>
                <w:w w:val="105"/>
                <w:sz w:val="16"/>
              </w:rPr>
              <w:t>107,518</w:t>
            </w:r>
          </w:p>
        </w:tc>
      </w:tr>
      <w:tr>
        <w:trPr>
          <w:trHeight w:val="224" w:hRule="atLeast"/>
        </w:trPr>
        <w:tc>
          <w:tcPr>
            <w:tcW w:w="2125" w:type="dxa"/>
          </w:tcPr>
          <w:p>
            <w:pPr>
              <w:pStyle w:val="TableParagraph"/>
              <w:rPr>
                <w:sz w:val="14"/>
              </w:rPr>
            </w:pPr>
          </w:p>
        </w:tc>
        <w:tc>
          <w:tcPr>
            <w:tcW w:w="1091" w:type="dxa"/>
          </w:tcPr>
          <w:p>
            <w:pPr>
              <w:pStyle w:val="TableParagraph"/>
              <w:spacing w:before="19"/>
              <w:ind w:left="91"/>
              <w:rPr>
                <w:sz w:val="16"/>
              </w:rPr>
            </w:pPr>
            <w:r>
              <w:rPr>
                <w:spacing w:val="-2"/>
                <w:w w:val="105"/>
                <w:sz w:val="16"/>
              </w:rPr>
              <w:t>2/16/2021</w:t>
            </w:r>
          </w:p>
        </w:tc>
        <w:tc>
          <w:tcPr>
            <w:tcW w:w="1035" w:type="dxa"/>
          </w:tcPr>
          <w:p>
            <w:pPr>
              <w:pStyle w:val="TableParagraph"/>
              <w:spacing w:before="19"/>
              <w:ind w:right="96"/>
              <w:jc w:val="center"/>
              <w:rPr>
                <w:sz w:val="16"/>
              </w:rPr>
            </w:pPr>
            <w:r>
              <w:rPr>
                <w:w w:val="104"/>
                <w:sz w:val="16"/>
              </w:rPr>
              <w:t>—</w:t>
            </w:r>
          </w:p>
        </w:tc>
        <w:tc>
          <w:tcPr>
            <w:tcW w:w="960" w:type="dxa"/>
          </w:tcPr>
          <w:p>
            <w:pPr>
              <w:pStyle w:val="TableParagraph"/>
              <w:spacing w:before="19"/>
              <w:ind w:right="31"/>
              <w:jc w:val="center"/>
              <w:rPr>
                <w:sz w:val="16"/>
              </w:rPr>
            </w:pPr>
            <w:r>
              <w:rPr>
                <w:w w:val="104"/>
                <w:sz w:val="16"/>
              </w:rPr>
              <w:t>—</w:t>
            </w:r>
          </w:p>
        </w:tc>
        <w:tc>
          <w:tcPr>
            <w:tcW w:w="468" w:type="dxa"/>
          </w:tcPr>
          <w:p>
            <w:pPr>
              <w:pStyle w:val="TableParagraph"/>
              <w:spacing w:before="19"/>
              <w:ind w:right="4"/>
              <w:jc w:val="right"/>
              <w:rPr>
                <w:sz w:val="16"/>
              </w:rPr>
            </w:pPr>
            <w:r>
              <w:rPr>
                <w:w w:val="104"/>
                <w:sz w:val="16"/>
              </w:rPr>
              <w:t>—</w:t>
            </w:r>
          </w:p>
        </w:tc>
        <w:tc>
          <w:tcPr>
            <w:tcW w:w="253" w:type="dxa"/>
          </w:tcPr>
          <w:p>
            <w:pPr>
              <w:pStyle w:val="TableParagraph"/>
              <w:rPr>
                <w:sz w:val="14"/>
              </w:rPr>
            </w:pPr>
          </w:p>
        </w:tc>
        <w:tc>
          <w:tcPr>
            <w:tcW w:w="770" w:type="dxa"/>
          </w:tcPr>
          <w:p>
            <w:pPr>
              <w:pStyle w:val="TableParagraph"/>
              <w:spacing w:before="19"/>
              <w:ind w:right="6"/>
              <w:jc w:val="right"/>
              <w:rPr>
                <w:sz w:val="16"/>
              </w:rPr>
            </w:pPr>
            <w:r>
              <w:rPr>
                <w:w w:val="104"/>
                <w:sz w:val="16"/>
              </w:rPr>
              <w:t>—</w:t>
            </w:r>
          </w:p>
        </w:tc>
        <w:tc>
          <w:tcPr>
            <w:tcW w:w="225" w:type="dxa"/>
          </w:tcPr>
          <w:p>
            <w:pPr>
              <w:pStyle w:val="TableParagraph"/>
              <w:rPr>
                <w:sz w:val="14"/>
              </w:rPr>
            </w:pPr>
          </w:p>
        </w:tc>
        <w:tc>
          <w:tcPr>
            <w:tcW w:w="889" w:type="dxa"/>
          </w:tcPr>
          <w:p>
            <w:pPr>
              <w:pStyle w:val="TableParagraph"/>
              <w:spacing w:before="19"/>
              <w:ind w:left="-1961" w:right="118"/>
              <w:jc w:val="right"/>
              <w:rPr>
                <w:sz w:val="16"/>
              </w:rPr>
            </w:pPr>
            <w:r>
              <w:rPr>
                <w:spacing w:val="-2"/>
                <w:w w:val="105"/>
                <w:sz w:val="16"/>
              </w:rPr>
              <w:t>11,523</w:t>
            </w:r>
            <w:r>
              <w:rPr>
                <w:spacing w:val="-2"/>
                <w:w w:val="105"/>
                <w:sz w:val="16"/>
                <w:vertAlign w:val="superscript"/>
              </w:rPr>
              <w:t>(20)</w:t>
            </w:r>
          </w:p>
        </w:tc>
        <w:tc>
          <w:tcPr>
            <w:tcW w:w="693" w:type="dxa"/>
          </w:tcPr>
          <w:p>
            <w:pPr>
              <w:pStyle w:val="TableParagraph"/>
              <w:spacing w:before="19"/>
              <w:ind w:right="16"/>
              <w:jc w:val="right"/>
              <w:rPr>
                <w:sz w:val="16"/>
              </w:rPr>
            </w:pPr>
            <w:r>
              <w:rPr>
                <w:spacing w:val="-2"/>
                <w:w w:val="105"/>
                <w:sz w:val="16"/>
              </w:rPr>
              <w:t>243,596</w:t>
            </w:r>
          </w:p>
        </w:tc>
      </w:tr>
      <w:tr>
        <w:trPr>
          <w:trHeight w:val="236" w:hRule="atLeast"/>
        </w:trPr>
        <w:tc>
          <w:tcPr>
            <w:tcW w:w="2125" w:type="dxa"/>
            <w:tcBorders>
              <w:bottom w:val="single" w:sz="6" w:space="0" w:color="CCEDFF"/>
            </w:tcBorders>
          </w:tcPr>
          <w:p>
            <w:pPr>
              <w:pStyle w:val="TableParagraph"/>
              <w:rPr>
                <w:sz w:val="14"/>
              </w:rPr>
            </w:pPr>
          </w:p>
        </w:tc>
        <w:tc>
          <w:tcPr>
            <w:tcW w:w="1091" w:type="dxa"/>
            <w:tcBorders>
              <w:bottom w:val="single" w:sz="6" w:space="0" w:color="CCEDFF"/>
            </w:tcBorders>
          </w:tcPr>
          <w:p>
            <w:pPr>
              <w:pStyle w:val="TableParagraph"/>
              <w:spacing w:before="32"/>
              <w:ind w:left="8"/>
              <w:rPr>
                <w:sz w:val="16"/>
              </w:rPr>
            </w:pPr>
            <w:r>
              <w:rPr>
                <w:spacing w:val="-2"/>
                <w:w w:val="105"/>
                <w:sz w:val="16"/>
              </w:rPr>
              <w:t>12/10/2021</w:t>
            </w:r>
          </w:p>
        </w:tc>
        <w:tc>
          <w:tcPr>
            <w:tcW w:w="1035" w:type="dxa"/>
            <w:tcBorders>
              <w:bottom w:val="single" w:sz="6" w:space="0" w:color="CCEDFF"/>
            </w:tcBorders>
          </w:tcPr>
          <w:p>
            <w:pPr>
              <w:pStyle w:val="TableParagraph"/>
              <w:spacing w:before="32"/>
              <w:ind w:right="96"/>
              <w:jc w:val="center"/>
              <w:rPr>
                <w:sz w:val="16"/>
              </w:rPr>
            </w:pPr>
            <w:r>
              <w:rPr>
                <w:w w:val="104"/>
                <w:sz w:val="16"/>
              </w:rPr>
              <w:t>—</w:t>
            </w:r>
          </w:p>
        </w:tc>
        <w:tc>
          <w:tcPr>
            <w:tcW w:w="960" w:type="dxa"/>
            <w:tcBorders>
              <w:bottom w:val="single" w:sz="6" w:space="0" w:color="CCEDFF"/>
            </w:tcBorders>
          </w:tcPr>
          <w:p>
            <w:pPr>
              <w:pStyle w:val="TableParagraph"/>
              <w:spacing w:before="32"/>
              <w:ind w:right="31"/>
              <w:jc w:val="center"/>
              <w:rPr>
                <w:sz w:val="16"/>
              </w:rPr>
            </w:pPr>
            <w:r>
              <w:rPr>
                <w:w w:val="104"/>
                <w:sz w:val="16"/>
              </w:rPr>
              <w:t>—</w:t>
            </w:r>
          </w:p>
        </w:tc>
        <w:tc>
          <w:tcPr>
            <w:tcW w:w="468" w:type="dxa"/>
            <w:tcBorders>
              <w:bottom w:val="single" w:sz="6" w:space="0" w:color="000000"/>
            </w:tcBorders>
          </w:tcPr>
          <w:p>
            <w:pPr>
              <w:pStyle w:val="TableParagraph"/>
              <w:spacing w:before="32"/>
              <w:ind w:right="4"/>
              <w:jc w:val="right"/>
              <w:rPr>
                <w:sz w:val="16"/>
              </w:rPr>
            </w:pPr>
            <w:r>
              <w:rPr>
                <w:w w:val="104"/>
                <w:sz w:val="16"/>
              </w:rPr>
              <w:t>—</w:t>
            </w:r>
          </w:p>
        </w:tc>
        <w:tc>
          <w:tcPr>
            <w:tcW w:w="253" w:type="dxa"/>
            <w:tcBorders>
              <w:bottom w:val="single" w:sz="6" w:space="0" w:color="CCEDFF"/>
            </w:tcBorders>
          </w:tcPr>
          <w:p>
            <w:pPr>
              <w:pStyle w:val="TableParagraph"/>
              <w:rPr>
                <w:sz w:val="14"/>
              </w:rPr>
            </w:pPr>
          </w:p>
        </w:tc>
        <w:tc>
          <w:tcPr>
            <w:tcW w:w="770" w:type="dxa"/>
            <w:tcBorders>
              <w:bottom w:val="single" w:sz="6" w:space="0" w:color="000000"/>
            </w:tcBorders>
          </w:tcPr>
          <w:p>
            <w:pPr>
              <w:pStyle w:val="TableParagraph"/>
              <w:spacing w:before="32"/>
              <w:ind w:right="6"/>
              <w:jc w:val="right"/>
              <w:rPr>
                <w:sz w:val="16"/>
              </w:rPr>
            </w:pPr>
            <w:r>
              <w:rPr>
                <w:w w:val="104"/>
                <w:sz w:val="16"/>
              </w:rPr>
              <w:t>—</w:t>
            </w:r>
          </w:p>
        </w:tc>
        <w:tc>
          <w:tcPr>
            <w:tcW w:w="225" w:type="dxa"/>
            <w:tcBorders>
              <w:bottom w:val="single" w:sz="6" w:space="0" w:color="CCEDFF"/>
            </w:tcBorders>
          </w:tcPr>
          <w:p>
            <w:pPr>
              <w:pStyle w:val="TableParagraph"/>
              <w:rPr>
                <w:sz w:val="14"/>
              </w:rPr>
            </w:pPr>
          </w:p>
        </w:tc>
        <w:tc>
          <w:tcPr>
            <w:tcW w:w="889" w:type="dxa"/>
            <w:tcBorders>
              <w:bottom w:val="single" w:sz="6" w:space="0" w:color="000000"/>
            </w:tcBorders>
          </w:tcPr>
          <w:p>
            <w:pPr>
              <w:pStyle w:val="TableParagraph"/>
              <w:spacing w:before="32"/>
              <w:ind w:left="-1961" w:right="118"/>
              <w:jc w:val="right"/>
              <w:rPr>
                <w:sz w:val="16"/>
              </w:rPr>
            </w:pPr>
            <w:r>
              <w:rPr>
                <w:spacing w:val="-2"/>
                <w:w w:val="105"/>
                <w:sz w:val="16"/>
              </w:rPr>
              <w:t>10,216</w:t>
            </w:r>
            <w:r>
              <w:rPr>
                <w:spacing w:val="-2"/>
                <w:w w:val="105"/>
                <w:sz w:val="16"/>
                <w:vertAlign w:val="superscript"/>
              </w:rPr>
              <w:t>(22)</w:t>
            </w:r>
          </w:p>
        </w:tc>
        <w:tc>
          <w:tcPr>
            <w:tcW w:w="693" w:type="dxa"/>
            <w:tcBorders>
              <w:bottom w:val="single" w:sz="6" w:space="0" w:color="000000"/>
            </w:tcBorders>
          </w:tcPr>
          <w:p>
            <w:pPr>
              <w:pStyle w:val="TableParagraph"/>
              <w:spacing w:before="32"/>
              <w:ind w:right="16"/>
              <w:jc w:val="right"/>
              <w:rPr>
                <w:sz w:val="16"/>
              </w:rPr>
            </w:pPr>
            <w:r>
              <w:rPr>
                <w:spacing w:val="-2"/>
                <w:w w:val="105"/>
                <w:sz w:val="16"/>
              </w:rPr>
              <w:t>215,966</w:t>
            </w:r>
          </w:p>
        </w:tc>
      </w:tr>
    </w:tbl>
    <w:p>
      <w:pPr>
        <w:tabs>
          <w:tab w:pos="693" w:val="left" w:leader="none"/>
        </w:tabs>
        <w:spacing w:before="51"/>
        <w:ind w:left="0" w:right="2198" w:firstLine="0"/>
        <w:jc w:val="center"/>
        <w:rPr>
          <w:b/>
          <w:sz w:val="16"/>
        </w:rPr>
      </w:pPr>
      <w:r>
        <w:rPr/>
        <w:pict>
          <v:rect style="position:absolute;margin-left:254.774536pt;margin-top:12.813628pt;width:27.959695pt;height:.698992pt;mso-position-horizontal-relative:page;mso-position-vertical-relative:paragraph;z-index:-15667200;mso-wrap-distance-left:0;mso-wrap-distance-right:0" id="docshape410" filled="true" fillcolor="#000000" stroked="false">
            <v:fill type="solid"/>
            <w10:wrap type="topAndBottom"/>
          </v:rect>
        </w:pict>
      </w:r>
      <w:r>
        <w:rPr/>
        <w:pict>
          <v:rect style="position:absolute;margin-left:306.499969pt;margin-top:12.813628pt;width:27.260702pt;height:.698992pt;mso-position-horizontal-relative:page;mso-position-vertical-relative:paragraph;z-index:-15666688;mso-wrap-distance-left:0;mso-wrap-distance-right:0" id="docshape411" filled="true" fillcolor="#000000" stroked="false">
            <v:fill type="solid"/>
            <w10:wrap type="topAndBottom"/>
          </v:rect>
        </w:pict>
      </w:r>
      <w:r>
        <w:rPr/>
        <w:pict>
          <v:shape style="position:absolute;margin-left:308.335907pt;margin-top:.231766pt;width:210.2pt;height:34.6pt;mso-position-horizontal-relative:page;mso-position-vertical-relative:paragraph;z-index:15795200" type="#_x0000_t202" id="docshape41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
                    <w:gridCol w:w="466"/>
                    <w:gridCol w:w="251"/>
                    <w:gridCol w:w="768"/>
                    <w:gridCol w:w="279"/>
                    <w:gridCol w:w="545"/>
                    <w:gridCol w:w="293"/>
                    <w:gridCol w:w="675"/>
                  </w:tblGrid>
                  <w:tr>
                    <w:trPr>
                      <w:trHeight w:val="251" w:hRule="atLeast"/>
                    </w:trPr>
                    <w:tc>
                      <w:tcPr>
                        <w:tcW w:w="922" w:type="dxa"/>
                      </w:tcPr>
                      <w:p>
                        <w:pPr>
                          <w:pStyle w:val="TableParagraph"/>
                          <w:spacing w:before="46"/>
                          <w:ind w:right="408"/>
                          <w:jc w:val="right"/>
                          <w:rPr>
                            <w:b/>
                            <w:sz w:val="16"/>
                          </w:rPr>
                        </w:pPr>
                        <w:r>
                          <w:rPr>
                            <w:b/>
                            <w:spacing w:val="-2"/>
                            <w:w w:val="105"/>
                            <w:sz w:val="16"/>
                          </w:rPr>
                          <w:t>52,973</w:t>
                        </w:r>
                      </w:p>
                    </w:tc>
                    <w:tc>
                      <w:tcPr>
                        <w:tcW w:w="466" w:type="dxa"/>
                        <w:tcBorders>
                          <w:bottom w:val="single" w:sz="6" w:space="0" w:color="000000"/>
                        </w:tcBorders>
                      </w:tcPr>
                      <w:p>
                        <w:pPr>
                          <w:pStyle w:val="TableParagraph"/>
                          <w:rPr>
                            <w:sz w:val="14"/>
                          </w:rPr>
                        </w:pPr>
                      </w:p>
                    </w:tc>
                    <w:tc>
                      <w:tcPr>
                        <w:tcW w:w="251" w:type="dxa"/>
                      </w:tcPr>
                      <w:p>
                        <w:pPr>
                          <w:pStyle w:val="TableParagraph"/>
                          <w:rPr>
                            <w:sz w:val="14"/>
                          </w:rPr>
                        </w:pPr>
                      </w:p>
                    </w:tc>
                    <w:tc>
                      <w:tcPr>
                        <w:tcW w:w="768" w:type="dxa"/>
                        <w:tcBorders>
                          <w:bottom w:val="single" w:sz="6" w:space="0" w:color="000000"/>
                        </w:tcBorders>
                      </w:tcPr>
                      <w:p>
                        <w:pPr>
                          <w:pStyle w:val="TableParagraph"/>
                          <w:rPr>
                            <w:sz w:val="14"/>
                          </w:rPr>
                        </w:pPr>
                      </w:p>
                    </w:tc>
                    <w:tc>
                      <w:tcPr>
                        <w:tcW w:w="279" w:type="dxa"/>
                      </w:tcPr>
                      <w:p>
                        <w:pPr>
                          <w:pStyle w:val="TableParagraph"/>
                          <w:rPr>
                            <w:sz w:val="14"/>
                          </w:rPr>
                        </w:pPr>
                      </w:p>
                    </w:tc>
                    <w:tc>
                      <w:tcPr>
                        <w:tcW w:w="545" w:type="dxa"/>
                        <w:tcBorders>
                          <w:bottom w:val="single" w:sz="6" w:space="0" w:color="000000"/>
                        </w:tcBorders>
                      </w:tcPr>
                      <w:p>
                        <w:pPr>
                          <w:pStyle w:val="TableParagraph"/>
                          <w:spacing w:before="46"/>
                          <w:ind w:right="-15"/>
                          <w:jc w:val="right"/>
                          <w:rPr>
                            <w:b/>
                            <w:sz w:val="16"/>
                          </w:rPr>
                        </w:pPr>
                        <w:r>
                          <w:rPr>
                            <w:b/>
                            <w:spacing w:val="-2"/>
                            <w:w w:val="105"/>
                            <w:sz w:val="16"/>
                          </w:rPr>
                          <w:t>28,222</w:t>
                        </w:r>
                      </w:p>
                    </w:tc>
                    <w:tc>
                      <w:tcPr>
                        <w:tcW w:w="293" w:type="dxa"/>
                      </w:tcPr>
                      <w:p>
                        <w:pPr>
                          <w:pStyle w:val="TableParagraph"/>
                          <w:rPr>
                            <w:sz w:val="14"/>
                          </w:rPr>
                        </w:pPr>
                      </w:p>
                    </w:tc>
                    <w:tc>
                      <w:tcPr>
                        <w:tcW w:w="675" w:type="dxa"/>
                        <w:tcBorders>
                          <w:bottom w:val="single" w:sz="6" w:space="0" w:color="000000"/>
                        </w:tcBorders>
                      </w:tcPr>
                      <w:p>
                        <w:pPr>
                          <w:pStyle w:val="TableParagraph"/>
                          <w:spacing w:before="46"/>
                          <w:ind w:right="-15"/>
                          <w:jc w:val="right"/>
                          <w:rPr>
                            <w:b/>
                            <w:sz w:val="16"/>
                          </w:rPr>
                        </w:pPr>
                        <w:r>
                          <w:rPr>
                            <w:b/>
                            <w:spacing w:val="-2"/>
                            <w:w w:val="105"/>
                            <w:sz w:val="16"/>
                          </w:rPr>
                          <w:t>596,613</w:t>
                        </w:r>
                      </w:p>
                    </w:tc>
                  </w:tr>
                  <w:tr>
                    <w:trPr>
                      <w:trHeight w:val="222" w:hRule="atLeast"/>
                    </w:trPr>
                    <w:tc>
                      <w:tcPr>
                        <w:tcW w:w="922" w:type="dxa"/>
                      </w:tcPr>
                      <w:p>
                        <w:pPr>
                          <w:pStyle w:val="TableParagraph"/>
                          <w:spacing w:before="18"/>
                          <w:ind w:right="408"/>
                          <w:jc w:val="right"/>
                          <w:rPr>
                            <w:sz w:val="16"/>
                          </w:rPr>
                        </w:pPr>
                        <w:r>
                          <w:rPr>
                            <w:w w:val="104"/>
                            <w:sz w:val="16"/>
                          </w:rPr>
                          <w:t>—</w:t>
                        </w:r>
                      </w:p>
                    </w:tc>
                    <w:tc>
                      <w:tcPr>
                        <w:tcW w:w="466" w:type="dxa"/>
                        <w:tcBorders>
                          <w:top w:val="single" w:sz="6" w:space="0" w:color="000000"/>
                        </w:tcBorders>
                      </w:tcPr>
                      <w:p>
                        <w:pPr>
                          <w:pStyle w:val="TableParagraph"/>
                          <w:spacing w:before="18"/>
                          <w:jc w:val="center"/>
                          <w:rPr>
                            <w:sz w:val="16"/>
                          </w:rPr>
                        </w:pPr>
                        <w:r>
                          <w:rPr>
                            <w:spacing w:val="-2"/>
                            <w:w w:val="105"/>
                            <w:sz w:val="16"/>
                          </w:rPr>
                          <w:t>$34.13</w:t>
                        </w:r>
                      </w:p>
                    </w:tc>
                    <w:tc>
                      <w:tcPr>
                        <w:tcW w:w="251" w:type="dxa"/>
                      </w:tcPr>
                      <w:p>
                        <w:pPr>
                          <w:pStyle w:val="TableParagraph"/>
                          <w:rPr>
                            <w:sz w:val="14"/>
                          </w:rPr>
                        </w:pPr>
                      </w:p>
                    </w:tc>
                    <w:tc>
                      <w:tcPr>
                        <w:tcW w:w="768" w:type="dxa"/>
                        <w:tcBorders>
                          <w:top w:val="single" w:sz="6" w:space="0" w:color="000000"/>
                        </w:tcBorders>
                      </w:tcPr>
                      <w:p>
                        <w:pPr>
                          <w:pStyle w:val="TableParagraph"/>
                          <w:spacing w:before="18"/>
                          <w:jc w:val="right"/>
                          <w:rPr>
                            <w:sz w:val="16"/>
                          </w:rPr>
                        </w:pPr>
                        <w:r>
                          <w:rPr>
                            <w:spacing w:val="-2"/>
                            <w:w w:val="105"/>
                            <w:sz w:val="16"/>
                          </w:rPr>
                          <w:t>5/15/2024</w:t>
                        </w:r>
                      </w:p>
                    </w:tc>
                    <w:tc>
                      <w:tcPr>
                        <w:tcW w:w="279" w:type="dxa"/>
                      </w:tcPr>
                      <w:p>
                        <w:pPr>
                          <w:pStyle w:val="TableParagraph"/>
                          <w:rPr>
                            <w:sz w:val="14"/>
                          </w:rPr>
                        </w:pPr>
                      </w:p>
                    </w:tc>
                    <w:tc>
                      <w:tcPr>
                        <w:tcW w:w="545" w:type="dxa"/>
                        <w:tcBorders>
                          <w:top w:val="single" w:sz="6" w:space="0" w:color="000000"/>
                        </w:tcBorders>
                      </w:tcPr>
                      <w:p>
                        <w:pPr>
                          <w:pStyle w:val="TableParagraph"/>
                          <w:spacing w:before="18"/>
                          <w:ind w:right="-15"/>
                          <w:jc w:val="right"/>
                          <w:rPr>
                            <w:sz w:val="16"/>
                          </w:rPr>
                        </w:pPr>
                        <w:r>
                          <w:rPr>
                            <w:w w:val="104"/>
                            <w:sz w:val="16"/>
                          </w:rPr>
                          <w:t>—</w:t>
                        </w:r>
                      </w:p>
                    </w:tc>
                    <w:tc>
                      <w:tcPr>
                        <w:tcW w:w="293" w:type="dxa"/>
                      </w:tcPr>
                      <w:p>
                        <w:pPr>
                          <w:pStyle w:val="TableParagraph"/>
                          <w:rPr>
                            <w:sz w:val="14"/>
                          </w:rPr>
                        </w:pPr>
                      </w:p>
                    </w:tc>
                    <w:tc>
                      <w:tcPr>
                        <w:tcW w:w="675" w:type="dxa"/>
                        <w:tcBorders>
                          <w:top w:val="single" w:sz="6" w:space="0" w:color="000000"/>
                        </w:tcBorders>
                      </w:tcPr>
                      <w:p>
                        <w:pPr>
                          <w:pStyle w:val="TableParagraph"/>
                          <w:spacing w:before="18"/>
                          <w:ind w:right="-15"/>
                          <w:jc w:val="right"/>
                          <w:rPr>
                            <w:sz w:val="16"/>
                          </w:rPr>
                        </w:pPr>
                        <w:r>
                          <w:rPr>
                            <w:w w:val="104"/>
                            <w:sz w:val="16"/>
                          </w:rPr>
                          <w:t>—</w:t>
                        </w:r>
                      </w:p>
                    </w:tc>
                  </w:tr>
                  <w:tr>
                    <w:trPr>
                      <w:trHeight w:val="204" w:hRule="atLeast"/>
                    </w:trPr>
                    <w:tc>
                      <w:tcPr>
                        <w:tcW w:w="922" w:type="dxa"/>
                      </w:tcPr>
                      <w:p>
                        <w:pPr>
                          <w:pStyle w:val="TableParagraph"/>
                          <w:spacing w:line="166" w:lineRule="exact" w:before="19"/>
                          <w:ind w:right="408"/>
                          <w:jc w:val="right"/>
                          <w:rPr>
                            <w:sz w:val="16"/>
                          </w:rPr>
                        </w:pPr>
                        <w:r>
                          <w:rPr>
                            <w:w w:val="104"/>
                            <w:sz w:val="16"/>
                          </w:rPr>
                          <w:t>—</w:t>
                        </w:r>
                      </w:p>
                    </w:tc>
                    <w:tc>
                      <w:tcPr>
                        <w:tcW w:w="466" w:type="dxa"/>
                      </w:tcPr>
                      <w:p>
                        <w:pPr>
                          <w:pStyle w:val="TableParagraph"/>
                          <w:spacing w:line="166" w:lineRule="exact" w:before="19"/>
                          <w:jc w:val="center"/>
                          <w:rPr>
                            <w:sz w:val="16"/>
                          </w:rPr>
                        </w:pPr>
                        <w:r>
                          <w:rPr>
                            <w:spacing w:val="-2"/>
                            <w:w w:val="105"/>
                            <w:sz w:val="16"/>
                          </w:rPr>
                          <w:t>$37.10</w:t>
                        </w:r>
                      </w:p>
                    </w:tc>
                    <w:tc>
                      <w:tcPr>
                        <w:tcW w:w="251" w:type="dxa"/>
                      </w:tcPr>
                      <w:p>
                        <w:pPr>
                          <w:pStyle w:val="TableParagraph"/>
                          <w:rPr>
                            <w:sz w:val="14"/>
                          </w:rPr>
                        </w:pPr>
                      </w:p>
                    </w:tc>
                    <w:tc>
                      <w:tcPr>
                        <w:tcW w:w="768" w:type="dxa"/>
                      </w:tcPr>
                      <w:p>
                        <w:pPr>
                          <w:pStyle w:val="TableParagraph"/>
                          <w:spacing w:line="166" w:lineRule="exact" w:before="19"/>
                          <w:jc w:val="right"/>
                          <w:rPr>
                            <w:sz w:val="16"/>
                          </w:rPr>
                        </w:pPr>
                        <w:r>
                          <w:rPr>
                            <w:spacing w:val="-2"/>
                            <w:w w:val="105"/>
                            <w:sz w:val="16"/>
                          </w:rPr>
                          <w:t>2/15/2025</w:t>
                        </w:r>
                      </w:p>
                    </w:tc>
                    <w:tc>
                      <w:tcPr>
                        <w:tcW w:w="279" w:type="dxa"/>
                      </w:tcPr>
                      <w:p>
                        <w:pPr>
                          <w:pStyle w:val="TableParagraph"/>
                          <w:rPr>
                            <w:sz w:val="14"/>
                          </w:rPr>
                        </w:pPr>
                      </w:p>
                    </w:tc>
                    <w:tc>
                      <w:tcPr>
                        <w:tcW w:w="545" w:type="dxa"/>
                      </w:tcPr>
                      <w:p>
                        <w:pPr>
                          <w:pStyle w:val="TableParagraph"/>
                          <w:spacing w:line="166" w:lineRule="exact" w:before="19"/>
                          <w:ind w:right="-15"/>
                          <w:jc w:val="right"/>
                          <w:rPr>
                            <w:sz w:val="16"/>
                          </w:rPr>
                        </w:pPr>
                        <w:r>
                          <w:rPr>
                            <w:w w:val="104"/>
                            <w:sz w:val="16"/>
                          </w:rPr>
                          <w:t>—</w:t>
                        </w:r>
                      </w:p>
                    </w:tc>
                    <w:tc>
                      <w:tcPr>
                        <w:tcW w:w="293" w:type="dxa"/>
                      </w:tcPr>
                      <w:p>
                        <w:pPr>
                          <w:pStyle w:val="TableParagraph"/>
                          <w:rPr>
                            <w:sz w:val="14"/>
                          </w:rPr>
                        </w:pPr>
                      </w:p>
                    </w:tc>
                    <w:tc>
                      <w:tcPr>
                        <w:tcW w:w="675" w:type="dxa"/>
                      </w:tcPr>
                      <w:p>
                        <w:pPr>
                          <w:pStyle w:val="TableParagraph"/>
                          <w:spacing w:line="166" w:lineRule="exact" w:before="19"/>
                          <w:ind w:right="-15"/>
                          <w:jc w:val="right"/>
                          <w:rPr>
                            <w:sz w:val="16"/>
                          </w:rPr>
                        </w:pPr>
                        <w:r>
                          <w:rPr>
                            <w:w w:val="104"/>
                            <w:sz w:val="16"/>
                          </w:rPr>
                          <w:t>—</w:t>
                        </w:r>
                      </w:p>
                    </w:tc>
                  </w:tr>
                </w:tbl>
                <w:p>
                  <w:pPr>
                    <w:pStyle w:val="BodyText"/>
                  </w:pPr>
                </w:p>
              </w:txbxContent>
            </v:textbox>
            <w10:wrap type="none"/>
          </v:shape>
        </w:pict>
      </w:r>
      <w:r>
        <w:rPr>
          <w:b/>
          <w:spacing w:val="-2"/>
          <w:w w:val="105"/>
          <w:sz w:val="16"/>
        </w:rPr>
        <w:t>Total</w:t>
      </w:r>
      <w:r>
        <w:rPr>
          <w:b/>
          <w:sz w:val="16"/>
        </w:rPr>
        <w:tab/>
      </w:r>
      <w:r>
        <w:rPr>
          <w:b/>
          <w:spacing w:val="-2"/>
          <w:w w:val="105"/>
          <w:sz w:val="16"/>
        </w:rPr>
        <w:t>123,838</w:t>
      </w:r>
    </w:p>
    <w:p>
      <w:pPr>
        <w:tabs>
          <w:tab w:pos="2216" w:val="left" w:leader="none"/>
          <w:tab w:pos="3307" w:val="left" w:leader="none"/>
        </w:tabs>
        <w:spacing w:before="18"/>
        <w:ind w:left="0" w:right="6009" w:firstLine="0"/>
        <w:jc w:val="right"/>
        <w:rPr>
          <w:sz w:val="16"/>
        </w:rPr>
      </w:pPr>
      <w:r>
        <w:rPr>
          <w:w w:val="105"/>
          <w:sz w:val="16"/>
        </w:rPr>
        <w:t>Brian</w:t>
      </w:r>
      <w:r>
        <w:rPr>
          <w:spacing w:val="-1"/>
          <w:w w:val="105"/>
          <w:sz w:val="16"/>
        </w:rPr>
        <w:t> </w:t>
      </w:r>
      <w:r>
        <w:rPr>
          <w:w w:val="105"/>
          <w:sz w:val="16"/>
        </w:rPr>
        <w:t>W.</w:t>
      </w:r>
      <w:r>
        <w:rPr>
          <w:spacing w:val="3"/>
          <w:w w:val="105"/>
          <w:sz w:val="16"/>
        </w:rPr>
        <w:t> </w:t>
      </w:r>
      <w:r>
        <w:rPr>
          <w:spacing w:val="-2"/>
          <w:w w:val="105"/>
          <w:sz w:val="16"/>
        </w:rPr>
        <w:t>Giambattista</w:t>
      </w:r>
      <w:r>
        <w:rPr>
          <w:sz w:val="16"/>
        </w:rPr>
        <w:tab/>
      </w:r>
      <w:r>
        <w:rPr>
          <w:spacing w:val="-2"/>
          <w:w w:val="105"/>
          <w:sz w:val="16"/>
        </w:rPr>
        <w:t>5/25/2017</w:t>
      </w:r>
      <w:r>
        <w:rPr>
          <w:sz w:val="16"/>
        </w:rPr>
        <w:tab/>
      </w:r>
      <w:r>
        <w:rPr>
          <w:spacing w:val="-2"/>
          <w:w w:val="105"/>
          <w:sz w:val="16"/>
        </w:rPr>
        <w:t>37,359</w:t>
      </w:r>
      <w:r>
        <w:rPr>
          <w:spacing w:val="-2"/>
          <w:w w:val="105"/>
          <w:sz w:val="16"/>
          <w:vertAlign w:val="superscript"/>
        </w:rPr>
        <w:t>(8)</w:t>
      </w:r>
    </w:p>
    <w:p>
      <w:pPr>
        <w:tabs>
          <w:tab w:pos="1096" w:val="left" w:leader="none"/>
        </w:tabs>
        <w:spacing w:before="40" w:after="42"/>
        <w:ind w:left="0" w:right="6009" w:firstLine="0"/>
        <w:jc w:val="right"/>
        <w:rPr>
          <w:sz w:val="16"/>
        </w:rPr>
      </w:pPr>
      <w:r>
        <w:rPr>
          <w:spacing w:val="-2"/>
          <w:w w:val="105"/>
          <w:sz w:val="16"/>
        </w:rPr>
        <w:t>2/15/2018</w:t>
      </w:r>
      <w:r>
        <w:rPr>
          <w:sz w:val="16"/>
        </w:rPr>
        <w:tab/>
      </w:r>
      <w:r>
        <w:rPr>
          <w:spacing w:val="-2"/>
          <w:w w:val="105"/>
          <w:sz w:val="16"/>
        </w:rPr>
        <w:t>15,113</w:t>
      </w:r>
      <w:r>
        <w:rPr>
          <w:spacing w:val="-2"/>
          <w:w w:val="105"/>
          <w:sz w:val="16"/>
          <w:vertAlign w:val="superscript"/>
        </w:rPr>
        <w:t>(9)</w:t>
      </w: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5"/>
        <w:gridCol w:w="772"/>
        <w:gridCol w:w="318"/>
        <w:gridCol w:w="1034"/>
        <w:gridCol w:w="959"/>
        <w:gridCol w:w="467"/>
        <w:gridCol w:w="252"/>
        <w:gridCol w:w="769"/>
        <w:gridCol w:w="280"/>
        <w:gridCol w:w="839"/>
        <w:gridCol w:w="685"/>
      </w:tblGrid>
      <w:tr>
        <w:trPr>
          <w:trHeight w:val="208" w:hRule="atLeast"/>
        </w:trPr>
        <w:tc>
          <w:tcPr>
            <w:tcW w:w="2125" w:type="dxa"/>
            <w:vMerge w:val="restart"/>
            <w:tcBorders>
              <w:bottom w:val="single" w:sz="6" w:space="0" w:color="CCEDFF"/>
            </w:tcBorders>
          </w:tcPr>
          <w:p>
            <w:pPr>
              <w:pStyle w:val="TableParagraph"/>
              <w:rPr>
                <w:sz w:val="14"/>
              </w:rPr>
            </w:pPr>
          </w:p>
        </w:tc>
        <w:tc>
          <w:tcPr>
            <w:tcW w:w="772" w:type="dxa"/>
          </w:tcPr>
          <w:p>
            <w:pPr>
              <w:pStyle w:val="TableParagraph"/>
              <w:spacing w:line="177" w:lineRule="exact" w:before="12"/>
              <w:ind w:right="-15"/>
              <w:jc w:val="right"/>
              <w:rPr>
                <w:sz w:val="16"/>
              </w:rPr>
            </w:pPr>
            <w:r>
              <w:rPr>
                <w:spacing w:val="-2"/>
                <w:w w:val="105"/>
                <w:sz w:val="16"/>
              </w:rPr>
              <w:t>2/15/2019</w:t>
            </w:r>
          </w:p>
        </w:tc>
        <w:tc>
          <w:tcPr>
            <w:tcW w:w="318" w:type="dxa"/>
          </w:tcPr>
          <w:p>
            <w:pPr>
              <w:pStyle w:val="TableParagraph"/>
              <w:rPr>
                <w:sz w:val="14"/>
              </w:rPr>
            </w:pPr>
          </w:p>
        </w:tc>
        <w:tc>
          <w:tcPr>
            <w:tcW w:w="1034" w:type="dxa"/>
          </w:tcPr>
          <w:p>
            <w:pPr>
              <w:pStyle w:val="TableParagraph"/>
              <w:spacing w:line="177" w:lineRule="exact" w:before="12"/>
              <w:ind w:left="92"/>
              <w:rPr>
                <w:sz w:val="16"/>
              </w:rPr>
            </w:pPr>
            <w:r>
              <w:rPr>
                <w:spacing w:val="-2"/>
                <w:w w:val="105"/>
                <w:sz w:val="16"/>
              </w:rPr>
              <w:t>15,691</w:t>
            </w:r>
            <w:r>
              <w:rPr>
                <w:spacing w:val="-2"/>
                <w:w w:val="105"/>
                <w:sz w:val="16"/>
                <w:vertAlign w:val="superscript"/>
              </w:rPr>
              <w:t>(11)</w:t>
            </w:r>
          </w:p>
        </w:tc>
        <w:tc>
          <w:tcPr>
            <w:tcW w:w="959" w:type="dxa"/>
          </w:tcPr>
          <w:p>
            <w:pPr>
              <w:pStyle w:val="TableParagraph"/>
              <w:spacing w:line="177" w:lineRule="exact" w:before="12"/>
              <w:ind w:right="241"/>
              <w:jc w:val="right"/>
              <w:rPr>
                <w:sz w:val="16"/>
              </w:rPr>
            </w:pPr>
            <w:r>
              <w:rPr>
                <w:spacing w:val="-2"/>
                <w:w w:val="105"/>
                <w:sz w:val="16"/>
              </w:rPr>
              <w:t>1,825</w:t>
            </w:r>
            <w:r>
              <w:rPr>
                <w:spacing w:val="-2"/>
                <w:w w:val="105"/>
                <w:sz w:val="16"/>
                <w:vertAlign w:val="superscript"/>
              </w:rPr>
              <w:t>(11)</w:t>
            </w:r>
          </w:p>
        </w:tc>
        <w:tc>
          <w:tcPr>
            <w:tcW w:w="467" w:type="dxa"/>
          </w:tcPr>
          <w:p>
            <w:pPr>
              <w:pStyle w:val="TableParagraph"/>
              <w:spacing w:line="177" w:lineRule="exact" w:before="12"/>
              <w:jc w:val="right"/>
              <w:rPr>
                <w:sz w:val="16"/>
              </w:rPr>
            </w:pPr>
            <w:r>
              <w:rPr>
                <w:spacing w:val="-2"/>
                <w:w w:val="105"/>
                <w:sz w:val="16"/>
              </w:rPr>
              <w:t>$31.42</w:t>
            </w:r>
          </w:p>
        </w:tc>
        <w:tc>
          <w:tcPr>
            <w:tcW w:w="252" w:type="dxa"/>
          </w:tcPr>
          <w:p>
            <w:pPr>
              <w:pStyle w:val="TableParagraph"/>
              <w:rPr>
                <w:sz w:val="14"/>
              </w:rPr>
            </w:pPr>
          </w:p>
        </w:tc>
        <w:tc>
          <w:tcPr>
            <w:tcW w:w="769" w:type="dxa"/>
          </w:tcPr>
          <w:p>
            <w:pPr>
              <w:pStyle w:val="TableParagraph"/>
              <w:spacing w:line="177" w:lineRule="exact" w:before="12"/>
              <w:jc w:val="right"/>
              <w:rPr>
                <w:sz w:val="16"/>
              </w:rPr>
            </w:pPr>
            <w:r>
              <w:rPr>
                <w:spacing w:val="-2"/>
                <w:w w:val="105"/>
                <w:sz w:val="16"/>
              </w:rPr>
              <w:t>2/15/2026</w:t>
            </w:r>
          </w:p>
        </w:tc>
        <w:tc>
          <w:tcPr>
            <w:tcW w:w="280" w:type="dxa"/>
          </w:tcPr>
          <w:p>
            <w:pPr>
              <w:pStyle w:val="TableParagraph"/>
              <w:rPr>
                <w:sz w:val="14"/>
              </w:rPr>
            </w:pPr>
          </w:p>
        </w:tc>
        <w:tc>
          <w:tcPr>
            <w:tcW w:w="839" w:type="dxa"/>
          </w:tcPr>
          <w:p>
            <w:pPr>
              <w:pStyle w:val="TableParagraph"/>
              <w:spacing w:line="177" w:lineRule="exact" w:before="12"/>
              <w:ind w:left="90"/>
              <w:jc w:val="center"/>
              <w:rPr>
                <w:sz w:val="16"/>
              </w:rPr>
            </w:pPr>
            <w:r>
              <w:rPr>
                <w:w w:val="104"/>
                <w:sz w:val="16"/>
              </w:rPr>
              <w:t>—</w:t>
            </w:r>
          </w:p>
        </w:tc>
        <w:tc>
          <w:tcPr>
            <w:tcW w:w="685" w:type="dxa"/>
          </w:tcPr>
          <w:p>
            <w:pPr>
              <w:pStyle w:val="TableParagraph"/>
              <w:spacing w:line="177" w:lineRule="exact" w:before="12"/>
              <w:ind w:right="7"/>
              <w:jc w:val="right"/>
              <w:rPr>
                <w:sz w:val="16"/>
              </w:rPr>
            </w:pPr>
            <w:r>
              <w:rPr>
                <w:w w:val="104"/>
                <w:sz w:val="16"/>
              </w:rPr>
              <w:t>—</w:t>
            </w:r>
          </w:p>
        </w:tc>
      </w:tr>
      <w:tr>
        <w:trPr>
          <w:trHeight w:val="208" w:hRule="atLeast"/>
        </w:trPr>
        <w:tc>
          <w:tcPr>
            <w:tcW w:w="2125" w:type="dxa"/>
            <w:vMerge/>
            <w:tcBorders>
              <w:top w:val="nil"/>
              <w:bottom w:val="single" w:sz="6" w:space="0" w:color="CCEDFF"/>
            </w:tcBorders>
          </w:tcPr>
          <w:p>
            <w:pPr>
              <w:rPr>
                <w:sz w:val="2"/>
                <w:szCs w:val="2"/>
              </w:rPr>
            </w:pPr>
          </w:p>
        </w:tc>
        <w:tc>
          <w:tcPr>
            <w:tcW w:w="772" w:type="dxa"/>
          </w:tcPr>
          <w:p>
            <w:pPr>
              <w:pStyle w:val="TableParagraph"/>
              <w:spacing w:line="177" w:lineRule="exact" w:before="11"/>
              <w:ind w:right="-15"/>
              <w:jc w:val="right"/>
              <w:rPr>
                <w:sz w:val="16"/>
              </w:rPr>
            </w:pPr>
            <w:r>
              <w:rPr>
                <w:spacing w:val="-2"/>
                <w:w w:val="105"/>
                <w:sz w:val="16"/>
              </w:rPr>
              <w:t>2/18/2020</w:t>
            </w:r>
          </w:p>
        </w:tc>
        <w:tc>
          <w:tcPr>
            <w:tcW w:w="318" w:type="dxa"/>
          </w:tcPr>
          <w:p>
            <w:pPr>
              <w:pStyle w:val="TableParagraph"/>
              <w:rPr>
                <w:sz w:val="14"/>
              </w:rPr>
            </w:pPr>
          </w:p>
        </w:tc>
        <w:tc>
          <w:tcPr>
            <w:tcW w:w="1034" w:type="dxa"/>
          </w:tcPr>
          <w:p>
            <w:pPr>
              <w:pStyle w:val="TableParagraph"/>
              <w:spacing w:line="177" w:lineRule="exact" w:before="11"/>
              <w:ind w:left="92"/>
              <w:rPr>
                <w:sz w:val="16"/>
              </w:rPr>
            </w:pPr>
            <w:r>
              <w:rPr>
                <w:spacing w:val="-2"/>
                <w:w w:val="105"/>
                <w:sz w:val="16"/>
              </w:rPr>
              <w:t>19,005</w:t>
            </w:r>
            <w:r>
              <w:rPr>
                <w:spacing w:val="-2"/>
                <w:w w:val="105"/>
                <w:sz w:val="16"/>
                <w:vertAlign w:val="superscript"/>
              </w:rPr>
              <w:t>(12)</w:t>
            </w:r>
          </w:p>
        </w:tc>
        <w:tc>
          <w:tcPr>
            <w:tcW w:w="959" w:type="dxa"/>
          </w:tcPr>
          <w:p>
            <w:pPr>
              <w:pStyle w:val="TableParagraph"/>
              <w:spacing w:line="177" w:lineRule="exact" w:before="11"/>
              <w:ind w:left="87"/>
              <w:rPr>
                <w:sz w:val="16"/>
              </w:rPr>
            </w:pPr>
            <w:r>
              <w:rPr>
                <w:spacing w:val="-2"/>
                <w:w w:val="105"/>
                <w:sz w:val="16"/>
              </w:rPr>
              <w:t>10,423</w:t>
            </w:r>
            <w:r>
              <w:rPr>
                <w:spacing w:val="-2"/>
                <w:w w:val="105"/>
                <w:sz w:val="16"/>
                <w:vertAlign w:val="superscript"/>
              </w:rPr>
              <w:t>(12)</w:t>
            </w:r>
          </w:p>
        </w:tc>
        <w:tc>
          <w:tcPr>
            <w:tcW w:w="467" w:type="dxa"/>
          </w:tcPr>
          <w:p>
            <w:pPr>
              <w:pStyle w:val="TableParagraph"/>
              <w:spacing w:line="177" w:lineRule="exact" w:before="11"/>
              <w:jc w:val="right"/>
              <w:rPr>
                <w:sz w:val="16"/>
              </w:rPr>
            </w:pPr>
            <w:r>
              <w:rPr>
                <w:spacing w:val="-2"/>
                <w:w w:val="105"/>
                <w:sz w:val="16"/>
              </w:rPr>
              <w:t>$28.12</w:t>
            </w:r>
          </w:p>
        </w:tc>
        <w:tc>
          <w:tcPr>
            <w:tcW w:w="252" w:type="dxa"/>
          </w:tcPr>
          <w:p>
            <w:pPr>
              <w:pStyle w:val="TableParagraph"/>
              <w:rPr>
                <w:sz w:val="14"/>
              </w:rPr>
            </w:pPr>
          </w:p>
        </w:tc>
        <w:tc>
          <w:tcPr>
            <w:tcW w:w="769" w:type="dxa"/>
          </w:tcPr>
          <w:p>
            <w:pPr>
              <w:pStyle w:val="TableParagraph"/>
              <w:spacing w:line="177" w:lineRule="exact" w:before="11"/>
              <w:jc w:val="right"/>
              <w:rPr>
                <w:sz w:val="16"/>
              </w:rPr>
            </w:pPr>
            <w:r>
              <w:rPr>
                <w:spacing w:val="-2"/>
                <w:w w:val="105"/>
                <w:sz w:val="16"/>
              </w:rPr>
              <w:t>2/15/2030</w:t>
            </w:r>
          </w:p>
        </w:tc>
        <w:tc>
          <w:tcPr>
            <w:tcW w:w="280" w:type="dxa"/>
          </w:tcPr>
          <w:p>
            <w:pPr>
              <w:pStyle w:val="TableParagraph"/>
              <w:rPr>
                <w:sz w:val="14"/>
              </w:rPr>
            </w:pPr>
          </w:p>
        </w:tc>
        <w:tc>
          <w:tcPr>
            <w:tcW w:w="839" w:type="dxa"/>
          </w:tcPr>
          <w:p>
            <w:pPr>
              <w:pStyle w:val="TableParagraph"/>
              <w:spacing w:line="177" w:lineRule="exact" w:before="11"/>
              <w:ind w:left="90"/>
              <w:jc w:val="center"/>
              <w:rPr>
                <w:sz w:val="16"/>
              </w:rPr>
            </w:pPr>
            <w:r>
              <w:rPr>
                <w:w w:val="104"/>
                <w:sz w:val="16"/>
              </w:rPr>
              <w:t>—</w:t>
            </w:r>
          </w:p>
        </w:tc>
        <w:tc>
          <w:tcPr>
            <w:tcW w:w="685" w:type="dxa"/>
          </w:tcPr>
          <w:p>
            <w:pPr>
              <w:pStyle w:val="TableParagraph"/>
              <w:spacing w:line="177" w:lineRule="exact" w:before="11"/>
              <w:ind w:right="7"/>
              <w:jc w:val="right"/>
              <w:rPr>
                <w:sz w:val="16"/>
              </w:rPr>
            </w:pPr>
            <w:r>
              <w:rPr>
                <w:w w:val="104"/>
                <w:sz w:val="16"/>
              </w:rPr>
              <w:t>—</w:t>
            </w:r>
          </w:p>
        </w:tc>
      </w:tr>
      <w:tr>
        <w:trPr>
          <w:trHeight w:val="209" w:hRule="atLeast"/>
        </w:trPr>
        <w:tc>
          <w:tcPr>
            <w:tcW w:w="2125" w:type="dxa"/>
            <w:vMerge/>
            <w:tcBorders>
              <w:top w:val="nil"/>
              <w:bottom w:val="single" w:sz="6" w:space="0" w:color="CCEDFF"/>
            </w:tcBorders>
          </w:tcPr>
          <w:p>
            <w:pPr>
              <w:rPr>
                <w:sz w:val="2"/>
                <w:szCs w:val="2"/>
              </w:rPr>
            </w:pPr>
          </w:p>
        </w:tc>
        <w:tc>
          <w:tcPr>
            <w:tcW w:w="772" w:type="dxa"/>
          </w:tcPr>
          <w:p>
            <w:pPr>
              <w:pStyle w:val="TableParagraph"/>
              <w:spacing w:line="178" w:lineRule="exact" w:before="11"/>
              <w:ind w:right="-15"/>
              <w:jc w:val="right"/>
              <w:rPr>
                <w:sz w:val="16"/>
              </w:rPr>
            </w:pPr>
            <w:r>
              <w:rPr>
                <w:spacing w:val="-2"/>
                <w:w w:val="105"/>
                <w:sz w:val="16"/>
              </w:rPr>
              <w:t>2/16/2021</w:t>
            </w:r>
          </w:p>
        </w:tc>
        <w:tc>
          <w:tcPr>
            <w:tcW w:w="318" w:type="dxa"/>
          </w:tcPr>
          <w:p>
            <w:pPr>
              <w:pStyle w:val="TableParagraph"/>
              <w:rPr>
                <w:sz w:val="14"/>
              </w:rPr>
            </w:pPr>
          </w:p>
        </w:tc>
        <w:tc>
          <w:tcPr>
            <w:tcW w:w="1034" w:type="dxa"/>
          </w:tcPr>
          <w:p>
            <w:pPr>
              <w:pStyle w:val="TableParagraph"/>
              <w:spacing w:line="178" w:lineRule="exact" w:before="11"/>
              <w:ind w:left="98"/>
              <w:rPr>
                <w:sz w:val="16"/>
              </w:rPr>
            </w:pPr>
            <w:r>
              <w:rPr>
                <w:spacing w:val="-2"/>
                <w:w w:val="105"/>
                <w:sz w:val="16"/>
              </w:rPr>
              <w:t>11,159</w:t>
            </w:r>
            <w:r>
              <w:rPr>
                <w:spacing w:val="-2"/>
                <w:w w:val="105"/>
                <w:sz w:val="16"/>
                <w:vertAlign w:val="superscript"/>
              </w:rPr>
              <w:t>(14)</w:t>
            </w:r>
          </w:p>
        </w:tc>
        <w:tc>
          <w:tcPr>
            <w:tcW w:w="959" w:type="dxa"/>
          </w:tcPr>
          <w:p>
            <w:pPr>
              <w:pStyle w:val="TableParagraph"/>
              <w:spacing w:line="178" w:lineRule="exact" w:before="11"/>
              <w:ind w:left="87"/>
              <w:rPr>
                <w:sz w:val="16"/>
              </w:rPr>
            </w:pPr>
            <w:r>
              <w:rPr>
                <w:spacing w:val="-2"/>
                <w:w w:val="105"/>
                <w:sz w:val="16"/>
              </w:rPr>
              <w:t>17,036</w:t>
            </w:r>
            <w:r>
              <w:rPr>
                <w:spacing w:val="-2"/>
                <w:w w:val="105"/>
                <w:sz w:val="16"/>
                <w:vertAlign w:val="superscript"/>
              </w:rPr>
              <w:t>(14)</w:t>
            </w:r>
          </w:p>
        </w:tc>
        <w:tc>
          <w:tcPr>
            <w:tcW w:w="467" w:type="dxa"/>
          </w:tcPr>
          <w:p>
            <w:pPr>
              <w:pStyle w:val="TableParagraph"/>
              <w:spacing w:line="178" w:lineRule="exact" w:before="11"/>
              <w:jc w:val="right"/>
              <w:rPr>
                <w:sz w:val="16"/>
              </w:rPr>
            </w:pPr>
            <w:r>
              <w:rPr>
                <w:spacing w:val="-2"/>
                <w:w w:val="105"/>
                <w:sz w:val="16"/>
              </w:rPr>
              <w:t>$25.06</w:t>
            </w:r>
          </w:p>
        </w:tc>
        <w:tc>
          <w:tcPr>
            <w:tcW w:w="252" w:type="dxa"/>
          </w:tcPr>
          <w:p>
            <w:pPr>
              <w:pStyle w:val="TableParagraph"/>
              <w:rPr>
                <w:sz w:val="14"/>
              </w:rPr>
            </w:pPr>
          </w:p>
        </w:tc>
        <w:tc>
          <w:tcPr>
            <w:tcW w:w="769" w:type="dxa"/>
          </w:tcPr>
          <w:p>
            <w:pPr>
              <w:pStyle w:val="TableParagraph"/>
              <w:spacing w:line="178" w:lineRule="exact" w:before="11"/>
              <w:jc w:val="right"/>
              <w:rPr>
                <w:sz w:val="16"/>
              </w:rPr>
            </w:pPr>
            <w:r>
              <w:rPr>
                <w:spacing w:val="-2"/>
                <w:w w:val="105"/>
                <w:sz w:val="16"/>
              </w:rPr>
              <w:t>2/16/2031</w:t>
            </w:r>
          </w:p>
        </w:tc>
        <w:tc>
          <w:tcPr>
            <w:tcW w:w="280" w:type="dxa"/>
          </w:tcPr>
          <w:p>
            <w:pPr>
              <w:pStyle w:val="TableParagraph"/>
              <w:rPr>
                <w:sz w:val="14"/>
              </w:rPr>
            </w:pPr>
          </w:p>
        </w:tc>
        <w:tc>
          <w:tcPr>
            <w:tcW w:w="839" w:type="dxa"/>
          </w:tcPr>
          <w:p>
            <w:pPr>
              <w:pStyle w:val="TableParagraph"/>
              <w:spacing w:line="178" w:lineRule="exact" w:before="11"/>
              <w:ind w:left="90"/>
              <w:jc w:val="center"/>
              <w:rPr>
                <w:sz w:val="16"/>
              </w:rPr>
            </w:pPr>
            <w:r>
              <w:rPr>
                <w:w w:val="104"/>
                <w:sz w:val="16"/>
              </w:rPr>
              <w:t>—</w:t>
            </w:r>
          </w:p>
        </w:tc>
        <w:tc>
          <w:tcPr>
            <w:tcW w:w="685" w:type="dxa"/>
          </w:tcPr>
          <w:p>
            <w:pPr>
              <w:pStyle w:val="TableParagraph"/>
              <w:spacing w:line="178" w:lineRule="exact" w:before="11"/>
              <w:ind w:right="7"/>
              <w:jc w:val="right"/>
              <w:rPr>
                <w:sz w:val="16"/>
              </w:rPr>
            </w:pPr>
            <w:r>
              <w:rPr>
                <w:w w:val="104"/>
                <w:sz w:val="16"/>
              </w:rPr>
              <w:t>—</w:t>
            </w:r>
          </w:p>
        </w:tc>
      </w:tr>
      <w:tr>
        <w:trPr>
          <w:trHeight w:val="221" w:hRule="atLeast"/>
        </w:trPr>
        <w:tc>
          <w:tcPr>
            <w:tcW w:w="2125" w:type="dxa"/>
            <w:vMerge/>
            <w:tcBorders>
              <w:top w:val="nil"/>
              <w:bottom w:val="single" w:sz="6" w:space="0" w:color="CCEDFF"/>
            </w:tcBorders>
          </w:tcPr>
          <w:p>
            <w:pPr>
              <w:rPr>
                <w:sz w:val="2"/>
                <w:szCs w:val="2"/>
              </w:rPr>
            </w:pPr>
          </w:p>
        </w:tc>
        <w:tc>
          <w:tcPr>
            <w:tcW w:w="772" w:type="dxa"/>
          </w:tcPr>
          <w:p>
            <w:pPr>
              <w:pStyle w:val="TableParagraph"/>
              <w:spacing w:line="177" w:lineRule="exact" w:before="24"/>
              <w:ind w:right="-15"/>
              <w:jc w:val="right"/>
              <w:rPr>
                <w:sz w:val="16"/>
              </w:rPr>
            </w:pPr>
            <w:r>
              <w:rPr>
                <w:spacing w:val="-2"/>
                <w:w w:val="105"/>
                <w:sz w:val="16"/>
              </w:rPr>
              <w:t>12/10/2021</w:t>
            </w:r>
          </w:p>
        </w:tc>
        <w:tc>
          <w:tcPr>
            <w:tcW w:w="318" w:type="dxa"/>
          </w:tcPr>
          <w:p>
            <w:pPr>
              <w:pStyle w:val="TableParagraph"/>
              <w:rPr>
                <w:sz w:val="14"/>
              </w:rPr>
            </w:pPr>
          </w:p>
        </w:tc>
        <w:tc>
          <w:tcPr>
            <w:tcW w:w="1034" w:type="dxa"/>
          </w:tcPr>
          <w:p>
            <w:pPr>
              <w:pStyle w:val="TableParagraph"/>
              <w:spacing w:line="177" w:lineRule="exact" w:before="24"/>
              <w:ind w:right="93"/>
              <w:jc w:val="center"/>
              <w:rPr>
                <w:sz w:val="16"/>
              </w:rPr>
            </w:pPr>
            <w:r>
              <w:rPr>
                <w:w w:val="104"/>
                <w:sz w:val="16"/>
              </w:rPr>
              <w:t>—</w:t>
            </w:r>
          </w:p>
        </w:tc>
        <w:tc>
          <w:tcPr>
            <w:tcW w:w="959" w:type="dxa"/>
          </w:tcPr>
          <w:p>
            <w:pPr>
              <w:pStyle w:val="TableParagraph"/>
              <w:spacing w:line="177" w:lineRule="exact" w:before="24"/>
              <w:ind w:left="87"/>
              <w:rPr>
                <w:sz w:val="16"/>
              </w:rPr>
            </w:pPr>
            <w:r>
              <w:rPr>
                <w:spacing w:val="-2"/>
                <w:w w:val="105"/>
                <w:sz w:val="16"/>
              </w:rPr>
              <w:t>21,748</w:t>
            </w:r>
            <w:r>
              <w:rPr>
                <w:spacing w:val="-2"/>
                <w:w w:val="105"/>
                <w:sz w:val="16"/>
                <w:vertAlign w:val="superscript"/>
              </w:rPr>
              <w:t>(16)</w:t>
            </w:r>
          </w:p>
        </w:tc>
        <w:tc>
          <w:tcPr>
            <w:tcW w:w="467" w:type="dxa"/>
          </w:tcPr>
          <w:p>
            <w:pPr>
              <w:pStyle w:val="TableParagraph"/>
              <w:spacing w:line="177" w:lineRule="exact" w:before="24"/>
              <w:jc w:val="right"/>
              <w:rPr>
                <w:sz w:val="16"/>
              </w:rPr>
            </w:pPr>
            <w:r>
              <w:rPr>
                <w:spacing w:val="-2"/>
                <w:w w:val="105"/>
                <w:sz w:val="16"/>
              </w:rPr>
              <w:t>$30.95</w:t>
            </w:r>
          </w:p>
        </w:tc>
        <w:tc>
          <w:tcPr>
            <w:tcW w:w="252" w:type="dxa"/>
          </w:tcPr>
          <w:p>
            <w:pPr>
              <w:pStyle w:val="TableParagraph"/>
              <w:rPr>
                <w:sz w:val="14"/>
              </w:rPr>
            </w:pPr>
          </w:p>
        </w:tc>
        <w:tc>
          <w:tcPr>
            <w:tcW w:w="769" w:type="dxa"/>
          </w:tcPr>
          <w:p>
            <w:pPr>
              <w:pStyle w:val="TableParagraph"/>
              <w:spacing w:line="177" w:lineRule="exact" w:before="24"/>
              <w:jc w:val="right"/>
              <w:rPr>
                <w:sz w:val="16"/>
              </w:rPr>
            </w:pPr>
            <w:r>
              <w:rPr>
                <w:spacing w:val="-2"/>
                <w:w w:val="105"/>
                <w:sz w:val="16"/>
              </w:rPr>
              <w:t>12/10/2031</w:t>
            </w:r>
          </w:p>
        </w:tc>
        <w:tc>
          <w:tcPr>
            <w:tcW w:w="280" w:type="dxa"/>
          </w:tcPr>
          <w:p>
            <w:pPr>
              <w:pStyle w:val="TableParagraph"/>
              <w:rPr>
                <w:sz w:val="14"/>
              </w:rPr>
            </w:pPr>
          </w:p>
        </w:tc>
        <w:tc>
          <w:tcPr>
            <w:tcW w:w="839" w:type="dxa"/>
          </w:tcPr>
          <w:p>
            <w:pPr>
              <w:pStyle w:val="TableParagraph"/>
              <w:spacing w:line="177" w:lineRule="exact" w:before="24"/>
              <w:ind w:left="90"/>
              <w:jc w:val="center"/>
              <w:rPr>
                <w:sz w:val="16"/>
              </w:rPr>
            </w:pPr>
            <w:r>
              <w:rPr>
                <w:w w:val="104"/>
                <w:sz w:val="16"/>
              </w:rPr>
              <w:t>—</w:t>
            </w:r>
          </w:p>
        </w:tc>
        <w:tc>
          <w:tcPr>
            <w:tcW w:w="685" w:type="dxa"/>
          </w:tcPr>
          <w:p>
            <w:pPr>
              <w:pStyle w:val="TableParagraph"/>
              <w:spacing w:line="177" w:lineRule="exact" w:before="24"/>
              <w:ind w:right="7"/>
              <w:jc w:val="right"/>
              <w:rPr>
                <w:sz w:val="16"/>
              </w:rPr>
            </w:pPr>
            <w:r>
              <w:rPr>
                <w:w w:val="104"/>
                <w:sz w:val="16"/>
              </w:rPr>
              <w:t>—</w:t>
            </w:r>
          </w:p>
        </w:tc>
      </w:tr>
      <w:tr>
        <w:trPr>
          <w:trHeight w:val="209" w:hRule="atLeast"/>
        </w:trPr>
        <w:tc>
          <w:tcPr>
            <w:tcW w:w="2125" w:type="dxa"/>
            <w:vMerge/>
            <w:tcBorders>
              <w:top w:val="nil"/>
              <w:bottom w:val="single" w:sz="6" w:space="0" w:color="CCEDFF"/>
            </w:tcBorders>
          </w:tcPr>
          <w:p>
            <w:pPr>
              <w:rPr>
                <w:sz w:val="2"/>
                <w:szCs w:val="2"/>
              </w:rPr>
            </w:pPr>
          </w:p>
        </w:tc>
        <w:tc>
          <w:tcPr>
            <w:tcW w:w="772" w:type="dxa"/>
          </w:tcPr>
          <w:p>
            <w:pPr>
              <w:pStyle w:val="TableParagraph"/>
              <w:spacing w:line="178" w:lineRule="exact" w:before="11"/>
              <w:ind w:right="-15"/>
              <w:jc w:val="right"/>
              <w:rPr>
                <w:sz w:val="16"/>
              </w:rPr>
            </w:pPr>
            <w:r>
              <w:rPr>
                <w:spacing w:val="-2"/>
                <w:w w:val="105"/>
                <w:sz w:val="16"/>
              </w:rPr>
              <w:t>2/15/2019</w:t>
            </w:r>
          </w:p>
        </w:tc>
        <w:tc>
          <w:tcPr>
            <w:tcW w:w="318" w:type="dxa"/>
          </w:tcPr>
          <w:p>
            <w:pPr>
              <w:pStyle w:val="TableParagraph"/>
              <w:rPr>
                <w:sz w:val="14"/>
              </w:rPr>
            </w:pPr>
          </w:p>
        </w:tc>
        <w:tc>
          <w:tcPr>
            <w:tcW w:w="1034" w:type="dxa"/>
          </w:tcPr>
          <w:p>
            <w:pPr>
              <w:pStyle w:val="TableParagraph"/>
              <w:spacing w:line="178" w:lineRule="exact" w:before="11"/>
              <w:ind w:right="93"/>
              <w:jc w:val="center"/>
              <w:rPr>
                <w:sz w:val="16"/>
              </w:rPr>
            </w:pPr>
            <w:r>
              <w:rPr>
                <w:w w:val="104"/>
                <w:sz w:val="16"/>
              </w:rPr>
              <w:t>—</w:t>
            </w:r>
          </w:p>
        </w:tc>
        <w:tc>
          <w:tcPr>
            <w:tcW w:w="959" w:type="dxa"/>
          </w:tcPr>
          <w:p>
            <w:pPr>
              <w:pStyle w:val="TableParagraph"/>
              <w:spacing w:line="178" w:lineRule="exact" w:before="11"/>
              <w:ind w:right="26"/>
              <w:jc w:val="center"/>
              <w:rPr>
                <w:sz w:val="16"/>
              </w:rPr>
            </w:pPr>
            <w:r>
              <w:rPr>
                <w:w w:val="104"/>
                <w:sz w:val="16"/>
              </w:rPr>
              <w:t>—</w:t>
            </w:r>
          </w:p>
        </w:tc>
        <w:tc>
          <w:tcPr>
            <w:tcW w:w="467" w:type="dxa"/>
          </w:tcPr>
          <w:p>
            <w:pPr>
              <w:pStyle w:val="TableParagraph"/>
              <w:spacing w:line="178" w:lineRule="exact" w:before="11"/>
              <w:jc w:val="right"/>
              <w:rPr>
                <w:sz w:val="16"/>
              </w:rPr>
            </w:pPr>
            <w:r>
              <w:rPr>
                <w:w w:val="104"/>
                <w:sz w:val="16"/>
              </w:rPr>
              <w:t>—</w:t>
            </w:r>
          </w:p>
        </w:tc>
        <w:tc>
          <w:tcPr>
            <w:tcW w:w="252" w:type="dxa"/>
          </w:tcPr>
          <w:p>
            <w:pPr>
              <w:pStyle w:val="TableParagraph"/>
              <w:rPr>
                <w:sz w:val="14"/>
              </w:rPr>
            </w:pPr>
          </w:p>
        </w:tc>
        <w:tc>
          <w:tcPr>
            <w:tcW w:w="769" w:type="dxa"/>
          </w:tcPr>
          <w:p>
            <w:pPr>
              <w:pStyle w:val="TableParagraph"/>
              <w:spacing w:line="178" w:lineRule="exact" w:before="11"/>
              <w:jc w:val="right"/>
              <w:rPr>
                <w:sz w:val="16"/>
              </w:rPr>
            </w:pPr>
            <w:r>
              <w:rPr>
                <w:w w:val="104"/>
                <w:sz w:val="16"/>
              </w:rPr>
              <w:t>—</w:t>
            </w:r>
          </w:p>
        </w:tc>
        <w:tc>
          <w:tcPr>
            <w:tcW w:w="280" w:type="dxa"/>
          </w:tcPr>
          <w:p>
            <w:pPr>
              <w:pStyle w:val="TableParagraph"/>
              <w:rPr>
                <w:sz w:val="14"/>
              </w:rPr>
            </w:pPr>
          </w:p>
        </w:tc>
        <w:tc>
          <w:tcPr>
            <w:tcW w:w="839" w:type="dxa"/>
          </w:tcPr>
          <w:p>
            <w:pPr>
              <w:pStyle w:val="TableParagraph"/>
              <w:spacing w:line="178" w:lineRule="exact" w:before="11"/>
              <w:ind w:right="117"/>
              <w:jc w:val="right"/>
              <w:rPr>
                <w:sz w:val="16"/>
              </w:rPr>
            </w:pPr>
            <w:r>
              <w:rPr>
                <w:spacing w:val="-2"/>
                <w:w w:val="105"/>
                <w:sz w:val="16"/>
              </w:rPr>
              <w:t>1,420</w:t>
            </w:r>
            <w:r>
              <w:rPr>
                <w:spacing w:val="-2"/>
                <w:w w:val="105"/>
                <w:sz w:val="16"/>
                <w:vertAlign w:val="superscript"/>
              </w:rPr>
              <w:t>(17)</w:t>
            </w:r>
          </w:p>
        </w:tc>
        <w:tc>
          <w:tcPr>
            <w:tcW w:w="685" w:type="dxa"/>
          </w:tcPr>
          <w:p>
            <w:pPr>
              <w:pStyle w:val="TableParagraph"/>
              <w:spacing w:line="178" w:lineRule="exact" w:before="11"/>
              <w:ind w:right="7"/>
              <w:jc w:val="right"/>
              <w:rPr>
                <w:sz w:val="16"/>
              </w:rPr>
            </w:pPr>
            <w:r>
              <w:rPr>
                <w:spacing w:val="-2"/>
                <w:w w:val="105"/>
                <w:sz w:val="16"/>
              </w:rPr>
              <w:t>30,019</w:t>
            </w:r>
          </w:p>
        </w:tc>
      </w:tr>
      <w:tr>
        <w:trPr>
          <w:trHeight w:val="215" w:hRule="atLeast"/>
        </w:trPr>
        <w:tc>
          <w:tcPr>
            <w:tcW w:w="2125" w:type="dxa"/>
            <w:vMerge/>
            <w:tcBorders>
              <w:top w:val="nil"/>
              <w:bottom w:val="single" w:sz="6" w:space="0" w:color="CCEDFF"/>
            </w:tcBorders>
          </w:tcPr>
          <w:p>
            <w:pPr>
              <w:rPr>
                <w:sz w:val="2"/>
                <w:szCs w:val="2"/>
              </w:rPr>
            </w:pPr>
          </w:p>
        </w:tc>
        <w:tc>
          <w:tcPr>
            <w:tcW w:w="772" w:type="dxa"/>
          </w:tcPr>
          <w:p>
            <w:pPr>
              <w:pStyle w:val="TableParagraph"/>
              <w:spacing w:line="171" w:lineRule="exact" w:before="24"/>
              <w:ind w:right="-15"/>
              <w:jc w:val="right"/>
              <w:rPr>
                <w:sz w:val="16"/>
              </w:rPr>
            </w:pPr>
            <w:r>
              <w:rPr>
                <w:spacing w:val="-2"/>
                <w:w w:val="105"/>
                <w:sz w:val="16"/>
              </w:rPr>
              <w:t>2/18/2020</w:t>
            </w:r>
          </w:p>
        </w:tc>
        <w:tc>
          <w:tcPr>
            <w:tcW w:w="318" w:type="dxa"/>
          </w:tcPr>
          <w:p>
            <w:pPr>
              <w:pStyle w:val="TableParagraph"/>
              <w:rPr>
                <w:sz w:val="14"/>
              </w:rPr>
            </w:pPr>
          </w:p>
        </w:tc>
        <w:tc>
          <w:tcPr>
            <w:tcW w:w="1034" w:type="dxa"/>
          </w:tcPr>
          <w:p>
            <w:pPr>
              <w:pStyle w:val="TableParagraph"/>
              <w:spacing w:line="171" w:lineRule="exact" w:before="24"/>
              <w:ind w:right="93"/>
              <w:jc w:val="center"/>
              <w:rPr>
                <w:sz w:val="16"/>
              </w:rPr>
            </w:pPr>
            <w:r>
              <w:rPr>
                <w:w w:val="104"/>
                <w:sz w:val="16"/>
              </w:rPr>
              <w:t>—</w:t>
            </w:r>
          </w:p>
        </w:tc>
        <w:tc>
          <w:tcPr>
            <w:tcW w:w="959" w:type="dxa"/>
          </w:tcPr>
          <w:p>
            <w:pPr>
              <w:pStyle w:val="TableParagraph"/>
              <w:spacing w:line="171" w:lineRule="exact" w:before="24"/>
              <w:ind w:right="26"/>
              <w:jc w:val="center"/>
              <w:rPr>
                <w:sz w:val="16"/>
              </w:rPr>
            </w:pPr>
            <w:r>
              <w:rPr>
                <w:w w:val="104"/>
                <w:sz w:val="16"/>
              </w:rPr>
              <w:t>—</w:t>
            </w:r>
          </w:p>
        </w:tc>
        <w:tc>
          <w:tcPr>
            <w:tcW w:w="467" w:type="dxa"/>
          </w:tcPr>
          <w:p>
            <w:pPr>
              <w:pStyle w:val="TableParagraph"/>
              <w:spacing w:line="171" w:lineRule="exact" w:before="24"/>
              <w:jc w:val="right"/>
              <w:rPr>
                <w:sz w:val="16"/>
              </w:rPr>
            </w:pPr>
            <w:r>
              <w:rPr>
                <w:w w:val="104"/>
                <w:sz w:val="16"/>
              </w:rPr>
              <w:t>—</w:t>
            </w:r>
          </w:p>
        </w:tc>
        <w:tc>
          <w:tcPr>
            <w:tcW w:w="252" w:type="dxa"/>
          </w:tcPr>
          <w:p>
            <w:pPr>
              <w:pStyle w:val="TableParagraph"/>
              <w:rPr>
                <w:sz w:val="14"/>
              </w:rPr>
            </w:pPr>
          </w:p>
        </w:tc>
        <w:tc>
          <w:tcPr>
            <w:tcW w:w="769" w:type="dxa"/>
          </w:tcPr>
          <w:p>
            <w:pPr>
              <w:pStyle w:val="TableParagraph"/>
              <w:spacing w:line="171" w:lineRule="exact" w:before="24"/>
              <w:jc w:val="right"/>
              <w:rPr>
                <w:sz w:val="16"/>
              </w:rPr>
            </w:pPr>
            <w:r>
              <w:rPr>
                <w:w w:val="104"/>
                <w:sz w:val="16"/>
              </w:rPr>
              <w:t>—</w:t>
            </w:r>
          </w:p>
        </w:tc>
        <w:tc>
          <w:tcPr>
            <w:tcW w:w="280" w:type="dxa"/>
          </w:tcPr>
          <w:p>
            <w:pPr>
              <w:pStyle w:val="TableParagraph"/>
              <w:rPr>
                <w:sz w:val="14"/>
              </w:rPr>
            </w:pPr>
          </w:p>
        </w:tc>
        <w:tc>
          <w:tcPr>
            <w:tcW w:w="839" w:type="dxa"/>
          </w:tcPr>
          <w:p>
            <w:pPr>
              <w:pStyle w:val="TableParagraph"/>
              <w:spacing w:line="171" w:lineRule="exact" w:before="24"/>
              <w:ind w:right="117"/>
              <w:jc w:val="right"/>
              <w:rPr>
                <w:sz w:val="16"/>
              </w:rPr>
            </w:pPr>
            <w:r>
              <w:rPr>
                <w:spacing w:val="-2"/>
                <w:w w:val="105"/>
                <w:sz w:val="16"/>
              </w:rPr>
              <w:t>5,135</w:t>
            </w:r>
            <w:r>
              <w:rPr>
                <w:spacing w:val="-2"/>
                <w:w w:val="105"/>
                <w:sz w:val="16"/>
                <w:vertAlign w:val="superscript"/>
              </w:rPr>
              <w:t>(18)</w:t>
            </w:r>
          </w:p>
        </w:tc>
        <w:tc>
          <w:tcPr>
            <w:tcW w:w="685" w:type="dxa"/>
          </w:tcPr>
          <w:p>
            <w:pPr>
              <w:pStyle w:val="TableParagraph"/>
              <w:spacing w:line="171" w:lineRule="exact" w:before="24"/>
              <w:ind w:right="7"/>
              <w:jc w:val="right"/>
              <w:rPr>
                <w:sz w:val="16"/>
              </w:rPr>
            </w:pPr>
            <w:r>
              <w:rPr>
                <w:spacing w:val="-2"/>
                <w:w w:val="105"/>
                <w:sz w:val="16"/>
              </w:rPr>
              <w:t>108,554</w:t>
            </w:r>
          </w:p>
        </w:tc>
      </w:tr>
      <w:tr>
        <w:trPr>
          <w:trHeight w:val="215" w:hRule="atLeast"/>
        </w:trPr>
        <w:tc>
          <w:tcPr>
            <w:tcW w:w="2125" w:type="dxa"/>
            <w:vMerge/>
            <w:tcBorders>
              <w:top w:val="nil"/>
              <w:bottom w:val="single" w:sz="6" w:space="0" w:color="CCEDFF"/>
            </w:tcBorders>
          </w:tcPr>
          <w:p>
            <w:pPr>
              <w:rPr>
                <w:sz w:val="2"/>
                <w:szCs w:val="2"/>
              </w:rPr>
            </w:pPr>
          </w:p>
        </w:tc>
        <w:tc>
          <w:tcPr>
            <w:tcW w:w="772" w:type="dxa"/>
          </w:tcPr>
          <w:p>
            <w:pPr>
              <w:pStyle w:val="TableParagraph"/>
              <w:spacing w:line="178" w:lineRule="exact" w:before="17"/>
              <w:ind w:right="-15"/>
              <w:jc w:val="right"/>
              <w:rPr>
                <w:sz w:val="16"/>
              </w:rPr>
            </w:pPr>
            <w:r>
              <w:rPr>
                <w:spacing w:val="-2"/>
                <w:w w:val="105"/>
                <w:sz w:val="16"/>
              </w:rPr>
              <w:t>2/16/2021</w:t>
            </w:r>
          </w:p>
        </w:tc>
        <w:tc>
          <w:tcPr>
            <w:tcW w:w="318" w:type="dxa"/>
          </w:tcPr>
          <w:p>
            <w:pPr>
              <w:pStyle w:val="TableParagraph"/>
              <w:rPr>
                <w:sz w:val="14"/>
              </w:rPr>
            </w:pPr>
          </w:p>
        </w:tc>
        <w:tc>
          <w:tcPr>
            <w:tcW w:w="1034" w:type="dxa"/>
          </w:tcPr>
          <w:p>
            <w:pPr>
              <w:pStyle w:val="TableParagraph"/>
              <w:spacing w:line="178" w:lineRule="exact" w:before="17"/>
              <w:ind w:right="93"/>
              <w:jc w:val="center"/>
              <w:rPr>
                <w:sz w:val="16"/>
              </w:rPr>
            </w:pPr>
            <w:r>
              <w:rPr>
                <w:w w:val="104"/>
                <w:sz w:val="16"/>
              </w:rPr>
              <w:t>—</w:t>
            </w:r>
          </w:p>
        </w:tc>
        <w:tc>
          <w:tcPr>
            <w:tcW w:w="959" w:type="dxa"/>
          </w:tcPr>
          <w:p>
            <w:pPr>
              <w:pStyle w:val="TableParagraph"/>
              <w:spacing w:line="178" w:lineRule="exact" w:before="17"/>
              <w:ind w:right="26"/>
              <w:jc w:val="center"/>
              <w:rPr>
                <w:sz w:val="16"/>
              </w:rPr>
            </w:pPr>
            <w:r>
              <w:rPr>
                <w:w w:val="104"/>
                <w:sz w:val="16"/>
              </w:rPr>
              <w:t>—</w:t>
            </w:r>
          </w:p>
        </w:tc>
        <w:tc>
          <w:tcPr>
            <w:tcW w:w="467" w:type="dxa"/>
          </w:tcPr>
          <w:p>
            <w:pPr>
              <w:pStyle w:val="TableParagraph"/>
              <w:spacing w:line="178" w:lineRule="exact" w:before="17"/>
              <w:jc w:val="right"/>
              <w:rPr>
                <w:sz w:val="16"/>
              </w:rPr>
            </w:pPr>
            <w:r>
              <w:rPr>
                <w:w w:val="104"/>
                <w:sz w:val="16"/>
              </w:rPr>
              <w:t>—</w:t>
            </w:r>
          </w:p>
        </w:tc>
        <w:tc>
          <w:tcPr>
            <w:tcW w:w="252" w:type="dxa"/>
          </w:tcPr>
          <w:p>
            <w:pPr>
              <w:pStyle w:val="TableParagraph"/>
              <w:rPr>
                <w:sz w:val="14"/>
              </w:rPr>
            </w:pPr>
          </w:p>
        </w:tc>
        <w:tc>
          <w:tcPr>
            <w:tcW w:w="769" w:type="dxa"/>
          </w:tcPr>
          <w:p>
            <w:pPr>
              <w:pStyle w:val="TableParagraph"/>
              <w:spacing w:line="178" w:lineRule="exact" w:before="17"/>
              <w:jc w:val="right"/>
              <w:rPr>
                <w:sz w:val="16"/>
              </w:rPr>
            </w:pPr>
            <w:r>
              <w:rPr>
                <w:w w:val="104"/>
                <w:sz w:val="16"/>
              </w:rPr>
              <w:t>—</w:t>
            </w:r>
          </w:p>
        </w:tc>
        <w:tc>
          <w:tcPr>
            <w:tcW w:w="280" w:type="dxa"/>
          </w:tcPr>
          <w:p>
            <w:pPr>
              <w:pStyle w:val="TableParagraph"/>
              <w:rPr>
                <w:sz w:val="14"/>
              </w:rPr>
            </w:pPr>
          </w:p>
        </w:tc>
        <w:tc>
          <w:tcPr>
            <w:tcW w:w="839" w:type="dxa"/>
          </w:tcPr>
          <w:p>
            <w:pPr>
              <w:pStyle w:val="TableParagraph"/>
              <w:spacing w:line="178" w:lineRule="exact" w:before="17"/>
              <w:ind w:left="93"/>
              <w:rPr>
                <w:sz w:val="16"/>
              </w:rPr>
            </w:pPr>
            <w:r>
              <w:rPr>
                <w:spacing w:val="-2"/>
                <w:w w:val="105"/>
                <w:sz w:val="16"/>
              </w:rPr>
              <w:t>11,523</w:t>
            </w:r>
            <w:r>
              <w:rPr>
                <w:spacing w:val="-2"/>
                <w:w w:val="105"/>
                <w:sz w:val="16"/>
                <w:vertAlign w:val="superscript"/>
              </w:rPr>
              <w:t>(20)</w:t>
            </w:r>
          </w:p>
        </w:tc>
        <w:tc>
          <w:tcPr>
            <w:tcW w:w="685" w:type="dxa"/>
          </w:tcPr>
          <w:p>
            <w:pPr>
              <w:pStyle w:val="TableParagraph"/>
              <w:spacing w:line="178" w:lineRule="exact" w:before="17"/>
              <w:ind w:right="7"/>
              <w:jc w:val="right"/>
              <w:rPr>
                <w:sz w:val="16"/>
              </w:rPr>
            </w:pPr>
            <w:r>
              <w:rPr>
                <w:spacing w:val="-2"/>
                <w:w w:val="105"/>
                <w:sz w:val="16"/>
              </w:rPr>
              <w:t>243,596</w:t>
            </w:r>
          </w:p>
        </w:tc>
      </w:tr>
      <w:tr>
        <w:trPr>
          <w:trHeight w:val="229" w:hRule="atLeast"/>
        </w:trPr>
        <w:tc>
          <w:tcPr>
            <w:tcW w:w="2125" w:type="dxa"/>
            <w:vMerge/>
            <w:tcBorders>
              <w:top w:val="nil"/>
              <w:bottom w:val="single" w:sz="6" w:space="0" w:color="CCEDFF"/>
            </w:tcBorders>
          </w:tcPr>
          <w:p>
            <w:pPr>
              <w:rPr>
                <w:sz w:val="2"/>
                <w:szCs w:val="2"/>
              </w:rPr>
            </w:pPr>
          </w:p>
        </w:tc>
        <w:tc>
          <w:tcPr>
            <w:tcW w:w="772" w:type="dxa"/>
          </w:tcPr>
          <w:p>
            <w:pPr>
              <w:pStyle w:val="TableParagraph"/>
              <w:spacing w:before="24"/>
              <w:ind w:right="-15"/>
              <w:jc w:val="right"/>
              <w:rPr>
                <w:sz w:val="16"/>
              </w:rPr>
            </w:pPr>
            <w:r>
              <w:rPr>
                <w:spacing w:val="-2"/>
                <w:w w:val="105"/>
                <w:sz w:val="16"/>
              </w:rPr>
              <w:t>12/10/2021</w:t>
            </w:r>
          </w:p>
        </w:tc>
        <w:tc>
          <w:tcPr>
            <w:tcW w:w="318" w:type="dxa"/>
          </w:tcPr>
          <w:p>
            <w:pPr>
              <w:pStyle w:val="TableParagraph"/>
              <w:rPr>
                <w:sz w:val="14"/>
              </w:rPr>
            </w:pPr>
          </w:p>
        </w:tc>
        <w:tc>
          <w:tcPr>
            <w:tcW w:w="1034" w:type="dxa"/>
          </w:tcPr>
          <w:p>
            <w:pPr>
              <w:pStyle w:val="TableParagraph"/>
              <w:spacing w:before="24"/>
              <w:ind w:right="93"/>
              <w:jc w:val="center"/>
              <w:rPr>
                <w:sz w:val="16"/>
              </w:rPr>
            </w:pPr>
            <w:r>
              <w:rPr>
                <w:w w:val="104"/>
                <w:sz w:val="16"/>
              </w:rPr>
              <w:t>—</w:t>
            </w:r>
          </w:p>
        </w:tc>
        <w:tc>
          <w:tcPr>
            <w:tcW w:w="959" w:type="dxa"/>
          </w:tcPr>
          <w:p>
            <w:pPr>
              <w:pStyle w:val="TableParagraph"/>
              <w:spacing w:before="24"/>
              <w:ind w:right="26"/>
              <w:jc w:val="center"/>
              <w:rPr>
                <w:sz w:val="16"/>
              </w:rPr>
            </w:pPr>
            <w:r>
              <w:rPr>
                <w:w w:val="104"/>
                <w:sz w:val="16"/>
              </w:rPr>
              <w:t>—</w:t>
            </w:r>
          </w:p>
        </w:tc>
        <w:tc>
          <w:tcPr>
            <w:tcW w:w="467" w:type="dxa"/>
            <w:tcBorders>
              <w:bottom w:val="single" w:sz="6" w:space="0" w:color="000000"/>
            </w:tcBorders>
          </w:tcPr>
          <w:p>
            <w:pPr>
              <w:pStyle w:val="TableParagraph"/>
              <w:spacing w:before="24"/>
              <w:jc w:val="right"/>
              <w:rPr>
                <w:sz w:val="16"/>
              </w:rPr>
            </w:pPr>
            <w:r>
              <w:rPr>
                <w:w w:val="104"/>
                <w:sz w:val="16"/>
              </w:rPr>
              <w:t>—</w:t>
            </w:r>
          </w:p>
        </w:tc>
        <w:tc>
          <w:tcPr>
            <w:tcW w:w="252" w:type="dxa"/>
          </w:tcPr>
          <w:p>
            <w:pPr>
              <w:pStyle w:val="TableParagraph"/>
              <w:rPr>
                <w:sz w:val="14"/>
              </w:rPr>
            </w:pPr>
          </w:p>
        </w:tc>
        <w:tc>
          <w:tcPr>
            <w:tcW w:w="769" w:type="dxa"/>
            <w:tcBorders>
              <w:bottom w:val="single" w:sz="6" w:space="0" w:color="000000"/>
            </w:tcBorders>
          </w:tcPr>
          <w:p>
            <w:pPr>
              <w:pStyle w:val="TableParagraph"/>
              <w:spacing w:before="24"/>
              <w:jc w:val="right"/>
              <w:rPr>
                <w:sz w:val="16"/>
              </w:rPr>
            </w:pPr>
            <w:r>
              <w:rPr>
                <w:w w:val="104"/>
                <w:sz w:val="16"/>
              </w:rPr>
              <w:t>—</w:t>
            </w:r>
          </w:p>
        </w:tc>
        <w:tc>
          <w:tcPr>
            <w:tcW w:w="280" w:type="dxa"/>
          </w:tcPr>
          <w:p>
            <w:pPr>
              <w:pStyle w:val="TableParagraph"/>
              <w:rPr>
                <w:sz w:val="14"/>
              </w:rPr>
            </w:pPr>
          </w:p>
        </w:tc>
        <w:tc>
          <w:tcPr>
            <w:tcW w:w="839" w:type="dxa"/>
          </w:tcPr>
          <w:p>
            <w:pPr>
              <w:pStyle w:val="TableParagraph"/>
              <w:spacing w:before="24"/>
              <w:ind w:right="117"/>
              <w:jc w:val="right"/>
              <w:rPr>
                <w:sz w:val="16"/>
              </w:rPr>
            </w:pPr>
            <w:r>
              <w:rPr>
                <w:spacing w:val="-2"/>
                <w:w w:val="105"/>
                <w:sz w:val="16"/>
              </w:rPr>
              <w:t>9,328</w:t>
            </w:r>
            <w:r>
              <w:rPr>
                <w:spacing w:val="-2"/>
                <w:w w:val="105"/>
                <w:sz w:val="16"/>
                <w:vertAlign w:val="superscript"/>
              </w:rPr>
              <w:t>(22)</w:t>
            </w:r>
          </w:p>
        </w:tc>
        <w:tc>
          <w:tcPr>
            <w:tcW w:w="685" w:type="dxa"/>
            <w:tcBorders>
              <w:bottom w:val="single" w:sz="6" w:space="0" w:color="000000"/>
            </w:tcBorders>
          </w:tcPr>
          <w:p>
            <w:pPr>
              <w:pStyle w:val="TableParagraph"/>
              <w:spacing w:before="24"/>
              <w:ind w:right="7"/>
              <w:jc w:val="right"/>
              <w:rPr>
                <w:sz w:val="16"/>
              </w:rPr>
            </w:pPr>
            <w:r>
              <w:rPr>
                <w:spacing w:val="-2"/>
                <w:w w:val="105"/>
                <w:sz w:val="16"/>
              </w:rPr>
              <w:t>197,194</w:t>
            </w:r>
          </w:p>
        </w:tc>
      </w:tr>
      <w:tr>
        <w:trPr>
          <w:trHeight w:val="250" w:hRule="atLeast"/>
        </w:trPr>
        <w:tc>
          <w:tcPr>
            <w:tcW w:w="2125" w:type="dxa"/>
            <w:vMerge/>
            <w:tcBorders>
              <w:top w:val="nil"/>
              <w:bottom w:val="single" w:sz="6" w:space="0" w:color="CCEDFF"/>
            </w:tcBorders>
          </w:tcPr>
          <w:p>
            <w:pPr>
              <w:rPr>
                <w:sz w:val="2"/>
                <w:szCs w:val="2"/>
              </w:rPr>
            </w:pPr>
          </w:p>
        </w:tc>
        <w:tc>
          <w:tcPr>
            <w:tcW w:w="772" w:type="dxa"/>
            <w:tcBorders>
              <w:bottom w:val="single" w:sz="6" w:space="0" w:color="CCEDFF"/>
            </w:tcBorders>
          </w:tcPr>
          <w:p>
            <w:pPr>
              <w:pStyle w:val="TableParagraph"/>
              <w:spacing w:before="46"/>
              <w:ind w:right="-15"/>
              <w:jc w:val="right"/>
              <w:rPr>
                <w:b/>
                <w:sz w:val="16"/>
              </w:rPr>
            </w:pPr>
            <w:r>
              <w:rPr>
                <w:b/>
                <w:spacing w:val="-2"/>
                <w:w w:val="105"/>
                <w:sz w:val="16"/>
              </w:rPr>
              <w:t>Total</w:t>
            </w:r>
          </w:p>
        </w:tc>
        <w:tc>
          <w:tcPr>
            <w:tcW w:w="318" w:type="dxa"/>
            <w:tcBorders>
              <w:bottom w:val="single" w:sz="6" w:space="0" w:color="CCEDFF"/>
            </w:tcBorders>
          </w:tcPr>
          <w:p>
            <w:pPr>
              <w:pStyle w:val="TableParagraph"/>
              <w:rPr>
                <w:sz w:val="14"/>
              </w:rPr>
            </w:pPr>
          </w:p>
        </w:tc>
        <w:tc>
          <w:tcPr>
            <w:tcW w:w="1034" w:type="dxa"/>
            <w:tcBorders>
              <w:bottom w:val="single" w:sz="6" w:space="0" w:color="CCEDFF"/>
            </w:tcBorders>
          </w:tcPr>
          <w:p>
            <w:pPr>
              <w:pStyle w:val="TableParagraph"/>
              <w:spacing w:line="20" w:lineRule="exact"/>
              <w:rPr>
                <w:sz w:val="2"/>
              </w:rPr>
            </w:pPr>
            <w:r>
              <w:rPr>
                <w:sz w:val="2"/>
              </w:rPr>
              <w:pict>
                <v:group style="width:28pt;height:.7pt;mso-position-horizontal-relative:char;mso-position-vertical-relative:line" id="docshapegroup413" coordorigin="0,0" coordsize="560,14">
                  <v:rect style="position:absolute;left:0;top:0;width:560;height:14" id="docshape414" filled="true" fillcolor="#000000" stroked="false">
                    <v:fill type="solid"/>
                  </v:rect>
                </v:group>
              </w:pict>
            </w:r>
            <w:r>
              <w:rPr>
                <w:sz w:val="2"/>
              </w:rPr>
            </w:r>
          </w:p>
          <w:p>
            <w:pPr>
              <w:pStyle w:val="TableParagraph"/>
              <w:spacing w:before="26"/>
              <w:ind w:left="92"/>
              <w:rPr>
                <w:b/>
                <w:sz w:val="16"/>
              </w:rPr>
            </w:pPr>
            <w:r>
              <w:rPr>
                <w:b/>
                <w:spacing w:val="-2"/>
                <w:w w:val="105"/>
                <w:sz w:val="16"/>
              </w:rPr>
              <w:t>98,327</w:t>
            </w:r>
          </w:p>
        </w:tc>
        <w:tc>
          <w:tcPr>
            <w:tcW w:w="959" w:type="dxa"/>
            <w:tcBorders>
              <w:bottom w:val="single" w:sz="6" w:space="0" w:color="CCEDFF"/>
            </w:tcBorders>
          </w:tcPr>
          <w:p>
            <w:pPr>
              <w:pStyle w:val="TableParagraph"/>
              <w:spacing w:line="20" w:lineRule="exact"/>
              <w:rPr>
                <w:sz w:val="2"/>
              </w:rPr>
            </w:pPr>
            <w:r>
              <w:rPr>
                <w:sz w:val="2"/>
              </w:rPr>
              <w:pict>
                <v:group style="width:27.3pt;height:.7pt;mso-position-horizontal-relative:char;mso-position-vertical-relative:line" id="docshapegroup415" coordorigin="0,0" coordsize="546,14">
                  <v:rect style="position:absolute;left:0;top:0;width:546;height:14" id="docshape416" filled="true" fillcolor="#000000" stroked="false">
                    <v:fill type="solid"/>
                  </v:rect>
                </v:group>
              </w:pict>
            </w:r>
            <w:r>
              <w:rPr>
                <w:sz w:val="2"/>
              </w:rPr>
            </w:r>
          </w:p>
          <w:p>
            <w:pPr>
              <w:pStyle w:val="TableParagraph"/>
              <w:spacing w:before="26"/>
              <w:ind w:left="87"/>
              <w:rPr>
                <w:b/>
                <w:sz w:val="16"/>
              </w:rPr>
            </w:pPr>
            <w:r>
              <w:rPr>
                <w:b/>
                <w:spacing w:val="-2"/>
                <w:w w:val="105"/>
                <w:sz w:val="16"/>
              </w:rPr>
              <w:t>51,032</w:t>
            </w:r>
          </w:p>
        </w:tc>
        <w:tc>
          <w:tcPr>
            <w:tcW w:w="467" w:type="dxa"/>
            <w:tcBorders>
              <w:top w:val="single" w:sz="6" w:space="0" w:color="000000"/>
              <w:bottom w:val="single" w:sz="6" w:space="0" w:color="000000"/>
            </w:tcBorders>
          </w:tcPr>
          <w:p>
            <w:pPr>
              <w:pStyle w:val="TableParagraph"/>
              <w:rPr>
                <w:sz w:val="14"/>
              </w:rPr>
            </w:pPr>
          </w:p>
        </w:tc>
        <w:tc>
          <w:tcPr>
            <w:tcW w:w="252" w:type="dxa"/>
            <w:tcBorders>
              <w:bottom w:val="single" w:sz="6" w:space="0" w:color="CCEDFF"/>
            </w:tcBorders>
          </w:tcPr>
          <w:p>
            <w:pPr>
              <w:pStyle w:val="TableParagraph"/>
              <w:rPr>
                <w:sz w:val="14"/>
              </w:rPr>
            </w:pPr>
          </w:p>
        </w:tc>
        <w:tc>
          <w:tcPr>
            <w:tcW w:w="769" w:type="dxa"/>
            <w:tcBorders>
              <w:top w:val="single" w:sz="6" w:space="0" w:color="000000"/>
              <w:bottom w:val="single" w:sz="6" w:space="0" w:color="000000"/>
            </w:tcBorders>
          </w:tcPr>
          <w:p>
            <w:pPr>
              <w:pStyle w:val="TableParagraph"/>
              <w:rPr>
                <w:sz w:val="14"/>
              </w:rPr>
            </w:pPr>
          </w:p>
        </w:tc>
        <w:tc>
          <w:tcPr>
            <w:tcW w:w="280" w:type="dxa"/>
            <w:tcBorders>
              <w:bottom w:val="single" w:sz="6" w:space="0" w:color="CCEDFF"/>
            </w:tcBorders>
          </w:tcPr>
          <w:p>
            <w:pPr>
              <w:pStyle w:val="TableParagraph"/>
              <w:rPr>
                <w:sz w:val="14"/>
              </w:rPr>
            </w:pPr>
          </w:p>
        </w:tc>
        <w:tc>
          <w:tcPr>
            <w:tcW w:w="839" w:type="dxa"/>
            <w:tcBorders>
              <w:bottom w:val="single" w:sz="6" w:space="0" w:color="000000"/>
            </w:tcBorders>
          </w:tcPr>
          <w:p>
            <w:pPr>
              <w:pStyle w:val="TableParagraph"/>
              <w:spacing w:line="20" w:lineRule="exact"/>
              <w:ind w:left="-1"/>
              <w:rPr>
                <w:sz w:val="2"/>
              </w:rPr>
            </w:pPr>
            <w:r>
              <w:rPr>
                <w:sz w:val="2"/>
              </w:rPr>
              <w:pict>
                <v:group style="width:27.3pt;height:.7pt;mso-position-horizontal-relative:char;mso-position-vertical-relative:line" id="docshapegroup417" coordorigin="0,0" coordsize="546,14">
                  <v:rect style="position:absolute;left:0;top:0;width:546;height:14" id="docshape418" filled="true" fillcolor="#000000" stroked="false">
                    <v:fill type="solid"/>
                  </v:rect>
                </v:group>
              </w:pict>
            </w:r>
            <w:r>
              <w:rPr>
                <w:sz w:val="2"/>
              </w:rPr>
            </w:r>
          </w:p>
          <w:p>
            <w:pPr>
              <w:pStyle w:val="TableParagraph"/>
              <w:spacing w:before="26"/>
              <w:ind w:left="87"/>
              <w:rPr>
                <w:b/>
                <w:sz w:val="16"/>
              </w:rPr>
            </w:pPr>
            <w:r>
              <w:rPr>
                <w:b/>
                <w:spacing w:val="-2"/>
                <w:w w:val="105"/>
                <w:sz w:val="16"/>
              </w:rPr>
              <w:t>27,406</w:t>
            </w:r>
          </w:p>
        </w:tc>
        <w:tc>
          <w:tcPr>
            <w:tcW w:w="685" w:type="dxa"/>
            <w:tcBorders>
              <w:top w:val="single" w:sz="6" w:space="0" w:color="000000"/>
              <w:bottom w:val="single" w:sz="6" w:space="0" w:color="000000"/>
            </w:tcBorders>
          </w:tcPr>
          <w:p>
            <w:pPr>
              <w:pStyle w:val="TableParagraph"/>
              <w:spacing w:before="46"/>
              <w:ind w:right="7"/>
              <w:jc w:val="right"/>
              <w:rPr>
                <w:b/>
                <w:sz w:val="16"/>
              </w:rPr>
            </w:pPr>
            <w:r>
              <w:rPr>
                <w:b/>
                <w:spacing w:val="-2"/>
                <w:w w:val="105"/>
                <w:sz w:val="16"/>
              </w:rPr>
              <w:t>579,363</w:t>
            </w:r>
          </w:p>
        </w:tc>
      </w:tr>
      <w:tr>
        <w:trPr>
          <w:trHeight w:val="222" w:hRule="atLeast"/>
        </w:trPr>
        <w:tc>
          <w:tcPr>
            <w:tcW w:w="2125" w:type="dxa"/>
            <w:tcBorders>
              <w:top w:val="single" w:sz="6" w:space="0" w:color="CCEDFF"/>
            </w:tcBorders>
          </w:tcPr>
          <w:p>
            <w:pPr>
              <w:pStyle w:val="TableParagraph"/>
              <w:spacing w:before="18"/>
              <w:rPr>
                <w:sz w:val="16"/>
              </w:rPr>
            </w:pPr>
            <w:r>
              <w:rPr>
                <w:w w:val="105"/>
                <w:sz w:val="16"/>
              </w:rPr>
              <w:t>Andrew</w:t>
            </w:r>
            <w:r>
              <w:rPr>
                <w:spacing w:val="11"/>
                <w:w w:val="105"/>
                <w:sz w:val="16"/>
              </w:rPr>
              <w:t> </w:t>
            </w:r>
            <w:r>
              <w:rPr>
                <w:w w:val="105"/>
                <w:sz w:val="16"/>
              </w:rPr>
              <w:t>J.</w:t>
            </w:r>
            <w:r>
              <w:rPr>
                <w:spacing w:val="12"/>
                <w:w w:val="105"/>
                <w:sz w:val="16"/>
              </w:rPr>
              <w:t> </w:t>
            </w:r>
            <w:r>
              <w:rPr>
                <w:spacing w:val="-2"/>
                <w:w w:val="105"/>
                <w:sz w:val="16"/>
              </w:rPr>
              <w:t>Hartmann</w:t>
            </w:r>
          </w:p>
        </w:tc>
        <w:tc>
          <w:tcPr>
            <w:tcW w:w="772" w:type="dxa"/>
            <w:tcBorders>
              <w:top w:val="single" w:sz="6" w:space="0" w:color="CCEDFF"/>
            </w:tcBorders>
          </w:tcPr>
          <w:p>
            <w:pPr>
              <w:pStyle w:val="TableParagraph"/>
              <w:spacing w:before="18"/>
              <w:ind w:right="-15"/>
              <w:jc w:val="right"/>
              <w:rPr>
                <w:sz w:val="16"/>
              </w:rPr>
            </w:pPr>
            <w:r>
              <w:rPr>
                <w:spacing w:val="-2"/>
                <w:w w:val="105"/>
                <w:sz w:val="16"/>
              </w:rPr>
              <w:t>8/24/2018</w:t>
            </w:r>
          </w:p>
        </w:tc>
        <w:tc>
          <w:tcPr>
            <w:tcW w:w="318" w:type="dxa"/>
            <w:tcBorders>
              <w:top w:val="single" w:sz="6" w:space="0" w:color="CCEDFF"/>
            </w:tcBorders>
          </w:tcPr>
          <w:p>
            <w:pPr>
              <w:pStyle w:val="TableParagraph"/>
              <w:rPr>
                <w:sz w:val="14"/>
              </w:rPr>
            </w:pPr>
          </w:p>
        </w:tc>
        <w:tc>
          <w:tcPr>
            <w:tcW w:w="1034" w:type="dxa"/>
            <w:tcBorders>
              <w:top w:val="single" w:sz="6" w:space="0" w:color="CCEDFF"/>
            </w:tcBorders>
          </w:tcPr>
          <w:p>
            <w:pPr>
              <w:pStyle w:val="TableParagraph"/>
              <w:spacing w:before="18"/>
              <w:ind w:left="92"/>
              <w:rPr>
                <w:sz w:val="16"/>
              </w:rPr>
            </w:pPr>
            <w:r>
              <w:rPr>
                <w:spacing w:val="-2"/>
                <w:w w:val="105"/>
                <w:sz w:val="16"/>
              </w:rPr>
              <w:t>30,237</w:t>
            </w:r>
            <w:r>
              <w:rPr>
                <w:spacing w:val="-2"/>
                <w:w w:val="105"/>
                <w:sz w:val="16"/>
                <w:vertAlign w:val="superscript"/>
              </w:rPr>
              <w:t>(10)</w:t>
            </w:r>
          </w:p>
        </w:tc>
        <w:tc>
          <w:tcPr>
            <w:tcW w:w="959" w:type="dxa"/>
            <w:tcBorders>
              <w:top w:val="single" w:sz="6" w:space="0" w:color="CCEDFF"/>
            </w:tcBorders>
          </w:tcPr>
          <w:p>
            <w:pPr>
              <w:pStyle w:val="TableParagraph"/>
              <w:spacing w:before="18"/>
              <w:ind w:right="26"/>
              <w:jc w:val="center"/>
              <w:rPr>
                <w:sz w:val="16"/>
              </w:rPr>
            </w:pPr>
            <w:r>
              <w:rPr>
                <w:w w:val="104"/>
                <w:sz w:val="16"/>
              </w:rPr>
              <w:t>—</w:t>
            </w:r>
          </w:p>
        </w:tc>
        <w:tc>
          <w:tcPr>
            <w:tcW w:w="467" w:type="dxa"/>
            <w:tcBorders>
              <w:top w:val="single" w:sz="6" w:space="0" w:color="000000"/>
            </w:tcBorders>
          </w:tcPr>
          <w:p>
            <w:pPr>
              <w:pStyle w:val="TableParagraph"/>
              <w:spacing w:before="18"/>
              <w:jc w:val="right"/>
              <w:rPr>
                <w:sz w:val="16"/>
              </w:rPr>
            </w:pPr>
            <w:r>
              <w:rPr>
                <w:spacing w:val="-2"/>
                <w:w w:val="105"/>
                <w:sz w:val="16"/>
              </w:rPr>
              <w:t>$31.14</w:t>
            </w:r>
          </w:p>
        </w:tc>
        <w:tc>
          <w:tcPr>
            <w:tcW w:w="252" w:type="dxa"/>
            <w:tcBorders>
              <w:top w:val="single" w:sz="6" w:space="0" w:color="CCEDFF"/>
            </w:tcBorders>
          </w:tcPr>
          <w:p>
            <w:pPr>
              <w:pStyle w:val="TableParagraph"/>
              <w:rPr>
                <w:sz w:val="14"/>
              </w:rPr>
            </w:pPr>
          </w:p>
        </w:tc>
        <w:tc>
          <w:tcPr>
            <w:tcW w:w="769" w:type="dxa"/>
            <w:tcBorders>
              <w:top w:val="single" w:sz="6" w:space="0" w:color="000000"/>
            </w:tcBorders>
          </w:tcPr>
          <w:p>
            <w:pPr>
              <w:pStyle w:val="TableParagraph"/>
              <w:spacing w:before="18"/>
              <w:jc w:val="right"/>
              <w:rPr>
                <w:sz w:val="16"/>
              </w:rPr>
            </w:pPr>
            <w:r>
              <w:rPr>
                <w:spacing w:val="-2"/>
                <w:w w:val="105"/>
                <w:sz w:val="16"/>
              </w:rPr>
              <w:t>8/15/2025</w:t>
            </w:r>
          </w:p>
        </w:tc>
        <w:tc>
          <w:tcPr>
            <w:tcW w:w="280" w:type="dxa"/>
            <w:tcBorders>
              <w:top w:val="single" w:sz="6" w:space="0" w:color="CCEDFF"/>
            </w:tcBorders>
          </w:tcPr>
          <w:p>
            <w:pPr>
              <w:pStyle w:val="TableParagraph"/>
              <w:rPr>
                <w:sz w:val="14"/>
              </w:rPr>
            </w:pPr>
          </w:p>
        </w:tc>
        <w:tc>
          <w:tcPr>
            <w:tcW w:w="839" w:type="dxa"/>
            <w:tcBorders>
              <w:top w:val="single" w:sz="6" w:space="0" w:color="000000"/>
            </w:tcBorders>
          </w:tcPr>
          <w:p>
            <w:pPr>
              <w:pStyle w:val="TableParagraph"/>
              <w:spacing w:before="18"/>
              <w:ind w:left="90"/>
              <w:jc w:val="center"/>
              <w:rPr>
                <w:sz w:val="16"/>
              </w:rPr>
            </w:pPr>
            <w:r>
              <w:rPr>
                <w:w w:val="104"/>
                <w:sz w:val="16"/>
              </w:rPr>
              <w:t>—</w:t>
            </w:r>
          </w:p>
        </w:tc>
        <w:tc>
          <w:tcPr>
            <w:tcW w:w="685" w:type="dxa"/>
            <w:tcBorders>
              <w:top w:val="single" w:sz="6" w:space="0" w:color="000000"/>
            </w:tcBorders>
          </w:tcPr>
          <w:p>
            <w:pPr>
              <w:pStyle w:val="TableParagraph"/>
              <w:spacing w:before="18"/>
              <w:ind w:right="7"/>
              <w:jc w:val="right"/>
              <w:rPr>
                <w:sz w:val="16"/>
              </w:rPr>
            </w:pPr>
            <w:r>
              <w:rPr>
                <w:w w:val="104"/>
                <w:sz w:val="16"/>
              </w:rPr>
              <w:t>—</w:t>
            </w:r>
          </w:p>
        </w:tc>
      </w:tr>
      <w:tr>
        <w:trPr>
          <w:trHeight w:val="224" w:hRule="atLeast"/>
        </w:trPr>
        <w:tc>
          <w:tcPr>
            <w:tcW w:w="2125" w:type="dxa"/>
          </w:tcPr>
          <w:p>
            <w:pPr>
              <w:pStyle w:val="TableParagraph"/>
              <w:rPr>
                <w:sz w:val="14"/>
              </w:rPr>
            </w:pPr>
          </w:p>
        </w:tc>
        <w:tc>
          <w:tcPr>
            <w:tcW w:w="772" w:type="dxa"/>
          </w:tcPr>
          <w:p>
            <w:pPr>
              <w:pStyle w:val="TableParagraph"/>
              <w:spacing w:before="19"/>
              <w:ind w:right="-15"/>
              <w:jc w:val="right"/>
              <w:rPr>
                <w:sz w:val="16"/>
              </w:rPr>
            </w:pPr>
            <w:r>
              <w:rPr>
                <w:spacing w:val="-2"/>
                <w:w w:val="105"/>
                <w:sz w:val="16"/>
              </w:rPr>
              <w:t>2/15/2019</w:t>
            </w:r>
          </w:p>
        </w:tc>
        <w:tc>
          <w:tcPr>
            <w:tcW w:w="318" w:type="dxa"/>
          </w:tcPr>
          <w:p>
            <w:pPr>
              <w:pStyle w:val="TableParagraph"/>
              <w:rPr>
                <w:sz w:val="14"/>
              </w:rPr>
            </w:pPr>
          </w:p>
        </w:tc>
        <w:tc>
          <w:tcPr>
            <w:tcW w:w="1034" w:type="dxa"/>
          </w:tcPr>
          <w:p>
            <w:pPr>
              <w:pStyle w:val="TableParagraph"/>
              <w:spacing w:before="19"/>
              <w:ind w:left="92"/>
              <w:rPr>
                <w:sz w:val="16"/>
              </w:rPr>
            </w:pPr>
            <w:r>
              <w:rPr>
                <w:spacing w:val="-2"/>
                <w:w w:val="105"/>
                <w:sz w:val="16"/>
              </w:rPr>
              <w:t>26,900</w:t>
            </w:r>
            <w:r>
              <w:rPr>
                <w:spacing w:val="-2"/>
                <w:w w:val="105"/>
                <w:sz w:val="16"/>
                <w:vertAlign w:val="superscript"/>
              </w:rPr>
              <w:t>(11)</w:t>
            </w:r>
          </w:p>
        </w:tc>
        <w:tc>
          <w:tcPr>
            <w:tcW w:w="959" w:type="dxa"/>
          </w:tcPr>
          <w:p>
            <w:pPr>
              <w:pStyle w:val="TableParagraph"/>
              <w:spacing w:before="19"/>
              <w:ind w:right="241"/>
              <w:jc w:val="right"/>
              <w:rPr>
                <w:sz w:val="16"/>
              </w:rPr>
            </w:pPr>
            <w:r>
              <w:rPr>
                <w:spacing w:val="-2"/>
                <w:w w:val="105"/>
                <w:sz w:val="16"/>
              </w:rPr>
              <w:t>3,129</w:t>
            </w:r>
            <w:r>
              <w:rPr>
                <w:spacing w:val="-2"/>
                <w:w w:val="105"/>
                <w:sz w:val="16"/>
                <w:vertAlign w:val="superscript"/>
              </w:rPr>
              <w:t>(11)</w:t>
            </w:r>
          </w:p>
        </w:tc>
        <w:tc>
          <w:tcPr>
            <w:tcW w:w="467" w:type="dxa"/>
          </w:tcPr>
          <w:p>
            <w:pPr>
              <w:pStyle w:val="TableParagraph"/>
              <w:spacing w:before="19"/>
              <w:jc w:val="right"/>
              <w:rPr>
                <w:sz w:val="16"/>
              </w:rPr>
            </w:pPr>
            <w:r>
              <w:rPr>
                <w:spacing w:val="-2"/>
                <w:w w:val="105"/>
                <w:sz w:val="16"/>
              </w:rPr>
              <w:t>$31.42</w:t>
            </w:r>
          </w:p>
        </w:tc>
        <w:tc>
          <w:tcPr>
            <w:tcW w:w="252" w:type="dxa"/>
          </w:tcPr>
          <w:p>
            <w:pPr>
              <w:pStyle w:val="TableParagraph"/>
              <w:rPr>
                <w:sz w:val="14"/>
              </w:rPr>
            </w:pPr>
          </w:p>
        </w:tc>
        <w:tc>
          <w:tcPr>
            <w:tcW w:w="769" w:type="dxa"/>
          </w:tcPr>
          <w:p>
            <w:pPr>
              <w:pStyle w:val="TableParagraph"/>
              <w:spacing w:before="19"/>
              <w:jc w:val="right"/>
              <w:rPr>
                <w:sz w:val="16"/>
              </w:rPr>
            </w:pPr>
            <w:r>
              <w:rPr>
                <w:spacing w:val="-2"/>
                <w:w w:val="105"/>
                <w:sz w:val="16"/>
              </w:rPr>
              <w:t>2/15/2026</w:t>
            </w:r>
          </w:p>
        </w:tc>
        <w:tc>
          <w:tcPr>
            <w:tcW w:w="280" w:type="dxa"/>
          </w:tcPr>
          <w:p>
            <w:pPr>
              <w:pStyle w:val="TableParagraph"/>
              <w:rPr>
                <w:sz w:val="14"/>
              </w:rPr>
            </w:pPr>
          </w:p>
        </w:tc>
        <w:tc>
          <w:tcPr>
            <w:tcW w:w="839" w:type="dxa"/>
          </w:tcPr>
          <w:p>
            <w:pPr>
              <w:pStyle w:val="TableParagraph"/>
              <w:spacing w:before="19"/>
              <w:ind w:left="90"/>
              <w:jc w:val="center"/>
              <w:rPr>
                <w:sz w:val="16"/>
              </w:rPr>
            </w:pPr>
            <w:r>
              <w:rPr>
                <w:w w:val="104"/>
                <w:sz w:val="16"/>
              </w:rPr>
              <w:t>—</w:t>
            </w:r>
          </w:p>
        </w:tc>
        <w:tc>
          <w:tcPr>
            <w:tcW w:w="685" w:type="dxa"/>
          </w:tcPr>
          <w:p>
            <w:pPr>
              <w:pStyle w:val="TableParagraph"/>
              <w:spacing w:before="19"/>
              <w:ind w:right="7"/>
              <w:jc w:val="right"/>
              <w:rPr>
                <w:sz w:val="16"/>
              </w:rPr>
            </w:pPr>
            <w:r>
              <w:rPr>
                <w:w w:val="104"/>
                <w:sz w:val="16"/>
              </w:rPr>
              <w:t>—</w:t>
            </w:r>
          </w:p>
        </w:tc>
      </w:tr>
      <w:tr>
        <w:trPr>
          <w:trHeight w:val="236" w:hRule="atLeast"/>
        </w:trPr>
        <w:tc>
          <w:tcPr>
            <w:tcW w:w="2125" w:type="dxa"/>
          </w:tcPr>
          <w:p>
            <w:pPr>
              <w:pStyle w:val="TableParagraph"/>
              <w:rPr>
                <w:sz w:val="14"/>
              </w:rPr>
            </w:pPr>
          </w:p>
        </w:tc>
        <w:tc>
          <w:tcPr>
            <w:tcW w:w="772" w:type="dxa"/>
          </w:tcPr>
          <w:p>
            <w:pPr>
              <w:pStyle w:val="TableParagraph"/>
              <w:spacing w:before="32"/>
              <w:ind w:right="-15"/>
              <w:jc w:val="right"/>
              <w:rPr>
                <w:sz w:val="16"/>
              </w:rPr>
            </w:pPr>
            <w:r>
              <w:rPr>
                <w:spacing w:val="-2"/>
                <w:w w:val="105"/>
                <w:sz w:val="16"/>
              </w:rPr>
              <w:t>2/18/2020</w:t>
            </w:r>
          </w:p>
        </w:tc>
        <w:tc>
          <w:tcPr>
            <w:tcW w:w="318" w:type="dxa"/>
          </w:tcPr>
          <w:p>
            <w:pPr>
              <w:pStyle w:val="TableParagraph"/>
              <w:rPr>
                <w:sz w:val="14"/>
              </w:rPr>
            </w:pPr>
          </w:p>
        </w:tc>
        <w:tc>
          <w:tcPr>
            <w:tcW w:w="1034" w:type="dxa"/>
          </w:tcPr>
          <w:p>
            <w:pPr>
              <w:pStyle w:val="TableParagraph"/>
              <w:spacing w:before="32"/>
              <w:ind w:left="92"/>
              <w:rPr>
                <w:sz w:val="16"/>
              </w:rPr>
            </w:pPr>
            <w:r>
              <w:rPr>
                <w:spacing w:val="-2"/>
                <w:w w:val="105"/>
                <w:sz w:val="16"/>
              </w:rPr>
              <w:t>19,005</w:t>
            </w:r>
            <w:r>
              <w:rPr>
                <w:spacing w:val="-2"/>
                <w:w w:val="105"/>
                <w:sz w:val="16"/>
                <w:vertAlign w:val="superscript"/>
              </w:rPr>
              <w:t>(12)</w:t>
            </w:r>
          </w:p>
        </w:tc>
        <w:tc>
          <w:tcPr>
            <w:tcW w:w="959" w:type="dxa"/>
          </w:tcPr>
          <w:p>
            <w:pPr>
              <w:pStyle w:val="TableParagraph"/>
              <w:spacing w:before="32"/>
              <w:ind w:left="87"/>
              <w:rPr>
                <w:sz w:val="16"/>
              </w:rPr>
            </w:pPr>
            <w:r>
              <w:rPr>
                <w:spacing w:val="-2"/>
                <w:w w:val="105"/>
                <w:sz w:val="16"/>
              </w:rPr>
              <w:t>10,423</w:t>
            </w:r>
            <w:r>
              <w:rPr>
                <w:spacing w:val="-2"/>
                <w:w w:val="105"/>
                <w:sz w:val="16"/>
                <w:vertAlign w:val="superscript"/>
              </w:rPr>
              <w:t>(12)</w:t>
            </w:r>
          </w:p>
        </w:tc>
        <w:tc>
          <w:tcPr>
            <w:tcW w:w="467" w:type="dxa"/>
          </w:tcPr>
          <w:p>
            <w:pPr>
              <w:pStyle w:val="TableParagraph"/>
              <w:spacing w:before="32"/>
              <w:jc w:val="right"/>
              <w:rPr>
                <w:sz w:val="16"/>
              </w:rPr>
            </w:pPr>
            <w:r>
              <w:rPr>
                <w:spacing w:val="-2"/>
                <w:w w:val="105"/>
                <w:sz w:val="16"/>
              </w:rPr>
              <w:t>$28.12</w:t>
            </w:r>
          </w:p>
        </w:tc>
        <w:tc>
          <w:tcPr>
            <w:tcW w:w="252" w:type="dxa"/>
          </w:tcPr>
          <w:p>
            <w:pPr>
              <w:pStyle w:val="TableParagraph"/>
              <w:rPr>
                <w:sz w:val="14"/>
              </w:rPr>
            </w:pPr>
          </w:p>
        </w:tc>
        <w:tc>
          <w:tcPr>
            <w:tcW w:w="769" w:type="dxa"/>
          </w:tcPr>
          <w:p>
            <w:pPr>
              <w:pStyle w:val="TableParagraph"/>
              <w:spacing w:before="32"/>
              <w:jc w:val="right"/>
              <w:rPr>
                <w:sz w:val="16"/>
              </w:rPr>
            </w:pPr>
            <w:r>
              <w:rPr>
                <w:spacing w:val="-2"/>
                <w:w w:val="105"/>
                <w:sz w:val="16"/>
              </w:rPr>
              <w:t>2/15/2030</w:t>
            </w:r>
          </w:p>
        </w:tc>
        <w:tc>
          <w:tcPr>
            <w:tcW w:w="280" w:type="dxa"/>
          </w:tcPr>
          <w:p>
            <w:pPr>
              <w:pStyle w:val="TableParagraph"/>
              <w:rPr>
                <w:sz w:val="14"/>
              </w:rPr>
            </w:pPr>
          </w:p>
        </w:tc>
        <w:tc>
          <w:tcPr>
            <w:tcW w:w="839" w:type="dxa"/>
          </w:tcPr>
          <w:p>
            <w:pPr>
              <w:pStyle w:val="TableParagraph"/>
              <w:spacing w:before="32"/>
              <w:ind w:left="90"/>
              <w:jc w:val="center"/>
              <w:rPr>
                <w:sz w:val="16"/>
              </w:rPr>
            </w:pPr>
            <w:r>
              <w:rPr>
                <w:w w:val="104"/>
                <w:sz w:val="16"/>
              </w:rPr>
              <w:t>—</w:t>
            </w:r>
          </w:p>
        </w:tc>
        <w:tc>
          <w:tcPr>
            <w:tcW w:w="685" w:type="dxa"/>
          </w:tcPr>
          <w:p>
            <w:pPr>
              <w:pStyle w:val="TableParagraph"/>
              <w:spacing w:before="32"/>
              <w:ind w:right="7"/>
              <w:jc w:val="right"/>
              <w:rPr>
                <w:sz w:val="16"/>
              </w:rPr>
            </w:pPr>
            <w:r>
              <w:rPr>
                <w:w w:val="104"/>
                <w:sz w:val="16"/>
              </w:rPr>
              <w:t>—</w:t>
            </w:r>
          </w:p>
        </w:tc>
      </w:tr>
      <w:tr>
        <w:trPr>
          <w:trHeight w:val="223" w:hRule="atLeast"/>
        </w:trPr>
        <w:tc>
          <w:tcPr>
            <w:tcW w:w="2125" w:type="dxa"/>
          </w:tcPr>
          <w:p>
            <w:pPr>
              <w:pStyle w:val="TableParagraph"/>
              <w:rPr>
                <w:sz w:val="14"/>
              </w:rPr>
            </w:pPr>
          </w:p>
        </w:tc>
        <w:tc>
          <w:tcPr>
            <w:tcW w:w="772" w:type="dxa"/>
          </w:tcPr>
          <w:p>
            <w:pPr>
              <w:pStyle w:val="TableParagraph"/>
              <w:spacing w:before="19"/>
              <w:ind w:right="-15"/>
              <w:jc w:val="right"/>
              <w:rPr>
                <w:sz w:val="16"/>
              </w:rPr>
            </w:pPr>
            <w:r>
              <w:rPr>
                <w:spacing w:val="-2"/>
                <w:w w:val="105"/>
                <w:sz w:val="16"/>
              </w:rPr>
              <w:t>2/16/2021</w:t>
            </w:r>
          </w:p>
        </w:tc>
        <w:tc>
          <w:tcPr>
            <w:tcW w:w="318" w:type="dxa"/>
          </w:tcPr>
          <w:p>
            <w:pPr>
              <w:pStyle w:val="TableParagraph"/>
              <w:rPr>
                <w:sz w:val="14"/>
              </w:rPr>
            </w:pPr>
          </w:p>
        </w:tc>
        <w:tc>
          <w:tcPr>
            <w:tcW w:w="1034" w:type="dxa"/>
          </w:tcPr>
          <w:p>
            <w:pPr>
              <w:pStyle w:val="TableParagraph"/>
              <w:spacing w:before="19"/>
              <w:ind w:left="98"/>
              <w:rPr>
                <w:sz w:val="16"/>
              </w:rPr>
            </w:pPr>
            <w:r>
              <w:rPr>
                <w:spacing w:val="-2"/>
                <w:w w:val="105"/>
                <w:sz w:val="16"/>
              </w:rPr>
              <w:t>11,159</w:t>
            </w:r>
            <w:r>
              <w:rPr>
                <w:spacing w:val="-2"/>
                <w:w w:val="105"/>
                <w:sz w:val="16"/>
                <w:vertAlign w:val="superscript"/>
              </w:rPr>
              <w:t>(14)</w:t>
            </w:r>
          </w:p>
        </w:tc>
        <w:tc>
          <w:tcPr>
            <w:tcW w:w="959" w:type="dxa"/>
          </w:tcPr>
          <w:p>
            <w:pPr>
              <w:pStyle w:val="TableParagraph"/>
              <w:spacing w:before="19"/>
              <w:ind w:left="87"/>
              <w:rPr>
                <w:sz w:val="16"/>
              </w:rPr>
            </w:pPr>
            <w:r>
              <w:rPr>
                <w:spacing w:val="-2"/>
                <w:w w:val="105"/>
                <w:sz w:val="16"/>
              </w:rPr>
              <w:t>17,036</w:t>
            </w:r>
            <w:r>
              <w:rPr>
                <w:spacing w:val="-2"/>
                <w:w w:val="105"/>
                <w:sz w:val="16"/>
                <w:vertAlign w:val="superscript"/>
              </w:rPr>
              <w:t>(14)</w:t>
            </w:r>
          </w:p>
        </w:tc>
        <w:tc>
          <w:tcPr>
            <w:tcW w:w="467" w:type="dxa"/>
          </w:tcPr>
          <w:p>
            <w:pPr>
              <w:pStyle w:val="TableParagraph"/>
              <w:spacing w:before="19"/>
              <w:jc w:val="right"/>
              <w:rPr>
                <w:sz w:val="16"/>
              </w:rPr>
            </w:pPr>
            <w:r>
              <w:rPr>
                <w:spacing w:val="-2"/>
                <w:w w:val="105"/>
                <w:sz w:val="16"/>
              </w:rPr>
              <w:t>$25.06</w:t>
            </w:r>
          </w:p>
        </w:tc>
        <w:tc>
          <w:tcPr>
            <w:tcW w:w="252" w:type="dxa"/>
          </w:tcPr>
          <w:p>
            <w:pPr>
              <w:pStyle w:val="TableParagraph"/>
              <w:rPr>
                <w:sz w:val="14"/>
              </w:rPr>
            </w:pPr>
          </w:p>
        </w:tc>
        <w:tc>
          <w:tcPr>
            <w:tcW w:w="769" w:type="dxa"/>
          </w:tcPr>
          <w:p>
            <w:pPr>
              <w:pStyle w:val="TableParagraph"/>
              <w:spacing w:before="19"/>
              <w:jc w:val="right"/>
              <w:rPr>
                <w:sz w:val="16"/>
              </w:rPr>
            </w:pPr>
            <w:r>
              <w:rPr>
                <w:spacing w:val="-2"/>
                <w:w w:val="105"/>
                <w:sz w:val="16"/>
              </w:rPr>
              <w:t>2/16/2031</w:t>
            </w:r>
          </w:p>
        </w:tc>
        <w:tc>
          <w:tcPr>
            <w:tcW w:w="280" w:type="dxa"/>
          </w:tcPr>
          <w:p>
            <w:pPr>
              <w:pStyle w:val="TableParagraph"/>
              <w:rPr>
                <w:sz w:val="14"/>
              </w:rPr>
            </w:pPr>
          </w:p>
        </w:tc>
        <w:tc>
          <w:tcPr>
            <w:tcW w:w="839" w:type="dxa"/>
          </w:tcPr>
          <w:p>
            <w:pPr>
              <w:pStyle w:val="TableParagraph"/>
              <w:spacing w:before="19"/>
              <w:ind w:left="90"/>
              <w:jc w:val="center"/>
              <w:rPr>
                <w:sz w:val="16"/>
              </w:rPr>
            </w:pPr>
            <w:r>
              <w:rPr>
                <w:w w:val="104"/>
                <w:sz w:val="16"/>
              </w:rPr>
              <w:t>—</w:t>
            </w:r>
          </w:p>
        </w:tc>
        <w:tc>
          <w:tcPr>
            <w:tcW w:w="685" w:type="dxa"/>
          </w:tcPr>
          <w:p>
            <w:pPr>
              <w:pStyle w:val="TableParagraph"/>
              <w:spacing w:before="19"/>
              <w:ind w:right="7"/>
              <w:jc w:val="right"/>
              <w:rPr>
                <w:sz w:val="16"/>
              </w:rPr>
            </w:pPr>
            <w:r>
              <w:rPr>
                <w:w w:val="104"/>
                <w:sz w:val="16"/>
              </w:rPr>
              <w:t>—</w:t>
            </w:r>
          </w:p>
        </w:tc>
      </w:tr>
      <w:tr>
        <w:trPr>
          <w:trHeight w:val="224" w:hRule="atLeast"/>
        </w:trPr>
        <w:tc>
          <w:tcPr>
            <w:tcW w:w="2125" w:type="dxa"/>
          </w:tcPr>
          <w:p>
            <w:pPr>
              <w:pStyle w:val="TableParagraph"/>
              <w:rPr>
                <w:sz w:val="14"/>
              </w:rPr>
            </w:pPr>
          </w:p>
        </w:tc>
        <w:tc>
          <w:tcPr>
            <w:tcW w:w="772" w:type="dxa"/>
          </w:tcPr>
          <w:p>
            <w:pPr>
              <w:pStyle w:val="TableParagraph"/>
              <w:spacing w:before="19"/>
              <w:ind w:right="-15"/>
              <w:jc w:val="right"/>
              <w:rPr>
                <w:sz w:val="16"/>
              </w:rPr>
            </w:pPr>
            <w:r>
              <w:rPr>
                <w:spacing w:val="-2"/>
                <w:w w:val="105"/>
                <w:sz w:val="16"/>
              </w:rPr>
              <w:t>12/10/2021</w:t>
            </w:r>
          </w:p>
        </w:tc>
        <w:tc>
          <w:tcPr>
            <w:tcW w:w="318" w:type="dxa"/>
          </w:tcPr>
          <w:p>
            <w:pPr>
              <w:pStyle w:val="TableParagraph"/>
              <w:rPr>
                <w:sz w:val="14"/>
              </w:rPr>
            </w:pPr>
          </w:p>
        </w:tc>
        <w:tc>
          <w:tcPr>
            <w:tcW w:w="1034" w:type="dxa"/>
          </w:tcPr>
          <w:p>
            <w:pPr>
              <w:pStyle w:val="TableParagraph"/>
              <w:spacing w:before="19"/>
              <w:ind w:right="93"/>
              <w:jc w:val="center"/>
              <w:rPr>
                <w:sz w:val="16"/>
              </w:rPr>
            </w:pPr>
            <w:r>
              <w:rPr>
                <w:w w:val="104"/>
                <w:sz w:val="16"/>
              </w:rPr>
              <w:t>—</w:t>
            </w:r>
          </w:p>
        </w:tc>
        <w:tc>
          <w:tcPr>
            <w:tcW w:w="959" w:type="dxa"/>
          </w:tcPr>
          <w:p>
            <w:pPr>
              <w:pStyle w:val="TableParagraph"/>
              <w:spacing w:before="19"/>
              <w:ind w:left="87"/>
              <w:rPr>
                <w:sz w:val="16"/>
              </w:rPr>
            </w:pPr>
            <w:r>
              <w:rPr>
                <w:spacing w:val="-2"/>
                <w:w w:val="105"/>
                <w:sz w:val="16"/>
              </w:rPr>
              <w:t>21,748</w:t>
            </w:r>
            <w:r>
              <w:rPr>
                <w:spacing w:val="-2"/>
                <w:w w:val="105"/>
                <w:sz w:val="16"/>
                <w:vertAlign w:val="superscript"/>
              </w:rPr>
              <w:t>(16)</w:t>
            </w:r>
          </w:p>
        </w:tc>
        <w:tc>
          <w:tcPr>
            <w:tcW w:w="467" w:type="dxa"/>
          </w:tcPr>
          <w:p>
            <w:pPr>
              <w:pStyle w:val="TableParagraph"/>
              <w:spacing w:before="19"/>
              <w:jc w:val="right"/>
              <w:rPr>
                <w:sz w:val="16"/>
              </w:rPr>
            </w:pPr>
            <w:r>
              <w:rPr>
                <w:spacing w:val="-2"/>
                <w:w w:val="105"/>
                <w:sz w:val="16"/>
              </w:rPr>
              <w:t>$30.95</w:t>
            </w:r>
          </w:p>
        </w:tc>
        <w:tc>
          <w:tcPr>
            <w:tcW w:w="252" w:type="dxa"/>
          </w:tcPr>
          <w:p>
            <w:pPr>
              <w:pStyle w:val="TableParagraph"/>
              <w:rPr>
                <w:sz w:val="14"/>
              </w:rPr>
            </w:pPr>
          </w:p>
        </w:tc>
        <w:tc>
          <w:tcPr>
            <w:tcW w:w="769" w:type="dxa"/>
          </w:tcPr>
          <w:p>
            <w:pPr>
              <w:pStyle w:val="TableParagraph"/>
              <w:spacing w:before="19"/>
              <w:jc w:val="right"/>
              <w:rPr>
                <w:sz w:val="16"/>
              </w:rPr>
            </w:pPr>
            <w:r>
              <w:rPr>
                <w:spacing w:val="-2"/>
                <w:w w:val="105"/>
                <w:sz w:val="16"/>
              </w:rPr>
              <w:t>12/10/2031</w:t>
            </w:r>
          </w:p>
        </w:tc>
        <w:tc>
          <w:tcPr>
            <w:tcW w:w="280" w:type="dxa"/>
          </w:tcPr>
          <w:p>
            <w:pPr>
              <w:pStyle w:val="TableParagraph"/>
              <w:rPr>
                <w:sz w:val="14"/>
              </w:rPr>
            </w:pPr>
          </w:p>
        </w:tc>
        <w:tc>
          <w:tcPr>
            <w:tcW w:w="839" w:type="dxa"/>
          </w:tcPr>
          <w:p>
            <w:pPr>
              <w:pStyle w:val="TableParagraph"/>
              <w:spacing w:before="19"/>
              <w:ind w:left="90"/>
              <w:jc w:val="center"/>
              <w:rPr>
                <w:sz w:val="16"/>
              </w:rPr>
            </w:pPr>
            <w:r>
              <w:rPr>
                <w:w w:val="104"/>
                <w:sz w:val="16"/>
              </w:rPr>
              <w:t>—</w:t>
            </w:r>
          </w:p>
        </w:tc>
        <w:tc>
          <w:tcPr>
            <w:tcW w:w="685" w:type="dxa"/>
          </w:tcPr>
          <w:p>
            <w:pPr>
              <w:pStyle w:val="TableParagraph"/>
              <w:spacing w:before="19"/>
              <w:ind w:right="7"/>
              <w:jc w:val="right"/>
              <w:rPr>
                <w:sz w:val="16"/>
              </w:rPr>
            </w:pPr>
            <w:r>
              <w:rPr>
                <w:w w:val="104"/>
                <w:sz w:val="16"/>
              </w:rPr>
              <w:t>—</w:t>
            </w:r>
          </w:p>
        </w:tc>
      </w:tr>
      <w:tr>
        <w:trPr>
          <w:trHeight w:val="236" w:hRule="atLeast"/>
        </w:trPr>
        <w:tc>
          <w:tcPr>
            <w:tcW w:w="2125" w:type="dxa"/>
          </w:tcPr>
          <w:p>
            <w:pPr>
              <w:pStyle w:val="TableParagraph"/>
              <w:rPr>
                <w:sz w:val="14"/>
              </w:rPr>
            </w:pPr>
          </w:p>
        </w:tc>
        <w:tc>
          <w:tcPr>
            <w:tcW w:w="772" w:type="dxa"/>
          </w:tcPr>
          <w:p>
            <w:pPr>
              <w:pStyle w:val="TableParagraph"/>
              <w:spacing w:before="32"/>
              <w:ind w:right="-15"/>
              <w:jc w:val="right"/>
              <w:rPr>
                <w:sz w:val="16"/>
              </w:rPr>
            </w:pPr>
            <w:r>
              <w:rPr>
                <w:spacing w:val="-2"/>
                <w:w w:val="105"/>
                <w:sz w:val="16"/>
              </w:rPr>
              <w:t>2/15/2019</w:t>
            </w:r>
          </w:p>
        </w:tc>
        <w:tc>
          <w:tcPr>
            <w:tcW w:w="318" w:type="dxa"/>
          </w:tcPr>
          <w:p>
            <w:pPr>
              <w:pStyle w:val="TableParagraph"/>
              <w:rPr>
                <w:sz w:val="14"/>
              </w:rPr>
            </w:pPr>
          </w:p>
        </w:tc>
        <w:tc>
          <w:tcPr>
            <w:tcW w:w="1034" w:type="dxa"/>
          </w:tcPr>
          <w:p>
            <w:pPr>
              <w:pStyle w:val="TableParagraph"/>
              <w:spacing w:before="32"/>
              <w:ind w:right="93"/>
              <w:jc w:val="center"/>
              <w:rPr>
                <w:sz w:val="16"/>
              </w:rPr>
            </w:pPr>
            <w:r>
              <w:rPr>
                <w:w w:val="104"/>
                <w:sz w:val="16"/>
              </w:rPr>
              <w:t>—</w:t>
            </w:r>
          </w:p>
        </w:tc>
        <w:tc>
          <w:tcPr>
            <w:tcW w:w="959" w:type="dxa"/>
          </w:tcPr>
          <w:p>
            <w:pPr>
              <w:pStyle w:val="TableParagraph"/>
              <w:spacing w:before="32"/>
              <w:ind w:right="26"/>
              <w:jc w:val="center"/>
              <w:rPr>
                <w:sz w:val="16"/>
              </w:rPr>
            </w:pPr>
            <w:r>
              <w:rPr>
                <w:w w:val="104"/>
                <w:sz w:val="16"/>
              </w:rPr>
              <w:t>—</w:t>
            </w:r>
          </w:p>
        </w:tc>
        <w:tc>
          <w:tcPr>
            <w:tcW w:w="467" w:type="dxa"/>
          </w:tcPr>
          <w:p>
            <w:pPr>
              <w:pStyle w:val="TableParagraph"/>
              <w:spacing w:before="32"/>
              <w:jc w:val="right"/>
              <w:rPr>
                <w:sz w:val="16"/>
              </w:rPr>
            </w:pPr>
            <w:r>
              <w:rPr>
                <w:w w:val="104"/>
                <w:sz w:val="16"/>
              </w:rPr>
              <w:t>—</w:t>
            </w:r>
          </w:p>
        </w:tc>
        <w:tc>
          <w:tcPr>
            <w:tcW w:w="252" w:type="dxa"/>
          </w:tcPr>
          <w:p>
            <w:pPr>
              <w:pStyle w:val="TableParagraph"/>
              <w:rPr>
                <w:sz w:val="14"/>
              </w:rPr>
            </w:pPr>
          </w:p>
        </w:tc>
        <w:tc>
          <w:tcPr>
            <w:tcW w:w="769" w:type="dxa"/>
          </w:tcPr>
          <w:p>
            <w:pPr>
              <w:pStyle w:val="TableParagraph"/>
              <w:spacing w:before="32"/>
              <w:jc w:val="right"/>
              <w:rPr>
                <w:sz w:val="16"/>
              </w:rPr>
            </w:pPr>
            <w:r>
              <w:rPr>
                <w:w w:val="104"/>
                <w:sz w:val="16"/>
              </w:rPr>
              <w:t>—</w:t>
            </w:r>
          </w:p>
        </w:tc>
        <w:tc>
          <w:tcPr>
            <w:tcW w:w="280" w:type="dxa"/>
          </w:tcPr>
          <w:p>
            <w:pPr>
              <w:pStyle w:val="TableParagraph"/>
              <w:rPr>
                <w:sz w:val="14"/>
              </w:rPr>
            </w:pPr>
          </w:p>
        </w:tc>
        <w:tc>
          <w:tcPr>
            <w:tcW w:w="839" w:type="dxa"/>
          </w:tcPr>
          <w:p>
            <w:pPr>
              <w:pStyle w:val="TableParagraph"/>
              <w:spacing w:before="32"/>
              <w:ind w:right="117"/>
              <w:jc w:val="right"/>
              <w:rPr>
                <w:sz w:val="16"/>
              </w:rPr>
            </w:pPr>
            <w:r>
              <w:rPr>
                <w:spacing w:val="-2"/>
                <w:w w:val="105"/>
                <w:sz w:val="16"/>
              </w:rPr>
              <w:t>1,623</w:t>
            </w:r>
            <w:r>
              <w:rPr>
                <w:spacing w:val="-2"/>
                <w:w w:val="105"/>
                <w:sz w:val="16"/>
                <w:vertAlign w:val="superscript"/>
              </w:rPr>
              <w:t>(17)</w:t>
            </w:r>
          </w:p>
        </w:tc>
        <w:tc>
          <w:tcPr>
            <w:tcW w:w="685" w:type="dxa"/>
          </w:tcPr>
          <w:p>
            <w:pPr>
              <w:pStyle w:val="TableParagraph"/>
              <w:spacing w:before="32"/>
              <w:ind w:right="7"/>
              <w:jc w:val="right"/>
              <w:rPr>
                <w:sz w:val="16"/>
              </w:rPr>
            </w:pPr>
            <w:r>
              <w:rPr>
                <w:spacing w:val="-2"/>
                <w:w w:val="105"/>
                <w:sz w:val="16"/>
              </w:rPr>
              <w:t>34,310</w:t>
            </w:r>
          </w:p>
        </w:tc>
      </w:tr>
      <w:tr>
        <w:trPr>
          <w:trHeight w:val="223" w:hRule="atLeast"/>
        </w:trPr>
        <w:tc>
          <w:tcPr>
            <w:tcW w:w="2125" w:type="dxa"/>
          </w:tcPr>
          <w:p>
            <w:pPr>
              <w:pStyle w:val="TableParagraph"/>
              <w:rPr>
                <w:sz w:val="14"/>
              </w:rPr>
            </w:pPr>
          </w:p>
        </w:tc>
        <w:tc>
          <w:tcPr>
            <w:tcW w:w="772" w:type="dxa"/>
          </w:tcPr>
          <w:p>
            <w:pPr>
              <w:pStyle w:val="TableParagraph"/>
              <w:spacing w:before="19"/>
              <w:ind w:right="-15"/>
              <w:jc w:val="right"/>
              <w:rPr>
                <w:sz w:val="16"/>
              </w:rPr>
            </w:pPr>
            <w:r>
              <w:rPr>
                <w:spacing w:val="-2"/>
                <w:w w:val="105"/>
                <w:sz w:val="16"/>
              </w:rPr>
              <w:t>2/18/2020</w:t>
            </w:r>
          </w:p>
        </w:tc>
        <w:tc>
          <w:tcPr>
            <w:tcW w:w="318" w:type="dxa"/>
          </w:tcPr>
          <w:p>
            <w:pPr>
              <w:pStyle w:val="TableParagraph"/>
              <w:rPr>
                <w:sz w:val="14"/>
              </w:rPr>
            </w:pPr>
          </w:p>
        </w:tc>
        <w:tc>
          <w:tcPr>
            <w:tcW w:w="1034" w:type="dxa"/>
          </w:tcPr>
          <w:p>
            <w:pPr>
              <w:pStyle w:val="TableParagraph"/>
              <w:spacing w:before="19"/>
              <w:ind w:right="93"/>
              <w:jc w:val="center"/>
              <w:rPr>
                <w:sz w:val="16"/>
              </w:rPr>
            </w:pPr>
            <w:r>
              <w:rPr>
                <w:w w:val="104"/>
                <w:sz w:val="16"/>
              </w:rPr>
              <w:t>—</w:t>
            </w:r>
          </w:p>
        </w:tc>
        <w:tc>
          <w:tcPr>
            <w:tcW w:w="959" w:type="dxa"/>
          </w:tcPr>
          <w:p>
            <w:pPr>
              <w:pStyle w:val="TableParagraph"/>
              <w:spacing w:before="19"/>
              <w:ind w:right="26"/>
              <w:jc w:val="center"/>
              <w:rPr>
                <w:sz w:val="16"/>
              </w:rPr>
            </w:pPr>
            <w:r>
              <w:rPr>
                <w:w w:val="104"/>
                <w:sz w:val="16"/>
              </w:rPr>
              <w:t>—</w:t>
            </w:r>
          </w:p>
        </w:tc>
        <w:tc>
          <w:tcPr>
            <w:tcW w:w="467" w:type="dxa"/>
          </w:tcPr>
          <w:p>
            <w:pPr>
              <w:pStyle w:val="TableParagraph"/>
              <w:spacing w:before="19"/>
              <w:jc w:val="right"/>
              <w:rPr>
                <w:sz w:val="16"/>
              </w:rPr>
            </w:pPr>
            <w:r>
              <w:rPr>
                <w:w w:val="104"/>
                <w:sz w:val="16"/>
              </w:rPr>
              <w:t>—</w:t>
            </w:r>
          </w:p>
        </w:tc>
        <w:tc>
          <w:tcPr>
            <w:tcW w:w="252" w:type="dxa"/>
          </w:tcPr>
          <w:p>
            <w:pPr>
              <w:pStyle w:val="TableParagraph"/>
              <w:rPr>
                <w:sz w:val="14"/>
              </w:rPr>
            </w:pPr>
          </w:p>
        </w:tc>
        <w:tc>
          <w:tcPr>
            <w:tcW w:w="769" w:type="dxa"/>
          </w:tcPr>
          <w:p>
            <w:pPr>
              <w:pStyle w:val="TableParagraph"/>
              <w:spacing w:before="19"/>
              <w:jc w:val="right"/>
              <w:rPr>
                <w:sz w:val="16"/>
              </w:rPr>
            </w:pPr>
            <w:r>
              <w:rPr>
                <w:w w:val="104"/>
                <w:sz w:val="16"/>
              </w:rPr>
              <w:t>—</w:t>
            </w:r>
          </w:p>
        </w:tc>
        <w:tc>
          <w:tcPr>
            <w:tcW w:w="280" w:type="dxa"/>
          </w:tcPr>
          <w:p>
            <w:pPr>
              <w:pStyle w:val="TableParagraph"/>
              <w:rPr>
                <w:sz w:val="14"/>
              </w:rPr>
            </w:pPr>
          </w:p>
        </w:tc>
        <w:tc>
          <w:tcPr>
            <w:tcW w:w="839" w:type="dxa"/>
          </w:tcPr>
          <w:p>
            <w:pPr>
              <w:pStyle w:val="TableParagraph"/>
              <w:spacing w:before="19"/>
              <w:ind w:right="117"/>
              <w:jc w:val="right"/>
              <w:rPr>
                <w:sz w:val="16"/>
              </w:rPr>
            </w:pPr>
            <w:r>
              <w:rPr>
                <w:spacing w:val="-2"/>
                <w:w w:val="105"/>
                <w:sz w:val="16"/>
              </w:rPr>
              <w:t>5,135</w:t>
            </w:r>
            <w:r>
              <w:rPr>
                <w:spacing w:val="-2"/>
                <w:w w:val="105"/>
                <w:sz w:val="16"/>
                <w:vertAlign w:val="superscript"/>
              </w:rPr>
              <w:t>(18)</w:t>
            </w:r>
          </w:p>
        </w:tc>
        <w:tc>
          <w:tcPr>
            <w:tcW w:w="685" w:type="dxa"/>
          </w:tcPr>
          <w:p>
            <w:pPr>
              <w:pStyle w:val="TableParagraph"/>
              <w:spacing w:before="19"/>
              <w:ind w:right="7"/>
              <w:jc w:val="right"/>
              <w:rPr>
                <w:sz w:val="16"/>
              </w:rPr>
            </w:pPr>
            <w:r>
              <w:rPr>
                <w:spacing w:val="-2"/>
                <w:w w:val="105"/>
                <w:sz w:val="16"/>
              </w:rPr>
              <w:t>108,554</w:t>
            </w:r>
          </w:p>
        </w:tc>
      </w:tr>
      <w:tr>
        <w:trPr>
          <w:trHeight w:val="224" w:hRule="atLeast"/>
        </w:trPr>
        <w:tc>
          <w:tcPr>
            <w:tcW w:w="2125" w:type="dxa"/>
          </w:tcPr>
          <w:p>
            <w:pPr>
              <w:pStyle w:val="TableParagraph"/>
              <w:rPr>
                <w:sz w:val="14"/>
              </w:rPr>
            </w:pPr>
          </w:p>
        </w:tc>
        <w:tc>
          <w:tcPr>
            <w:tcW w:w="772" w:type="dxa"/>
          </w:tcPr>
          <w:p>
            <w:pPr>
              <w:pStyle w:val="TableParagraph"/>
              <w:spacing w:before="19"/>
              <w:ind w:right="-15"/>
              <w:jc w:val="right"/>
              <w:rPr>
                <w:sz w:val="16"/>
              </w:rPr>
            </w:pPr>
            <w:r>
              <w:rPr>
                <w:spacing w:val="-2"/>
                <w:w w:val="105"/>
                <w:sz w:val="16"/>
              </w:rPr>
              <w:t>2/16/2021</w:t>
            </w:r>
          </w:p>
        </w:tc>
        <w:tc>
          <w:tcPr>
            <w:tcW w:w="318" w:type="dxa"/>
          </w:tcPr>
          <w:p>
            <w:pPr>
              <w:pStyle w:val="TableParagraph"/>
              <w:rPr>
                <w:sz w:val="14"/>
              </w:rPr>
            </w:pPr>
          </w:p>
        </w:tc>
        <w:tc>
          <w:tcPr>
            <w:tcW w:w="1034" w:type="dxa"/>
          </w:tcPr>
          <w:p>
            <w:pPr>
              <w:pStyle w:val="TableParagraph"/>
              <w:spacing w:before="19"/>
              <w:ind w:right="93"/>
              <w:jc w:val="center"/>
              <w:rPr>
                <w:sz w:val="16"/>
              </w:rPr>
            </w:pPr>
            <w:r>
              <w:rPr>
                <w:w w:val="104"/>
                <w:sz w:val="16"/>
              </w:rPr>
              <w:t>—</w:t>
            </w:r>
          </w:p>
        </w:tc>
        <w:tc>
          <w:tcPr>
            <w:tcW w:w="959" w:type="dxa"/>
          </w:tcPr>
          <w:p>
            <w:pPr>
              <w:pStyle w:val="TableParagraph"/>
              <w:spacing w:before="19"/>
              <w:ind w:right="26"/>
              <w:jc w:val="center"/>
              <w:rPr>
                <w:sz w:val="16"/>
              </w:rPr>
            </w:pPr>
            <w:r>
              <w:rPr>
                <w:w w:val="104"/>
                <w:sz w:val="16"/>
              </w:rPr>
              <w:t>—</w:t>
            </w:r>
          </w:p>
        </w:tc>
        <w:tc>
          <w:tcPr>
            <w:tcW w:w="467" w:type="dxa"/>
          </w:tcPr>
          <w:p>
            <w:pPr>
              <w:pStyle w:val="TableParagraph"/>
              <w:spacing w:before="19"/>
              <w:jc w:val="right"/>
              <w:rPr>
                <w:sz w:val="16"/>
              </w:rPr>
            </w:pPr>
            <w:r>
              <w:rPr>
                <w:w w:val="104"/>
                <w:sz w:val="16"/>
              </w:rPr>
              <w:t>—</w:t>
            </w:r>
          </w:p>
        </w:tc>
        <w:tc>
          <w:tcPr>
            <w:tcW w:w="252" w:type="dxa"/>
          </w:tcPr>
          <w:p>
            <w:pPr>
              <w:pStyle w:val="TableParagraph"/>
              <w:rPr>
                <w:sz w:val="14"/>
              </w:rPr>
            </w:pPr>
          </w:p>
        </w:tc>
        <w:tc>
          <w:tcPr>
            <w:tcW w:w="769" w:type="dxa"/>
          </w:tcPr>
          <w:p>
            <w:pPr>
              <w:pStyle w:val="TableParagraph"/>
              <w:spacing w:before="19"/>
              <w:jc w:val="right"/>
              <w:rPr>
                <w:sz w:val="16"/>
              </w:rPr>
            </w:pPr>
            <w:r>
              <w:rPr>
                <w:w w:val="104"/>
                <w:sz w:val="16"/>
              </w:rPr>
              <w:t>—</w:t>
            </w:r>
          </w:p>
        </w:tc>
        <w:tc>
          <w:tcPr>
            <w:tcW w:w="280" w:type="dxa"/>
          </w:tcPr>
          <w:p>
            <w:pPr>
              <w:pStyle w:val="TableParagraph"/>
              <w:rPr>
                <w:sz w:val="14"/>
              </w:rPr>
            </w:pPr>
          </w:p>
        </w:tc>
        <w:tc>
          <w:tcPr>
            <w:tcW w:w="839" w:type="dxa"/>
          </w:tcPr>
          <w:p>
            <w:pPr>
              <w:pStyle w:val="TableParagraph"/>
              <w:spacing w:before="19"/>
              <w:ind w:left="93"/>
              <w:rPr>
                <w:sz w:val="16"/>
              </w:rPr>
            </w:pPr>
            <w:r>
              <w:rPr>
                <w:spacing w:val="-2"/>
                <w:w w:val="105"/>
                <w:sz w:val="16"/>
              </w:rPr>
              <w:t>11,523</w:t>
            </w:r>
            <w:r>
              <w:rPr>
                <w:spacing w:val="-2"/>
                <w:w w:val="105"/>
                <w:sz w:val="16"/>
                <w:vertAlign w:val="superscript"/>
              </w:rPr>
              <w:t>(20)</w:t>
            </w:r>
          </w:p>
        </w:tc>
        <w:tc>
          <w:tcPr>
            <w:tcW w:w="685" w:type="dxa"/>
          </w:tcPr>
          <w:p>
            <w:pPr>
              <w:pStyle w:val="TableParagraph"/>
              <w:spacing w:before="19"/>
              <w:ind w:right="7"/>
              <w:jc w:val="right"/>
              <w:rPr>
                <w:sz w:val="16"/>
              </w:rPr>
            </w:pPr>
            <w:r>
              <w:rPr>
                <w:spacing w:val="-2"/>
                <w:w w:val="105"/>
                <w:sz w:val="16"/>
              </w:rPr>
              <w:t>243,596</w:t>
            </w:r>
          </w:p>
        </w:tc>
      </w:tr>
      <w:tr>
        <w:trPr>
          <w:trHeight w:val="250" w:hRule="atLeast"/>
        </w:trPr>
        <w:tc>
          <w:tcPr>
            <w:tcW w:w="2125" w:type="dxa"/>
          </w:tcPr>
          <w:p>
            <w:pPr>
              <w:pStyle w:val="TableParagraph"/>
              <w:rPr>
                <w:sz w:val="14"/>
              </w:rPr>
            </w:pPr>
          </w:p>
        </w:tc>
        <w:tc>
          <w:tcPr>
            <w:tcW w:w="772" w:type="dxa"/>
            <w:tcBorders>
              <w:bottom w:val="single" w:sz="6" w:space="0" w:color="000000"/>
            </w:tcBorders>
          </w:tcPr>
          <w:p>
            <w:pPr>
              <w:pStyle w:val="TableParagraph"/>
              <w:spacing w:before="46"/>
              <w:ind w:right="-15"/>
              <w:jc w:val="right"/>
              <w:rPr>
                <w:sz w:val="16"/>
              </w:rPr>
            </w:pPr>
            <w:r>
              <w:rPr>
                <w:spacing w:val="-2"/>
                <w:w w:val="105"/>
                <w:sz w:val="16"/>
              </w:rPr>
              <w:t>12/10/2021</w:t>
            </w:r>
          </w:p>
        </w:tc>
        <w:tc>
          <w:tcPr>
            <w:tcW w:w="318" w:type="dxa"/>
          </w:tcPr>
          <w:p>
            <w:pPr>
              <w:pStyle w:val="TableParagraph"/>
              <w:rPr>
                <w:sz w:val="14"/>
              </w:rPr>
            </w:pPr>
          </w:p>
        </w:tc>
        <w:tc>
          <w:tcPr>
            <w:tcW w:w="1034" w:type="dxa"/>
          </w:tcPr>
          <w:p>
            <w:pPr>
              <w:pStyle w:val="TableParagraph"/>
              <w:spacing w:before="46"/>
              <w:ind w:right="93"/>
              <w:jc w:val="center"/>
              <w:rPr>
                <w:sz w:val="16"/>
              </w:rPr>
            </w:pPr>
            <w:r>
              <w:rPr>
                <w:w w:val="104"/>
                <w:sz w:val="16"/>
              </w:rPr>
              <w:t>—</w:t>
            </w:r>
          </w:p>
        </w:tc>
        <w:tc>
          <w:tcPr>
            <w:tcW w:w="959" w:type="dxa"/>
          </w:tcPr>
          <w:p>
            <w:pPr>
              <w:pStyle w:val="TableParagraph"/>
              <w:spacing w:before="46"/>
              <w:ind w:right="26"/>
              <w:jc w:val="center"/>
              <w:rPr>
                <w:sz w:val="16"/>
              </w:rPr>
            </w:pPr>
            <w:r>
              <w:rPr>
                <w:w w:val="104"/>
                <w:sz w:val="16"/>
              </w:rPr>
              <w:t>—</w:t>
            </w:r>
          </w:p>
        </w:tc>
        <w:tc>
          <w:tcPr>
            <w:tcW w:w="467" w:type="dxa"/>
            <w:tcBorders>
              <w:bottom w:val="single" w:sz="6" w:space="0" w:color="000000"/>
            </w:tcBorders>
          </w:tcPr>
          <w:p>
            <w:pPr>
              <w:pStyle w:val="TableParagraph"/>
              <w:spacing w:before="46"/>
              <w:jc w:val="right"/>
              <w:rPr>
                <w:sz w:val="16"/>
              </w:rPr>
            </w:pPr>
            <w:r>
              <w:rPr>
                <w:w w:val="104"/>
                <w:sz w:val="16"/>
              </w:rPr>
              <w:t>—</w:t>
            </w:r>
          </w:p>
        </w:tc>
        <w:tc>
          <w:tcPr>
            <w:tcW w:w="252" w:type="dxa"/>
          </w:tcPr>
          <w:p>
            <w:pPr>
              <w:pStyle w:val="TableParagraph"/>
              <w:rPr>
                <w:sz w:val="14"/>
              </w:rPr>
            </w:pPr>
          </w:p>
        </w:tc>
        <w:tc>
          <w:tcPr>
            <w:tcW w:w="769" w:type="dxa"/>
            <w:tcBorders>
              <w:bottom w:val="single" w:sz="6" w:space="0" w:color="000000"/>
            </w:tcBorders>
          </w:tcPr>
          <w:p>
            <w:pPr>
              <w:pStyle w:val="TableParagraph"/>
              <w:spacing w:before="46"/>
              <w:jc w:val="right"/>
              <w:rPr>
                <w:sz w:val="16"/>
              </w:rPr>
            </w:pPr>
            <w:r>
              <w:rPr>
                <w:w w:val="104"/>
                <w:sz w:val="16"/>
              </w:rPr>
              <w:t>—</w:t>
            </w:r>
          </w:p>
        </w:tc>
        <w:tc>
          <w:tcPr>
            <w:tcW w:w="280" w:type="dxa"/>
          </w:tcPr>
          <w:p>
            <w:pPr>
              <w:pStyle w:val="TableParagraph"/>
              <w:rPr>
                <w:sz w:val="14"/>
              </w:rPr>
            </w:pPr>
          </w:p>
        </w:tc>
        <w:tc>
          <w:tcPr>
            <w:tcW w:w="839" w:type="dxa"/>
          </w:tcPr>
          <w:p>
            <w:pPr>
              <w:pStyle w:val="TableParagraph"/>
              <w:spacing w:before="46"/>
              <w:ind w:right="117"/>
              <w:jc w:val="right"/>
              <w:rPr>
                <w:sz w:val="16"/>
              </w:rPr>
            </w:pPr>
            <w:r>
              <w:rPr>
                <w:spacing w:val="-2"/>
                <w:w w:val="105"/>
                <w:sz w:val="16"/>
              </w:rPr>
              <w:t>9,328</w:t>
            </w:r>
            <w:r>
              <w:rPr>
                <w:spacing w:val="-2"/>
                <w:w w:val="105"/>
                <w:sz w:val="16"/>
                <w:vertAlign w:val="superscript"/>
              </w:rPr>
              <w:t>(22)</w:t>
            </w:r>
          </w:p>
        </w:tc>
        <w:tc>
          <w:tcPr>
            <w:tcW w:w="685" w:type="dxa"/>
            <w:tcBorders>
              <w:bottom w:val="single" w:sz="6" w:space="0" w:color="000000"/>
            </w:tcBorders>
          </w:tcPr>
          <w:p>
            <w:pPr>
              <w:pStyle w:val="TableParagraph"/>
              <w:spacing w:before="46"/>
              <w:ind w:right="7"/>
              <w:jc w:val="right"/>
              <w:rPr>
                <w:sz w:val="16"/>
              </w:rPr>
            </w:pPr>
            <w:r>
              <w:rPr>
                <w:spacing w:val="-2"/>
                <w:w w:val="105"/>
                <w:sz w:val="16"/>
              </w:rPr>
              <w:t>197,194</w:t>
            </w:r>
          </w:p>
        </w:tc>
      </w:tr>
      <w:tr>
        <w:trPr>
          <w:trHeight w:val="236" w:hRule="atLeast"/>
        </w:trPr>
        <w:tc>
          <w:tcPr>
            <w:tcW w:w="2125" w:type="dxa"/>
            <w:tcBorders>
              <w:bottom w:val="single" w:sz="6" w:space="0" w:color="CCEDFF"/>
            </w:tcBorders>
          </w:tcPr>
          <w:p>
            <w:pPr>
              <w:pStyle w:val="TableParagraph"/>
              <w:rPr>
                <w:sz w:val="14"/>
              </w:rPr>
            </w:pPr>
          </w:p>
        </w:tc>
        <w:tc>
          <w:tcPr>
            <w:tcW w:w="772" w:type="dxa"/>
            <w:tcBorders>
              <w:top w:val="single" w:sz="6" w:space="0" w:color="000000"/>
              <w:bottom w:val="single" w:sz="6" w:space="0" w:color="000000"/>
            </w:tcBorders>
          </w:tcPr>
          <w:p>
            <w:pPr>
              <w:pStyle w:val="TableParagraph"/>
              <w:spacing w:before="32"/>
              <w:ind w:right="-15"/>
              <w:jc w:val="right"/>
              <w:rPr>
                <w:b/>
                <w:sz w:val="16"/>
              </w:rPr>
            </w:pPr>
            <w:r>
              <w:rPr>
                <w:b/>
                <w:spacing w:val="-2"/>
                <w:w w:val="105"/>
                <w:sz w:val="16"/>
              </w:rPr>
              <w:t>Total</w:t>
            </w:r>
          </w:p>
        </w:tc>
        <w:tc>
          <w:tcPr>
            <w:tcW w:w="318" w:type="dxa"/>
            <w:tcBorders>
              <w:bottom w:val="single" w:sz="6" w:space="0" w:color="CCEDFF"/>
            </w:tcBorders>
          </w:tcPr>
          <w:p>
            <w:pPr>
              <w:pStyle w:val="TableParagraph"/>
              <w:rPr>
                <w:sz w:val="14"/>
              </w:rPr>
            </w:pPr>
          </w:p>
        </w:tc>
        <w:tc>
          <w:tcPr>
            <w:tcW w:w="1034" w:type="dxa"/>
            <w:tcBorders>
              <w:bottom w:val="single" w:sz="6" w:space="0" w:color="CCEDFF"/>
            </w:tcBorders>
          </w:tcPr>
          <w:p>
            <w:pPr>
              <w:pStyle w:val="TableParagraph"/>
              <w:spacing w:line="20" w:lineRule="exact"/>
              <w:rPr>
                <w:sz w:val="2"/>
              </w:rPr>
            </w:pPr>
            <w:r>
              <w:rPr>
                <w:sz w:val="2"/>
              </w:rPr>
              <w:pict>
                <v:group style="width:28pt;height:.7pt;mso-position-horizontal-relative:char;mso-position-vertical-relative:line" id="docshapegroup419" coordorigin="0,0" coordsize="560,14">
                  <v:rect style="position:absolute;left:0;top:0;width:560;height:14" id="docshape420" filled="true" fillcolor="#000000" stroked="false">
                    <v:fill type="solid"/>
                  </v:rect>
                </v:group>
              </w:pict>
            </w:r>
            <w:r>
              <w:rPr>
                <w:sz w:val="2"/>
              </w:rPr>
            </w:r>
          </w:p>
          <w:p>
            <w:pPr>
              <w:pStyle w:val="TableParagraph"/>
              <w:spacing w:before="12"/>
              <w:ind w:left="92"/>
              <w:rPr>
                <w:b/>
                <w:sz w:val="16"/>
              </w:rPr>
            </w:pPr>
            <w:r>
              <w:rPr>
                <w:b/>
                <w:spacing w:val="-2"/>
                <w:w w:val="105"/>
                <w:sz w:val="16"/>
              </w:rPr>
              <w:t>87,301</w:t>
            </w:r>
          </w:p>
        </w:tc>
        <w:tc>
          <w:tcPr>
            <w:tcW w:w="959" w:type="dxa"/>
            <w:tcBorders>
              <w:bottom w:val="single" w:sz="6" w:space="0" w:color="CCEDFF"/>
            </w:tcBorders>
          </w:tcPr>
          <w:p>
            <w:pPr>
              <w:pStyle w:val="TableParagraph"/>
              <w:spacing w:line="20" w:lineRule="exact"/>
              <w:rPr>
                <w:sz w:val="2"/>
              </w:rPr>
            </w:pPr>
            <w:r>
              <w:rPr>
                <w:sz w:val="2"/>
              </w:rPr>
              <w:pict>
                <v:group style="width:27.3pt;height:.7pt;mso-position-horizontal-relative:char;mso-position-vertical-relative:line" id="docshapegroup421" coordorigin="0,0" coordsize="546,14">
                  <v:rect style="position:absolute;left:0;top:0;width:546;height:14" id="docshape422" filled="true" fillcolor="#000000" stroked="false">
                    <v:fill type="solid"/>
                  </v:rect>
                </v:group>
              </w:pict>
            </w:r>
            <w:r>
              <w:rPr>
                <w:sz w:val="2"/>
              </w:rPr>
            </w:r>
          </w:p>
          <w:p>
            <w:pPr>
              <w:pStyle w:val="TableParagraph"/>
              <w:spacing w:before="12"/>
              <w:ind w:left="87"/>
              <w:rPr>
                <w:b/>
                <w:sz w:val="16"/>
              </w:rPr>
            </w:pPr>
            <w:r>
              <w:rPr>
                <w:b/>
                <w:spacing w:val="-2"/>
                <w:w w:val="105"/>
                <w:sz w:val="16"/>
              </w:rPr>
              <w:t>52,336</w:t>
            </w:r>
          </w:p>
        </w:tc>
        <w:tc>
          <w:tcPr>
            <w:tcW w:w="467" w:type="dxa"/>
            <w:tcBorders>
              <w:top w:val="single" w:sz="6" w:space="0" w:color="000000"/>
              <w:bottom w:val="single" w:sz="6" w:space="0" w:color="000000"/>
            </w:tcBorders>
          </w:tcPr>
          <w:p>
            <w:pPr>
              <w:pStyle w:val="TableParagraph"/>
              <w:rPr>
                <w:sz w:val="14"/>
              </w:rPr>
            </w:pPr>
          </w:p>
        </w:tc>
        <w:tc>
          <w:tcPr>
            <w:tcW w:w="252" w:type="dxa"/>
            <w:tcBorders>
              <w:bottom w:val="single" w:sz="6" w:space="0" w:color="CCEDFF"/>
            </w:tcBorders>
          </w:tcPr>
          <w:p>
            <w:pPr>
              <w:pStyle w:val="TableParagraph"/>
              <w:rPr>
                <w:sz w:val="14"/>
              </w:rPr>
            </w:pPr>
          </w:p>
        </w:tc>
        <w:tc>
          <w:tcPr>
            <w:tcW w:w="769" w:type="dxa"/>
            <w:tcBorders>
              <w:top w:val="single" w:sz="6" w:space="0" w:color="000000"/>
              <w:bottom w:val="single" w:sz="6" w:space="0" w:color="000000"/>
            </w:tcBorders>
          </w:tcPr>
          <w:p>
            <w:pPr>
              <w:pStyle w:val="TableParagraph"/>
              <w:rPr>
                <w:sz w:val="14"/>
              </w:rPr>
            </w:pPr>
          </w:p>
        </w:tc>
        <w:tc>
          <w:tcPr>
            <w:tcW w:w="280" w:type="dxa"/>
            <w:tcBorders>
              <w:bottom w:val="single" w:sz="6" w:space="0" w:color="CCEDFF"/>
            </w:tcBorders>
          </w:tcPr>
          <w:p>
            <w:pPr>
              <w:pStyle w:val="TableParagraph"/>
              <w:rPr>
                <w:sz w:val="14"/>
              </w:rPr>
            </w:pPr>
          </w:p>
        </w:tc>
        <w:tc>
          <w:tcPr>
            <w:tcW w:w="839" w:type="dxa"/>
            <w:tcBorders>
              <w:bottom w:val="single" w:sz="6" w:space="0" w:color="000000"/>
            </w:tcBorders>
          </w:tcPr>
          <w:p>
            <w:pPr>
              <w:pStyle w:val="TableParagraph"/>
              <w:spacing w:line="20" w:lineRule="exact"/>
              <w:ind w:left="-1"/>
              <w:rPr>
                <w:sz w:val="2"/>
              </w:rPr>
            </w:pPr>
            <w:r>
              <w:rPr>
                <w:sz w:val="2"/>
              </w:rPr>
              <w:pict>
                <v:group style="width:27.3pt;height:.7pt;mso-position-horizontal-relative:char;mso-position-vertical-relative:line" id="docshapegroup423" coordorigin="0,0" coordsize="546,14">
                  <v:rect style="position:absolute;left:0;top:0;width:546;height:14" id="docshape424" filled="true" fillcolor="#000000" stroked="false">
                    <v:fill type="solid"/>
                  </v:rect>
                </v:group>
              </w:pict>
            </w:r>
            <w:r>
              <w:rPr>
                <w:sz w:val="2"/>
              </w:rPr>
            </w:r>
          </w:p>
          <w:p>
            <w:pPr>
              <w:pStyle w:val="TableParagraph"/>
              <w:spacing w:before="12"/>
              <w:ind w:left="87"/>
              <w:rPr>
                <w:b/>
                <w:sz w:val="16"/>
              </w:rPr>
            </w:pPr>
            <w:r>
              <w:rPr>
                <w:b/>
                <w:spacing w:val="-2"/>
                <w:w w:val="105"/>
                <w:sz w:val="16"/>
              </w:rPr>
              <w:t>27,609</w:t>
            </w:r>
          </w:p>
        </w:tc>
        <w:tc>
          <w:tcPr>
            <w:tcW w:w="685" w:type="dxa"/>
            <w:tcBorders>
              <w:top w:val="single" w:sz="6" w:space="0" w:color="000000"/>
              <w:bottom w:val="single" w:sz="6" w:space="0" w:color="000000"/>
            </w:tcBorders>
          </w:tcPr>
          <w:p>
            <w:pPr>
              <w:pStyle w:val="TableParagraph"/>
              <w:spacing w:before="32"/>
              <w:ind w:right="7"/>
              <w:jc w:val="right"/>
              <w:rPr>
                <w:b/>
                <w:sz w:val="16"/>
              </w:rPr>
            </w:pPr>
            <w:r>
              <w:rPr>
                <w:b/>
                <w:spacing w:val="-2"/>
                <w:w w:val="105"/>
                <w:sz w:val="16"/>
              </w:rPr>
              <w:t>583,654</w:t>
            </w:r>
          </w:p>
        </w:tc>
      </w:tr>
    </w:tbl>
    <w:p>
      <w:pPr>
        <w:spacing w:after="0"/>
        <w:jc w:val="right"/>
        <w:rPr>
          <w:sz w:val="16"/>
        </w:rPr>
        <w:sectPr>
          <w:type w:val="continuous"/>
          <w:pgSz w:w="12240" w:h="15840"/>
          <w:pgMar w:header="529" w:footer="1624" w:top="600" w:bottom="960" w:left="480" w:right="460"/>
        </w:sectPr>
      </w:pPr>
    </w:p>
    <w:p>
      <w:pPr>
        <w:pStyle w:val="BodyText"/>
        <w:rPr>
          <w:sz w:val="20"/>
        </w:rPr>
      </w:pPr>
    </w:p>
    <w:p>
      <w:pPr>
        <w:pStyle w:val="BodyText"/>
        <w:rPr>
          <w:sz w:val="20"/>
        </w:rPr>
      </w:pPr>
    </w:p>
    <w:p>
      <w:pPr>
        <w:pStyle w:val="BodyText"/>
        <w:rPr>
          <w:sz w:val="20"/>
        </w:rPr>
      </w:pPr>
    </w:p>
    <w:p>
      <w:pPr>
        <w:pStyle w:val="BodyText"/>
        <w:spacing w:before="8" w:after="1"/>
        <w:rPr>
          <w:sz w:val="15"/>
        </w:rPr>
      </w:pPr>
    </w:p>
    <w:p>
      <w:pPr>
        <w:pStyle w:val="BodyText"/>
        <w:spacing w:line="20" w:lineRule="exact"/>
        <w:ind w:left="1400"/>
        <w:rPr>
          <w:sz w:val="2"/>
        </w:rPr>
      </w:pPr>
      <w:r>
        <w:rPr>
          <w:sz w:val="2"/>
        </w:rPr>
        <w:pict>
          <v:group style="width:100.7pt;height:.7pt;mso-position-horizontal-relative:char;mso-position-vertical-relative:line" id="docshapegroup431" coordorigin="0,0" coordsize="2014,14">
            <v:rect style="position:absolute;left:0;top:0;width:2014;height:14" id="docshape432" filled="true" fillcolor="#000000" stroked="false">
              <v:fill type="solid"/>
            </v:rect>
          </v:group>
        </w:pict>
      </w:r>
      <w:r>
        <w:rPr>
          <w:sz w:val="2"/>
        </w:rPr>
      </w:r>
    </w:p>
    <w:p>
      <w:pPr>
        <w:pStyle w:val="ListParagraph"/>
        <w:numPr>
          <w:ilvl w:val="0"/>
          <w:numId w:val="32"/>
        </w:numPr>
        <w:tabs>
          <w:tab w:pos="1773" w:val="left" w:leader="none"/>
        </w:tabs>
        <w:spacing w:line="259" w:lineRule="auto" w:before="147" w:after="0"/>
        <w:ind w:left="1772" w:right="1597" w:hanging="373"/>
        <w:jc w:val="left"/>
        <w:rPr>
          <w:sz w:val="18"/>
        </w:rPr>
      </w:pPr>
      <w:r>
        <w:rPr>
          <w:w w:val="105"/>
          <w:sz w:val="18"/>
        </w:rPr>
        <w:t>For stock options and RSU awards reflected in these columns, vesting will occur only if the NEO is</w:t>
      </w:r>
      <w:r>
        <w:rPr>
          <w:spacing w:val="40"/>
          <w:w w:val="105"/>
          <w:sz w:val="18"/>
        </w:rPr>
        <w:t> </w:t>
      </w:r>
      <w:r>
        <w:rPr>
          <w:w w:val="105"/>
          <w:sz w:val="18"/>
        </w:rPr>
        <w:t>employed by the Company or an affiliate through each vesting date, except in cases involving death, disability, or termination without cause or for good reason in the change of control context.</w:t>
      </w:r>
      <w:r>
        <w:rPr>
          <w:spacing w:val="40"/>
          <w:w w:val="105"/>
          <w:sz w:val="18"/>
        </w:rPr>
        <w:t> </w:t>
      </w:r>
      <w:r>
        <w:rPr>
          <w:w w:val="105"/>
          <w:sz w:val="18"/>
        </w:rPr>
        <w:t>Additionally, such awards will accelerate in the event of certain corporate transactions if such awards</w:t>
      </w:r>
      <w:r>
        <w:rPr>
          <w:spacing w:val="40"/>
          <w:w w:val="105"/>
          <w:sz w:val="18"/>
        </w:rPr>
        <w:t> </w:t>
      </w:r>
      <w:r>
        <w:rPr>
          <w:w w:val="105"/>
          <w:sz w:val="18"/>
        </w:rPr>
        <w:t>are not assumed, continued or substituted. See “Potential Payments Upon Termination or Change in </w:t>
      </w:r>
      <w:r>
        <w:rPr>
          <w:spacing w:val="-2"/>
          <w:w w:val="105"/>
          <w:sz w:val="18"/>
        </w:rPr>
        <w:t>Control.”</w:t>
      </w:r>
    </w:p>
    <w:p>
      <w:pPr>
        <w:pStyle w:val="ListParagraph"/>
        <w:numPr>
          <w:ilvl w:val="0"/>
          <w:numId w:val="32"/>
        </w:numPr>
        <w:tabs>
          <w:tab w:pos="1773" w:val="left" w:leader="none"/>
        </w:tabs>
        <w:spacing w:line="240" w:lineRule="auto" w:before="85" w:after="0"/>
        <w:ind w:left="1772" w:right="0" w:hanging="373"/>
        <w:jc w:val="left"/>
        <w:rPr>
          <w:sz w:val="18"/>
        </w:rPr>
      </w:pPr>
      <w:r>
        <w:rPr>
          <w:w w:val="105"/>
          <w:sz w:val="18"/>
        </w:rPr>
        <w:t>Stock</w:t>
      </w:r>
      <w:r>
        <w:rPr>
          <w:spacing w:val="8"/>
          <w:w w:val="105"/>
          <w:sz w:val="18"/>
        </w:rPr>
        <w:t> </w:t>
      </w:r>
      <w:r>
        <w:rPr>
          <w:w w:val="105"/>
          <w:sz w:val="18"/>
        </w:rPr>
        <w:t>option</w:t>
      </w:r>
      <w:r>
        <w:rPr>
          <w:spacing w:val="10"/>
          <w:w w:val="105"/>
          <w:sz w:val="18"/>
        </w:rPr>
        <w:t> </w:t>
      </w:r>
      <w:r>
        <w:rPr>
          <w:w w:val="105"/>
          <w:sz w:val="18"/>
        </w:rPr>
        <w:t>awards</w:t>
      </w:r>
      <w:r>
        <w:rPr>
          <w:spacing w:val="10"/>
          <w:w w:val="105"/>
          <w:sz w:val="18"/>
        </w:rPr>
        <w:t> </w:t>
      </w:r>
      <w:r>
        <w:rPr>
          <w:w w:val="105"/>
          <w:sz w:val="18"/>
        </w:rPr>
        <w:t>prior</w:t>
      </w:r>
      <w:r>
        <w:rPr>
          <w:spacing w:val="10"/>
          <w:w w:val="105"/>
          <w:sz w:val="18"/>
        </w:rPr>
        <w:t> </w:t>
      </w:r>
      <w:r>
        <w:rPr>
          <w:w w:val="105"/>
          <w:sz w:val="18"/>
        </w:rPr>
        <w:t>to</w:t>
      </w:r>
      <w:r>
        <w:rPr>
          <w:spacing w:val="11"/>
          <w:w w:val="105"/>
          <w:sz w:val="18"/>
        </w:rPr>
        <w:t> </w:t>
      </w:r>
      <w:r>
        <w:rPr>
          <w:w w:val="105"/>
          <w:sz w:val="18"/>
        </w:rPr>
        <w:t>2020</w:t>
      </w:r>
      <w:r>
        <w:rPr>
          <w:spacing w:val="10"/>
          <w:w w:val="105"/>
          <w:sz w:val="18"/>
        </w:rPr>
        <w:t> </w:t>
      </w:r>
      <w:r>
        <w:rPr>
          <w:w w:val="105"/>
          <w:sz w:val="18"/>
        </w:rPr>
        <w:t>are</w:t>
      </w:r>
      <w:r>
        <w:rPr>
          <w:spacing w:val="10"/>
          <w:w w:val="105"/>
          <w:sz w:val="18"/>
        </w:rPr>
        <w:t> </w:t>
      </w:r>
      <w:r>
        <w:rPr>
          <w:w w:val="105"/>
          <w:sz w:val="18"/>
        </w:rPr>
        <w:t>granted</w:t>
      </w:r>
      <w:r>
        <w:rPr>
          <w:spacing w:val="10"/>
          <w:w w:val="105"/>
          <w:sz w:val="18"/>
        </w:rPr>
        <w:t> </w:t>
      </w:r>
      <w:r>
        <w:rPr>
          <w:w w:val="105"/>
          <w:sz w:val="18"/>
        </w:rPr>
        <w:t>at</w:t>
      </w:r>
      <w:r>
        <w:rPr>
          <w:spacing w:val="11"/>
          <w:w w:val="105"/>
          <w:sz w:val="18"/>
        </w:rPr>
        <w:t> </w:t>
      </w:r>
      <w:r>
        <w:rPr>
          <w:w w:val="105"/>
          <w:sz w:val="18"/>
        </w:rPr>
        <w:t>an</w:t>
      </w:r>
      <w:r>
        <w:rPr>
          <w:spacing w:val="10"/>
          <w:w w:val="105"/>
          <w:sz w:val="18"/>
        </w:rPr>
        <w:t> </w:t>
      </w:r>
      <w:r>
        <w:rPr>
          <w:w w:val="105"/>
          <w:sz w:val="18"/>
        </w:rPr>
        <w:t>exercise</w:t>
      </w:r>
      <w:r>
        <w:rPr>
          <w:spacing w:val="10"/>
          <w:w w:val="105"/>
          <w:sz w:val="18"/>
        </w:rPr>
        <w:t> </w:t>
      </w:r>
      <w:r>
        <w:rPr>
          <w:w w:val="105"/>
          <w:sz w:val="18"/>
        </w:rPr>
        <w:t>price</w:t>
      </w:r>
      <w:r>
        <w:rPr>
          <w:spacing w:val="10"/>
          <w:w w:val="105"/>
          <w:sz w:val="18"/>
        </w:rPr>
        <w:t> </w:t>
      </w:r>
      <w:r>
        <w:rPr>
          <w:w w:val="105"/>
          <w:sz w:val="18"/>
        </w:rPr>
        <w:t>equal</w:t>
      </w:r>
      <w:r>
        <w:rPr>
          <w:spacing w:val="11"/>
          <w:w w:val="105"/>
          <w:sz w:val="18"/>
        </w:rPr>
        <w:t> </w:t>
      </w:r>
      <w:r>
        <w:rPr>
          <w:w w:val="105"/>
          <w:sz w:val="18"/>
        </w:rPr>
        <w:t>to</w:t>
      </w:r>
      <w:r>
        <w:rPr>
          <w:spacing w:val="10"/>
          <w:w w:val="105"/>
          <w:sz w:val="18"/>
        </w:rPr>
        <w:t> </w:t>
      </w:r>
      <w:r>
        <w:rPr>
          <w:w w:val="105"/>
          <w:sz w:val="18"/>
        </w:rPr>
        <w:t>the</w:t>
      </w:r>
      <w:r>
        <w:rPr>
          <w:spacing w:val="10"/>
          <w:w w:val="105"/>
          <w:sz w:val="18"/>
        </w:rPr>
        <w:t> </w:t>
      </w:r>
      <w:r>
        <w:rPr>
          <w:w w:val="105"/>
          <w:sz w:val="18"/>
        </w:rPr>
        <w:t>fair</w:t>
      </w:r>
      <w:r>
        <w:rPr>
          <w:spacing w:val="10"/>
          <w:w w:val="105"/>
          <w:sz w:val="18"/>
        </w:rPr>
        <w:t> </w:t>
      </w:r>
      <w:r>
        <w:rPr>
          <w:w w:val="105"/>
          <w:sz w:val="18"/>
        </w:rPr>
        <w:t>market</w:t>
      </w:r>
      <w:r>
        <w:rPr>
          <w:spacing w:val="11"/>
          <w:w w:val="105"/>
          <w:sz w:val="18"/>
        </w:rPr>
        <w:t> </w:t>
      </w:r>
      <w:r>
        <w:rPr>
          <w:spacing w:val="-2"/>
          <w:w w:val="105"/>
          <w:sz w:val="18"/>
        </w:rPr>
        <w:t>value</w:t>
      </w:r>
    </w:p>
    <w:p>
      <w:pPr>
        <w:pStyle w:val="BodyText"/>
        <w:spacing w:line="259" w:lineRule="auto" w:before="17"/>
        <w:ind w:left="1772" w:right="1551"/>
      </w:pPr>
      <w:r>
        <w:rPr>
          <w:w w:val="105"/>
        </w:rPr>
        <w:t>(</w:t>
      </w:r>
      <w:r>
        <w:rPr>
          <w:i/>
          <w:w w:val="105"/>
        </w:rPr>
        <w:t>i.e.</w:t>
      </w:r>
      <w:r>
        <w:rPr>
          <w:w w:val="105"/>
        </w:rPr>
        <w:t>, the closing price) of the underlying shares of our common stock on the date of grant. Starting in</w:t>
      </w:r>
      <w:r>
        <w:rPr>
          <w:spacing w:val="40"/>
          <w:w w:val="105"/>
        </w:rPr>
        <w:t> </w:t>
      </w:r>
      <w:r>
        <w:rPr>
          <w:w w:val="105"/>
        </w:rPr>
        <w:t>2020, stock option awards are granted at an exercise price of fair market value plus a 10% premium on</w:t>
      </w:r>
      <w:r>
        <w:rPr>
          <w:spacing w:val="40"/>
          <w:w w:val="105"/>
        </w:rPr>
        <w:t> </w:t>
      </w:r>
      <w:r>
        <w:rPr>
          <w:w w:val="105"/>
        </w:rPr>
        <w:t>the date of the grant.</w:t>
      </w:r>
    </w:p>
    <w:p>
      <w:pPr>
        <w:pStyle w:val="ListParagraph"/>
        <w:numPr>
          <w:ilvl w:val="0"/>
          <w:numId w:val="32"/>
        </w:numPr>
        <w:tabs>
          <w:tab w:pos="1773" w:val="left" w:leader="none"/>
        </w:tabs>
        <w:spacing w:line="240" w:lineRule="auto" w:before="70" w:after="0"/>
        <w:ind w:left="1772" w:right="0" w:hanging="373"/>
        <w:jc w:val="left"/>
        <w:rPr>
          <w:sz w:val="18"/>
        </w:rPr>
      </w:pPr>
      <w:r>
        <w:rPr>
          <w:w w:val="105"/>
          <w:sz w:val="18"/>
        </w:rPr>
        <w:t>This</w:t>
      </w:r>
      <w:r>
        <w:rPr>
          <w:spacing w:val="9"/>
          <w:w w:val="105"/>
          <w:sz w:val="18"/>
        </w:rPr>
        <w:t> </w:t>
      </w:r>
      <w:r>
        <w:rPr>
          <w:w w:val="105"/>
          <w:sz w:val="18"/>
        </w:rPr>
        <w:t>column</w:t>
      </w:r>
      <w:r>
        <w:rPr>
          <w:spacing w:val="9"/>
          <w:w w:val="105"/>
          <w:sz w:val="18"/>
        </w:rPr>
        <w:t> </w:t>
      </w:r>
      <w:r>
        <w:rPr>
          <w:w w:val="105"/>
          <w:sz w:val="18"/>
        </w:rPr>
        <w:t>is</w:t>
      </w:r>
      <w:r>
        <w:rPr>
          <w:spacing w:val="10"/>
          <w:w w:val="105"/>
          <w:sz w:val="18"/>
        </w:rPr>
        <w:t> </w:t>
      </w:r>
      <w:r>
        <w:rPr>
          <w:w w:val="105"/>
          <w:sz w:val="18"/>
        </w:rPr>
        <w:t>based</w:t>
      </w:r>
      <w:r>
        <w:rPr>
          <w:spacing w:val="9"/>
          <w:w w:val="105"/>
          <w:sz w:val="18"/>
        </w:rPr>
        <w:t> </w:t>
      </w:r>
      <w:r>
        <w:rPr>
          <w:w w:val="105"/>
          <w:sz w:val="18"/>
        </w:rPr>
        <w:t>on</w:t>
      </w:r>
      <w:r>
        <w:rPr>
          <w:spacing w:val="9"/>
          <w:w w:val="105"/>
          <w:sz w:val="18"/>
        </w:rPr>
        <w:t> </w:t>
      </w:r>
      <w:r>
        <w:rPr>
          <w:w w:val="105"/>
          <w:sz w:val="18"/>
        </w:rPr>
        <w:t>the</w:t>
      </w:r>
      <w:r>
        <w:rPr>
          <w:spacing w:val="10"/>
          <w:w w:val="105"/>
          <w:sz w:val="18"/>
        </w:rPr>
        <w:t> </w:t>
      </w:r>
      <w:r>
        <w:rPr>
          <w:w w:val="105"/>
          <w:sz w:val="18"/>
        </w:rPr>
        <w:t>closing</w:t>
      </w:r>
      <w:r>
        <w:rPr>
          <w:spacing w:val="9"/>
          <w:w w:val="105"/>
          <w:sz w:val="18"/>
        </w:rPr>
        <w:t> </w:t>
      </w:r>
      <w:r>
        <w:rPr>
          <w:w w:val="105"/>
          <w:sz w:val="18"/>
        </w:rPr>
        <w:t>price</w:t>
      </w:r>
      <w:r>
        <w:rPr>
          <w:spacing w:val="9"/>
          <w:w w:val="105"/>
          <w:sz w:val="18"/>
        </w:rPr>
        <w:t> </w:t>
      </w:r>
      <w:r>
        <w:rPr>
          <w:w w:val="105"/>
          <w:sz w:val="18"/>
        </w:rPr>
        <w:t>of</w:t>
      </w:r>
      <w:r>
        <w:rPr>
          <w:spacing w:val="10"/>
          <w:w w:val="105"/>
          <w:sz w:val="18"/>
        </w:rPr>
        <w:t> </w:t>
      </w:r>
      <w:r>
        <w:rPr>
          <w:w w:val="105"/>
          <w:sz w:val="18"/>
        </w:rPr>
        <w:t>our</w:t>
      </w:r>
      <w:r>
        <w:rPr>
          <w:spacing w:val="9"/>
          <w:w w:val="105"/>
          <w:sz w:val="18"/>
        </w:rPr>
        <w:t> </w:t>
      </w:r>
      <w:r>
        <w:rPr>
          <w:w w:val="105"/>
          <w:sz w:val="18"/>
        </w:rPr>
        <w:t>common</w:t>
      </w:r>
      <w:r>
        <w:rPr>
          <w:spacing w:val="10"/>
          <w:w w:val="105"/>
          <w:sz w:val="18"/>
        </w:rPr>
        <w:t> </w:t>
      </w:r>
      <w:r>
        <w:rPr>
          <w:w w:val="105"/>
          <w:sz w:val="18"/>
        </w:rPr>
        <w:t>stock</w:t>
      </w:r>
      <w:r>
        <w:rPr>
          <w:spacing w:val="9"/>
          <w:w w:val="105"/>
          <w:sz w:val="18"/>
        </w:rPr>
        <w:t> </w:t>
      </w:r>
      <w:r>
        <w:rPr>
          <w:w w:val="105"/>
          <w:sz w:val="18"/>
        </w:rPr>
        <w:t>as</w:t>
      </w:r>
      <w:r>
        <w:rPr>
          <w:spacing w:val="9"/>
          <w:w w:val="105"/>
          <w:sz w:val="18"/>
        </w:rPr>
        <w:t> </w:t>
      </w:r>
      <w:r>
        <w:rPr>
          <w:w w:val="105"/>
          <w:sz w:val="18"/>
        </w:rPr>
        <w:t>of</w:t>
      </w:r>
      <w:r>
        <w:rPr>
          <w:spacing w:val="10"/>
          <w:w w:val="105"/>
          <w:sz w:val="18"/>
        </w:rPr>
        <w:t> </w:t>
      </w:r>
      <w:r>
        <w:rPr>
          <w:w w:val="105"/>
          <w:sz w:val="18"/>
        </w:rPr>
        <w:t>September</w:t>
      </w:r>
      <w:r>
        <w:rPr>
          <w:spacing w:val="9"/>
          <w:w w:val="105"/>
          <w:sz w:val="18"/>
        </w:rPr>
        <w:t> </w:t>
      </w:r>
      <w:r>
        <w:rPr>
          <w:w w:val="105"/>
          <w:sz w:val="18"/>
        </w:rPr>
        <w:t>30,</w:t>
      </w:r>
      <w:r>
        <w:rPr>
          <w:spacing w:val="9"/>
          <w:w w:val="105"/>
          <w:sz w:val="18"/>
        </w:rPr>
        <w:t> </w:t>
      </w:r>
      <w:r>
        <w:rPr>
          <w:w w:val="105"/>
          <w:sz w:val="18"/>
        </w:rPr>
        <w:t>2022</w:t>
      </w:r>
      <w:r>
        <w:rPr>
          <w:spacing w:val="10"/>
          <w:w w:val="105"/>
          <w:sz w:val="18"/>
        </w:rPr>
        <w:t> </w:t>
      </w:r>
      <w:r>
        <w:rPr>
          <w:spacing w:val="-2"/>
          <w:w w:val="105"/>
          <w:sz w:val="18"/>
        </w:rPr>
        <w:t>($21.14).</w:t>
      </w:r>
    </w:p>
    <w:p>
      <w:pPr>
        <w:pStyle w:val="ListParagraph"/>
        <w:numPr>
          <w:ilvl w:val="0"/>
          <w:numId w:val="32"/>
        </w:numPr>
        <w:tabs>
          <w:tab w:pos="1773" w:val="left" w:leader="none"/>
        </w:tabs>
        <w:spacing w:line="259" w:lineRule="auto" w:before="86" w:after="0"/>
        <w:ind w:left="1772" w:right="1519" w:hanging="373"/>
        <w:jc w:val="left"/>
        <w:rPr>
          <w:sz w:val="18"/>
        </w:rPr>
      </w:pPr>
      <w:r>
        <w:rPr>
          <w:w w:val="105"/>
          <w:sz w:val="18"/>
        </w:rPr>
        <w:t>This</w:t>
      </w:r>
      <w:r>
        <w:rPr>
          <w:spacing w:val="21"/>
          <w:w w:val="105"/>
          <w:sz w:val="18"/>
        </w:rPr>
        <w:t> </w:t>
      </w:r>
      <w:r>
        <w:rPr>
          <w:w w:val="105"/>
          <w:sz w:val="18"/>
        </w:rPr>
        <w:t>stock</w:t>
      </w:r>
      <w:r>
        <w:rPr>
          <w:spacing w:val="21"/>
          <w:w w:val="105"/>
          <w:sz w:val="18"/>
        </w:rPr>
        <w:t> </w:t>
      </w:r>
      <w:r>
        <w:rPr>
          <w:w w:val="105"/>
          <w:sz w:val="18"/>
        </w:rPr>
        <w:t>option</w:t>
      </w:r>
      <w:r>
        <w:rPr>
          <w:spacing w:val="21"/>
          <w:w w:val="105"/>
          <w:sz w:val="18"/>
        </w:rPr>
        <w:t> </w:t>
      </w:r>
      <w:r>
        <w:rPr>
          <w:w w:val="105"/>
          <w:sz w:val="18"/>
        </w:rPr>
        <w:t>award</w:t>
      </w:r>
      <w:r>
        <w:rPr>
          <w:spacing w:val="21"/>
          <w:w w:val="105"/>
          <w:sz w:val="18"/>
        </w:rPr>
        <w:t> </w:t>
      </w:r>
      <w:r>
        <w:rPr>
          <w:w w:val="105"/>
          <w:sz w:val="18"/>
        </w:rPr>
        <w:t>was</w:t>
      </w:r>
      <w:r>
        <w:rPr>
          <w:spacing w:val="21"/>
          <w:w w:val="105"/>
          <w:sz w:val="18"/>
        </w:rPr>
        <w:t> </w:t>
      </w:r>
      <w:r>
        <w:rPr>
          <w:w w:val="105"/>
          <w:sz w:val="18"/>
        </w:rPr>
        <w:t>originally</w:t>
      </w:r>
      <w:r>
        <w:rPr>
          <w:spacing w:val="21"/>
          <w:w w:val="105"/>
          <w:sz w:val="18"/>
        </w:rPr>
        <w:t> </w:t>
      </w:r>
      <w:r>
        <w:rPr>
          <w:w w:val="105"/>
          <w:sz w:val="18"/>
        </w:rPr>
        <w:t>granted</w:t>
      </w:r>
      <w:r>
        <w:rPr>
          <w:spacing w:val="21"/>
          <w:w w:val="105"/>
          <w:sz w:val="18"/>
        </w:rPr>
        <w:t> </w:t>
      </w:r>
      <w:r>
        <w:rPr>
          <w:w w:val="105"/>
          <w:sz w:val="18"/>
        </w:rPr>
        <w:t>by Varian</w:t>
      </w:r>
      <w:r>
        <w:rPr>
          <w:spacing w:val="21"/>
          <w:w w:val="105"/>
          <w:sz w:val="18"/>
        </w:rPr>
        <w:t> </w:t>
      </w:r>
      <w:r>
        <w:rPr>
          <w:w w:val="105"/>
          <w:sz w:val="18"/>
        </w:rPr>
        <w:t>Medical</w:t>
      </w:r>
      <w:r>
        <w:rPr>
          <w:spacing w:val="21"/>
          <w:w w:val="105"/>
          <w:sz w:val="18"/>
        </w:rPr>
        <w:t> </w:t>
      </w:r>
      <w:r>
        <w:rPr>
          <w:w w:val="105"/>
          <w:sz w:val="18"/>
        </w:rPr>
        <w:t>Systems,</w:t>
      </w:r>
      <w:r>
        <w:rPr>
          <w:spacing w:val="21"/>
          <w:w w:val="105"/>
          <w:sz w:val="18"/>
        </w:rPr>
        <w:t> </w:t>
      </w:r>
      <w:r>
        <w:rPr>
          <w:w w:val="105"/>
          <w:sz w:val="18"/>
        </w:rPr>
        <w:t>Inc.</w:t>
      </w:r>
      <w:r>
        <w:rPr>
          <w:spacing w:val="21"/>
          <w:w w:val="105"/>
          <w:sz w:val="18"/>
        </w:rPr>
        <w:t> </w:t>
      </w:r>
      <w:r>
        <w:rPr>
          <w:w w:val="105"/>
          <w:sz w:val="18"/>
        </w:rPr>
        <w:t>(“</w:t>
      </w:r>
      <w:r>
        <w:rPr>
          <w:b/>
          <w:w w:val="105"/>
          <w:sz w:val="18"/>
        </w:rPr>
        <w:t>Varian</w:t>
      </w:r>
      <w:r>
        <w:rPr>
          <w:w w:val="105"/>
          <w:sz w:val="18"/>
        </w:rPr>
        <w:t>”)</w:t>
      </w:r>
      <w:r>
        <w:rPr>
          <w:spacing w:val="21"/>
          <w:w w:val="105"/>
          <w:sz w:val="18"/>
        </w:rPr>
        <w:t> </w:t>
      </w:r>
      <w:r>
        <w:rPr>
          <w:w w:val="105"/>
          <w:sz w:val="18"/>
        </w:rPr>
        <w:t>and covered</w:t>
      </w:r>
      <w:r>
        <w:rPr>
          <w:spacing w:val="22"/>
          <w:w w:val="105"/>
          <w:sz w:val="18"/>
        </w:rPr>
        <w:t> </w:t>
      </w:r>
      <w:r>
        <w:rPr>
          <w:w w:val="105"/>
          <w:sz w:val="18"/>
        </w:rPr>
        <w:t>shares</w:t>
      </w:r>
      <w:r>
        <w:rPr>
          <w:spacing w:val="22"/>
          <w:w w:val="105"/>
          <w:sz w:val="18"/>
        </w:rPr>
        <w:t> </w:t>
      </w:r>
      <w:r>
        <w:rPr>
          <w:w w:val="105"/>
          <w:sz w:val="18"/>
        </w:rPr>
        <w:t>of Varian’s</w:t>
      </w:r>
      <w:r>
        <w:rPr>
          <w:spacing w:val="22"/>
          <w:w w:val="105"/>
          <w:sz w:val="18"/>
        </w:rPr>
        <w:t> </w:t>
      </w:r>
      <w:r>
        <w:rPr>
          <w:w w:val="105"/>
          <w:sz w:val="18"/>
        </w:rPr>
        <w:t>common</w:t>
      </w:r>
      <w:r>
        <w:rPr>
          <w:spacing w:val="22"/>
          <w:w w:val="105"/>
          <w:sz w:val="18"/>
        </w:rPr>
        <w:t> </w:t>
      </w:r>
      <w:r>
        <w:rPr>
          <w:w w:val="105"/>
          <w:sz w:val="18"/>
        </w:rPr>
        <w:t>stock</w:t>
      </w:r>
      <w:r>
        <w:rPr>
          <w:spacing w:val="22"/>
          <w:w w:val="105"/>
          <w:sz w:val="18"/>
        </w:rPr>
        <w:t> </w:t>
      </w:r>
      <w:r>
        <w:rPr>
          <w:w w:val="105"/>
          <w:sz w:val="18"/>
        </w:rPr>
        <w:t>but</w:t>
      </w:r>
      <w:r>
        <w:rPr>
          <w:spacing w:val="22"/>
          <w:w w:val="105"/>
          <w:sz w:val="18"/>
        </w:rPr>
        <w:t> </w:t>
      </w:r>
      <w:r>
        <w:rPr>
          <w:w w:val="105"/>
          <w:sz w:val="18"/>
        </w:rPr>
        <w:t>was</w:t>
      </w:r>
      <w:r>
        <w:rPr>
          <w:spacing w:val="22"/>
          <w:w w:val="105"/>
          <w:sz w:val="18"/>
        </w:rPr>
        <w:t> </w:t>
      </w:r>
      <w:r>
        <w:rPr>
          <w:w w:val="105"/>
          <w:sz w:val="18"/>
        </w:rPr>
        <w:t>converted</w:t>
      </w:r>
      <w:r>
        <w:rPr>
          <w:spacing w:val="22"/>
          <w:w w:val="105"/>
          <w:sz w:val="18"/>
        </w:rPr>
        <w:t> </w:t>
      </w:r>
      <w:r>
        <w:rPr>
          <w:w w:val="105"/>
          <w:sz w:val="18"/>
        </w:rPr>
        <w:t>into</w:t>
      </w:r>
      <w:r>
        <w:rPr>
          <w:spacing w:val="22"/>
          <w:w w:val="105"/>
          <w:sz w:val="18"/>
        </w:rPr>
        <w:t> </w:t>
      </w:r>
      <w:r>
        <w:rPr>
          <w:w w:val="105"/>
          <w:sz w:val="18"/>
        </w:rPr>
        <w:t>an</w:t>
      </w:r>
      <w:r>
        <w:rPr>
          <w:spacing w:val="22"/>
          <w:w w:val="105"/>
          <w:sz w:val="18"/>
        </w:rPr>
        <w:t> </w:t>
      </w:r>
      <w:r>
        <w:rPr>
          <w:w w:val="105"/>
          <w:sz w:val="18"/>
        </w:rPr>
        <w:t>option</w:t>
      </w:r>
      <w:r>
        <w:rPr>
          <w:spacing w:val="22"/>
          <w:w w:val="105"/>
          <w:sz w:val="18"/>
        </w:rPr>
        <w:t> </w:t>
      </w:r>
      <w:r>
        <w:rPr>
          <w:w w:val="105"/>
          <w:sz w:val="18"/>
        </w:rPr>
        <w:t>award</w:t>
      </w:r>
      <w:r>
        <w:rPr>
          <w:spacing w:val="22"/>
          <w:w w:val="105"/>
          <w:sz w:val="18"/>
        </w:rPr>
        <w:t> </w:t>
      </w:r>
      <w:r>
        <w:rPr>
          <w:w w:val="105"/>
          <w:sz w:val="18"/>
        </w:rPr>
        <w:t>covering</w:t>
      </w:r>
      <w:r>
        <w:rPr>
          <w:spacing w:val="22"/>
          <w:w w:val="105"/>
          <w:sz w:val="18"/>
        </w:rPr>
        <w:t> </w:t>
      </w:r>
      <w:r>
        <w:rPr>
          <w:w w:val="105"/>
          <w:sz w:val="18"/>
        </w:rPr>
        <w:t>shares</w:t>
      </w:r>
      <w:r>
        <w:rPr>
          <w:spacing w:val="22"/>
          <w:w w:val="105"/>
          <w:sz w:val="18"/>
        </w:rPr>
        <w:t> </w:t>
      </w:r>
      <w:r>
        <w:rPr>
          <w:w w:val="105"/>
          <w:sz w:val="18"/>
        </w:rPr>
        <w:t>of the Company’s common stock in connection with the spin-off of the Company from Varian (the “</w:t>
      </w:r>
      <w:r>
        <w:rPr>
          <w:b/>
          <w:w w:val="105"/>
          <w:sz w:val="18"/>
        </w:rPr>
        <w:t>Spin- </w:t>
      </w:r>
      <w:r>
        <w:rPr>
          <w:b/>
          <w:spacing w:val="-2"/>
          <w:w w:val="105"/>
          <w:sz w:val="18"/>
        </w:rPr>
        <w:t>off</w:t>
      </w:r>
      <w:r>
        <w:rPr>
          <w:spacing w:val="-2"/>
          <w:w w:val="105"/>
          <w:sz w:val="18"/>
        </w:rPr>
        <w:t>”).</w:t>
      </w:r>
    </w:p>
    <w:p>
      <w:pPr>
        <w:pStyle w:val="ListParagraph"/>
        <w:numPr>
          <w:ilvl w:val="0"/>
          <w:numId w:val="32"/>
        </w:numPr>
        <w:tabs>
          <w:tab w:pos="1773" w:val="left" w:leader="none"/>
        </w:tabs>
        <w:spacing w:line="259" w:lineRule="auto" w:before="85" w:after="0"/>
        <w:ind w:left="1772" w:right="1837" w:hanging="373"/>
        <w:jc w:val="left"/>
        <w:rPr>
          <w:sz w:val="18"/>
        </w:rPr>
      </w:pPr>
      <w:r>
        <w:rPr>
          <w:w w:val="105"/>
          <w:sz w:val="18"/>
        </w:rPr>
        <w:t>These stock options fully vested on 2/16/2018 based on a vesting schedule that provided for 100% vesting on such date.</w:t>
      </w:r>
    </w:p>
    <w:p>
      <w:pPr>
        <w:pStyle w:val="ListParagraph"/>
        <w:numPr>
          <w:ilvl w:val="0"/>
          <w:numId w:val="32"/>
        </w:numPr>
        <w:tabs>
          <w:tab w:pos="1773" w:val="left" w:leader="none"/>
        </w:tabs>
        <w:spacing w:line="259" w:lineRule="auto" w:before="70" w:after="0"/>
        <w:ind w:left="1772" w:right="1858" w:hanging="373"/>
        <w:jc w:val="left"/>
        <w:rPr>
          <w:sz w:val="18"/>
        </w:rPr>
      </w:pPr>
      <w:r>
        <w:rPr>
          <w:w w:val="105"/>
          <w:sz w:val="18"/>
        </w:rPr>
        <w:t>These stock options fully vested on 2/16/2019 based on a vesting schedule that provides for 100% vesting on such date.</w:t>
      </w:r>
    </w:p>
    <w:p>
      <w:pPr>
        <w:pStyle w:val="ListParagraph"/>
        <w:numPr>
          <w:ilvl w:val="0"/>
          <w:numId w:val="32"/>
        </w:numPr>
        <w:tabs>
          <w:tab w:pos="1773" w:val="left" w:leader="none"/>
        </w:tabs>
        <w:spacing w:line="259" w:lineRule="auto" w:before="70" w:after="0"/>
        <w:ind w:left="1772" w:right="1955" w:hanging="373"/>
        <w:jc w:val="left"/>
        <w:rPr>
          <w:sz w:val="18"/>
        </w:rPr>
      </w:pPr>
      <w:r>
        <w:rPr>
          <w:w w:val="105"/>
          <w:sz w:val="18"/>
        </w:rPr>
        <w:t>These stock options fully vested on 2/16/2021 based on a vesting schedule that provides for 25% vesting on 2/16/2018 and pro rata monthly vesting thereafter.</w:t>
      </w:r>
    </w:p>
    <w:p>
      <w:pPr>
        <w:pStyle w:val="ListParagraph"/>
        <w:numPr>
          <w:ilvl w:val="0"/>
          <w:numId w:val="32"/>
        </w:numPr>
        <w:tabs>
          <w:tab w:pos="1773" w:val="left" w:leader="none"/>
        </w:tabs>
        <w:spacing w:line="259" w:lineRule="auto" w:before="84" w:after="0"/>
        <w:ind w:left="1772" w:right="1955" w:hanging="373"/>
        <w:jc w:val="left"/>
        <w:rPr>
          <w:sz w:val="18"/>
        </w:rPr>
      </w:pPr>
      <w:r>
        <w:rPr>
          <w:w w:val="105"/>
          <w:sz w:val="18"/>
        </w:rPr>
        <w:t>These stock options fully vested on 5/25/2021 based on a vesting schedule that provides for 25% vesting on 5/25/2018 and pro rata monthly vesting thereafter.</w:t>
      </w:r>
    </w:p>
    <w:p>
      <w:pPr>
        <w:pStyle w:val="ListParagraph"/>
        <w:numPr>
          <w:ilvl w:val="0"/>
          <w:numId w:val="32"/>
        </w:numPr>
        <w:tabs>
          <w:tab w:pos="1773" w:val="left" w:leader="none"/>
        </w:tabs>
        <w:spacing w:line="259" w:lineRule="auto" w:before="71" w:after="0"/>
        <w:ind w:left="1772" w:right="1955" w:hanging="373"/>
        <w:jc w:val="left"/>
        <w:rPr>
          <w:sz w:val="18"/>
        </w:rPr>
      </w:pPr>
      <w:r>
        <w:rPr>
          <w:w w:val="105"/>
          <w:sz w:val="18"/>
        </w:rPr>
        <w:t>These stock options fully vested on 2/15/2022 based on a vesting schedule that provides for 25% vesting on 2/15/2019 and pro rata monthly vesting thereafter.</w:t>
      </w:r>
    </w:p>
    <w:p>
      <w:pPr>
        <w:pStyle w:val="ListParagraph"/>
        <w:numPr>
          <w:ilvl w:val="0"/>
          <w:numId w:val="32"/>
        </w:numPr>
        <w:tabs>
          <w:tab w:pos="1773" w:val="left" w:leader="none"/>
        </w:tabs>
        <w:spacing w:line="259" w:lineRule="auto" w:before="70" w:after="0"/>
        <w:ind w:left="1772" w:right="1955" w:hanging="373"/>
        <w:jc w:val="left"/>
        <w:rPr>
          <w:sz w:val="18"/>
        </w:rPr>
      </w:pPr>
      <w:r>
        <w:rPr>
          <w:w w:val="105"/>
          <w:sz w:val="18"/>
        </w:rPr>
        <w:t>These stock options fully vested on 8/15/2022 based on a vesting schedule that provides for 25% vesting on 8/15/2019 and pro rata monthly vesting thereafter.</w:t>
      </w:r>
    </w:p>
    <w:p>
      <w:pPr>
        <w:pStyle w:val="ListParagraph"/>
        <w:numPr>
          <w:ilvl w:val="0"/>
          <w:numId w:val="32"/>
        </w:numPr>
        <w:tabs>
          <w:tab w:pos="1773" w:val="left" w:leader="none"/>
        </w:tabs>
        <w:spacing w:line="259" w:lineRule="auto" w:before="84" w:after="0"/>
        <w:ind w:left="1772" w:right="1499" w:hanging="373"/>
        <w:jc w:val="left"/>
        <w:rPr>
          <w:sz w:val="18"/>
        </w:rPr>
      </w:pPr>
      <w:r>
        <w:rPr>
          <w:w w:val="105"/>
          <w:sz w:val="18"/>
        </w:rPr>
        <w:t>These stock options are scheduled to fully vest on 2/15/2023 based on a vesting schedule that provides</w:t>
      </w:r>
      <w:r>
        <w:rPr>
          <w:spacing w:val="80"/>
          <w:w w:val="105"/>
          <w:sz w:val="18"/>
        </w:rPr>
        <w:t> </w:t>
      </w:r>
      <w:r>
        <w:rPr>
          <w:w w:val="105"/>
          <w:sz w:val="18"/>
        </w:rPr>
        <w:t>for 25% vesting on 2/15/2020 and pro rata monthly vesting thereafter.</w:t>
      </w:r>
    </w:p>
    <w:p>
      <w:pPr>
        <w:pStyle w:val="ListParagraph"/>
        <w:numPr>
          <w:ilvl w:val="0"/>
          <w:numId w:val="32"/>
        </w:numPr>
        <w:tabs>
          <w:tab w:pos="1773" w:val="left" w:leader="none"/>
        </w:tabs>
        <w:spacing w:line="259" w:lineRule="auto" w:before="70" w:after="0"/>
        <w:ind w:left="1772" w:right="1499" w:hanging="373"/>
        <w:jc w:val="left"/>
        <w:rPr>
          <w:sz w:val="18"/>
        </w:rPr>
      </w:pPr>
      <w:r>
        <w:rPr>
          <w:w w:val="105"/>
          <w:sz w:val="18"/>
        </w:rPr>
        <w:t>These stock options are scheduled to fully vest on 2/15/2024 based on a vesting schedule that provides</w:t>
      </w:r>
      <w:r>
        <w:rPr>
          <w:spacing w:val="80"/>
          <w:w w:val="105"/>
          <w:sz w:val="18"/>
        </w:rPr>
        <w:t> </w:t>
      </w:r>
      <w:r>
        <w:rPr>
          <w:w w:val="105"/>
          <w:sz w:val="18"/>
        </w:rPr>
        <w:t>for 25% vesting on 2/15/2021 and pro rata monthly vesting thereafter.</w:t>
      </w:r>
    </w:p>
    <w:p>
      <w:pPr>
        <w:pStyle w:val="ListParagraph"/>
        <w:numPr>
          <w:ilvl w:val="0"/>
          <w:numId w:val="32"/>
        </w:numPr>
        <w:tabs>
          <w:tab w:pos="1773" w:val="left" w:leader="none"/>
        </w:tabs>
        <w:spacing w:line="259" w:lineRule="auto" w:before="70" w:after="0"/>
        <w:ind w:left="1772" w:right="1499" w:hanging="373"/>
        <w:jc w:val="left"/>
        <w:rPr>
          <w:sz w:val="18"/>
        </w:rPr>
      </w:pPr>
      <w:r>
        <w:rPr>
          <w:w w:val="105"/>
          <w:sz w:val="18"/>
        </w:rPr>
        <w:t>These stock options are scheduled to fully vest on 8/15/2024 based on a vesting schedule that provides</w:t>
      </w:r>
      <w:r>
        <w:rPr>
          <w:spacing w:val="80"/>
          <w:w w:val="105"/>
          <w:sz w:val="18"/>
        </w:rPr>
        <w:t> </w:t>
      </w:r>
      <w:r>
        <w:rPr>
          <w:w w:val="105"/>
          <w:sz w:val="18"/>
        </w:rPr>
        <w:t>for 25% vesting on 8/15/2021 and pro rata monthly vesting thereafter.</w:t>
      </w:r>
    </w:p>
    <w:p>
      <w:pPr>
        <w:pStyle w:val="ListParagraph"/>
        <w:numPr>
          <w:ilvl w:val="0"/>
          <w:numId w:val="32"/>
        </w:numPr>
        <w:tabs>
          <w:tab w:pos="1773" w:val="left" w:leader="none"/>
        </w:tabs>
        <w:spacing w:line="259" w:lineRule="auto" w:before="84" w:after="0"/>
        <w:ind w:left="1772" w:right="1499" w:hanging="373"/>
        <w:jc w:val="left"/>
        <w:rPr>
          <w:sz w:val="18"/>
        </w:rPr>
      </w:pPr>
      <w:r>
        <w:rPr>
          <w:w w:val="105"/>
          <w:sz w:val="18"/>
        </w:rPr>
        <w:t>These stock options are scheduled to fully vest on 2/15/2025 based on a vesting schedule that provides</w:t>
      </w:r>
      <w:r>
        <w:rPr>
          <w:spacing w:val="80"/>
          <w:w w:val="105"/>
          <w:sz w:val="18"/>
        </w:rPr>
        <w:t> </w:t>
      </w:r>
      <w:r>
        <w:rPr>
          <w:w w:val="105"/>
          <w:sz w:val="18"/>
        </w:rPr>
        <w:t>for 25% vesting on 2/15/2022 and pro rata monthly vesting thereafter.</w:t>
      </w:r>
    </w:p>
    <w:p>
      <w:pPr>
        <w:pStyle w:val="ListParagraph"/>
        <w:numPr>
          <w:ilvl w:val="0"/>
          <w:numId w:val="32"/>
        </w:numPr>
        <w:tabs>
          <w:tab w:pos="1773" w:val="left" w:leader="none"/>
        </w:tabs>
        <w:spacing w:line="259" w:lineRule="auto" w:before="71" w:after="0"/>
        <w:ind w:left="1772" w:right="1499" w:hanging="373"/>
        <w:jc w:val="left"/>
        <w:rPr>
          <w:sz w:val="18"/>
        </w:rPr>
      </w:pPr>
      <w:r>
        <w:rPr>
          <w:w w:val="105"/>
          <w:sz w:val="18"/>
        </w:rPr>
        <w:t>These stock options are scheduled to fully vest on 5/15/2025 based on a vesting schedule that provides</w:t>
      </w:r>
      <w:r>
        <w:rPr>
          <w:spacing w:val="80"/>
          <w:w w:val="105"/>
          <w:sz w:val="18"/>
        </w:rPr>
        <w:t> </w:t>
      </w:r>
      <w:r>
        <w:rPr>
          <w:w w:val="105"/>
          <w:sz w:val="18"/>
        </w:rPr>
        <w:t>for 25% vesting on 5/15/2022 and pro rata monthly vesting thereafter.</w:t>
      </w:r>
    </w:p>
    <w:p>
      <w:pPr>
        <w:pStyle w:val="ListParagraph"/>
        <w:numPr>
          <w:ilvl w:val="0"/>
          <w:numId w:val="32"/>
        </w:numPr>
        <w:tabs>
          <w:tab w:pos="1773" w:val="left" w:leader="none"/>
        </w:tabs>
        <w:spacing w:line="259" w:lineRule="auto" w:before="70" w:after="0"/>
        <w:ind w:left="1772" w:right="1402" w:hanging="373"/>
        <w:jc w:val="left"/>
        <w:rPr>
          <w:sz w:val="18"/>
        </w:rPr>
      </w:pPr>
      <w:r>
        <w:rPr>
          <w:w w:val="105"/>
          <w:sz w:val="18"/>
        </w:rPr>
        <w:t>These stock options are scheduled to fully vest on 12/10/2025 based on a vesting schedule that provides</w:t>
      </w:r>
      <w:r>
        <w:rPr>
          <w:spacing w:val="80"/>
          <w:w w:val="105"/>
          <w:sz w:val="18"/>
        </w:rPr>
        <w:t> </w:t>
      </w:r>
      <w:r>
        <w:rPr>
          <w:w w:val="105"/>
          <w:sz w:val="18"/>
        </w:rPr>
        <w:t>for 25% vesting on 12/10/2022 and pro rata monthly vesting thereafter.</w:t>
      </w:r>
    </w:p>
    <w:p>
      <w:pPr>
        <w:pStyle w:val="ListParagraph"/>
        <w:numPr>
          <w:ilvl w:val="0"/>
          <w:numId w:val="32"/>
        </w:numPr>
        <w:tabs>
          <w:tab w:pos="1773" w:val="left" w:leader="none"/>
        </w:tabs>
        <w:spacing w:line="240" w:lineRule="auto" w:before="84" w:after="0"/>
        <w:ind w:left="1772" w:right="0" w:hanging="373"/>
        <w:jc w:val="left"/>
        <w:rPr>
          <w:sz w:val="18"/>
        </w:rPr>
      </w:pPr>
      <w:r>
        <w:rPr>
          <w:w w:val="105"/>
          <w:sz w:val="18"/>
        </w:rPr>
        <w:t>The</w:t>
      </w:r>
      <w:r>
        <w:rPr>
          <w:spacing w:val="9"/>
          <w:w w:val="105"/>
          <w:sz w:val="18"/>
        </w:rPr>
        <w:t> </w:t>
      </w:r>
      <w:r>
        <w:rPr>
          <w:w w:val="105"/>
          <w:sz w:val="18"/>
        </w:rPr>
        <w:t>unvested</w:t>
      </w:r>
      <w:r>
        <w:rPr>
          <w:spacing w:val="10"/>
          <w:w w:val="105"/>
          <w:sz w:val="18"/>
        </w:rPr>
        <w:t> </w:t>
      </w:r>
      <w:r>
        <w:rPr>
          <w:w w:val="105"/>
          <w:sz w:val="18"/>
        </w:rPr>
        <w:t>portion</w:t>
      </w:r>
      <w:r>
        <w:rPr>
          <w:spacing w:val="10"/>
          <w:w w:val="105"/>
          <w:sz w:val="18"/>
        </w:rPr>
        <w:t> </w:t>
      </w:r>
      <w:r>
        <w:rPr>
          <w:w w:val="105"/>
          <w:sz w:val="18"/>
        </w:rPr>
        <w:t>of</w:t>
      </w:r>
      <w:r>
        <w:rPr>
          <w:spacing w:val="9"/>
          <w:w w:val="105"/>
          <w:sz w:val="18"/>
        </w:rPr>
        <w:t> </w:t>
      </w:r>
      <w:r>
        <w:rPr>
          <w:w w:val="105"/>
          <w:sz w:val="18"/>
        </w:rPr>
        <w:t>this</w:t>
      </w:r>
      <w:r>
        <w:rPr>
          <w:spacing w:val="10"/>
          <w:w w:val="105"/>
          <w:sz w:val="18"/>
        </w:rPr>
        <w:t> </w:t>
      </w:r>
      <w:r>
        <w:rPr>
          <w:w w:val="105"/>
          <w:sz w:val="18"/>
        </w:rPr>
        <w:t>RSU</w:t>
      </w:r>
      <w:r>
        <w:rPr>
          <w:spacing w:val="10"/>
          <w:w w:val="105"/>
          <w:sz w:val="18"/>
        </w:rPr>
        <w:t> </w:t>
      </w:r>
      <w:r>
        <w:rPr>
          <w:w w:val="105"/>
          <w:sz w:val="18"/>
        </w:rPr>
        <w:t>award</w:t>
      </w:r>
      <w:r>
        <w:rPr>
          <w:spacing w:val="9"/>
          <w:w w:val="105"/>
          <w:sz w:val="18"/>
        </w:rPr>
        <w:t> </w:t>
      </w:r>
      <w:r>
        <w:rPr>
          <w:w w:val="105"/>
          <w:sz w:val="18"/>
        </w:rPr>
        <w:t>is</w:t>
      </w:r>
      <w:r>
        <w:rPr>
          <w:spacing w:val="10"/>
          <w:w w:val="105"/>
          <w:sz w:val="18"/>
        </w:rPr>
        <w:t> </w:t>
      </w:r>
      <w:r>
        <w:rPr>
          <w:w w:val="105"/>
          <w:sz w:val="18"/>
        </w:rPr>
        <w:t>scheduled</w:t>
      </w:r>
      <w:r>
        <w:rPr>
          <w:spacing w:val="10"/>
          <w:w w:val="105"/>
          <w:sz w:val="18"/>
        </w:rPr>
        <w:t> </w:t>
      </w:r>
      <w:r>
        <w:rPr>
          <w:w w:val="105"/>
          <w:sz w:val="18"/>
        </w:rPr>
        <w:t>to</w:t>
      </w:r>
      <w:r>
        <w:rPr>
          <w:spacing w:val="9"/>
          <w:w w:val="105"/>
          <w:sz w:val="18"/>
        </w:rPr>
        <w:t> </w:t>
      </w:r>
      <w:r>
        <w:rPr>
          <w:w w:val="105"/>
          <w:sz w:val="18"/>
        </w:rPr>
        <w:t>vest</w:t>
      </w:r>
      <w:r>
        <w:rPr>
          <w:spacing w:val="10"/>
          <w:w w:val="105"/>
          <w:sz w:val="18"/>
        </w:rPr>
        <w:t> </w:t>
      </w:r>
      <w:r>
        <w:rPr>
          <w:w w:val="105"/>
          <w:sz w:val="18"/>
        </w:rPr>
        <w:t>on</w:t>
      </w:r>
      <w:r>
        <w:rPr>
          <w:spacing w:val="10"/>
          <w:w w:val="105"/>
          <w:sz w:val="18"/>
        </w:rPr>
        <w:t> </w:t>
      </w:r>
      <w:r>
        <w:rPr>
          <w:spacing w:val="-2"/>
          <w:w w:val="105"/>
          <w:sz w:val="18"/>
        </w:rPr>
        <w:t>02/15/2023.</w:t>
      </w:r>
    </w:p>
    <w:p>
      <w:pPr>
        <w:pStyle w:val="ListParagraph"/>
        <w:numPr>
          <w:ilvl w:val="0"/>
          <w:numId w:val="32"/>
        </w:numPr>
        <w:tabs>
          <w:tab w:pos="1773" w:val="left" w:leader="none"/>
        </w:tabs>
        <w:spacing w:line="240" w:lineRule="auto" w:before="86" w:after="0"/>
        <w:ind w:left="1772" w:right="0" w:hanging="373"/>
        <w:jc w:val="left"/>
        <w:rPr>
          <w:sz w:val="18"/>
        </w:rPr>
      </w:pPr>
      <w:r>
        <w:rPr>
          <w:w w:val="105"/>
          <w:sz w:val="18"/>
        </w:rPr>
        <w:t>The</w:t>
      </w:r>
      <w:r>
        <w:rPr>
          <w:spacing w:val="9"/>
          <w:w w:val="105"/>
          <w:sz w:val="18"/>
        </w:rPr>
        <w:t> </w:t>
      </w:r>
      <w:r>
        <w:rPr>
          <w:w w:val="105"/>
          <w:sz w:val="18"/>
        </w:rPr>
        <w:t>unvested</w:t>
      </w:r>
      <w:r>
        <w:rPr>
          <w:spacing w:val="10"/>
          <w:w w:val="105"/>
          <w:sz w:val="18"/>
        </w:rPr>
        <w:t> </w:t>
      </w:r>
      <w:r>
        <w:rPr>
          <w:w w:val="105"/>
          <w:sz w:val="18"/>
        </w:rPr>
        <w:t>portion</w:t>
      </w:r>
      <w:r>
        <w:rPr>
          <w:spacing w:val="10"/>
          <w:w w:val="105"/>
          <w:sz w:val="18"/>
        </w:rPr>
        <w:t> </w:t>
      </w:r>
      <w:r>
        <w:rPr>
          <w:w w:val="105"/>
          <w:sz w:val="18"/>
        </w:rPr>
        <w:t>of</w:t>
      </w:r>
      <w:r>
        <w:rPr>
          <w:spacing w:val="10"/>
          <w:w w:val="105"/>
          <w:sz w:val="18"/>
        </w:rPr>
        <w:t> </w:t>
      </w:r>
      <w:r>
        <w:rPr>
          <w:w w:val="105"/>
          <w:sz w:val="18"/>
        </w:rPr>
        <w:t>these</w:t>
      </w:r>
      <w:r>
        <w:rPr>
          <w:spacing w:val="10"/>
          <w:w w:val="105"/>
          <w:sz w:val="18"/>
        </w:rPr>
        <w:t> </w:t>
      </w:r>
      <w:r>
        <w:rPr>
          <w:w w:val="105"/>
          <w:sz w:val="18"/>
        </w:rPr>
        <w:t>RSU</w:t>
      </w:r>
      <w:r>
        <w:rPr>
          <w:spacing w:val="10"/>
          <w:w w:val="105"/>
          <w:sz w:val="18"/>
        </w:rPr>
        <w:t> </w:t>
      </w:r>
      <w:r>
        <w:rPr>
          <w:w w:val="105"/>
          <w:sz w:val="18"/>
        </w:rPr>
        <w:t>awards</w:t>
      </w:r>
      <w:r>
        <w:rPr>
          <w:spacing w:val="10"/>
          <w:w w:val="105"/>
          <w:sz w:val="18"/>
        </w:rPr>
        <w:t> </w:t>
      </w:r>
      <w:r>
        <w:rPr>
          <w:w w:val="105"/>
          <w:sz w:val="18"/>
        </w:rPr>
        <w:t>is</w:t>
      </w:r>
      <w:r>
        <w:rPr>
          <w:spacing w:val="10"/>
          <w:w w:val="105"/>
          <w:sz w:val="18"/>
        </w:rPr>
        <w:t> </w:t>
      </w:r>
      <w:r>
        <w:rPr>
          <w:w w:val="105"/>
          <w:sz w:val="18"/>
        </w:rPr>
        <w:t>scheduled</w:t>
      </w:r>
      <w:r>
        <w:rPr>
          <w:spacing w:val="9"/>
          <w:w w:val="105"/>
          <w:sz w:val="18"/>
        </w:rPr>
        <w:t> </w:t>
      </w:r>
      <w:r>
        <w:rPr>
          <w:w w:val="105"/>
          <w:sz w:val="18"/>
        </w:rPr>
        <w:t>to</w:t>
      </w:r>
      <w:r>
        <w:rPr>
          <w:spacing w:val="10"/>
          <w:w w:val="105"/>
          <w:sz w:val="18"/>
        </w:rPr>
        <w:t> </w:t>
      </w:r>
      <w:r>
        <w:rPr>
          <w:w w:val="105"/>
          <w:sz w:val="18"/>
        </w:rPr>
        <w:t>vest</w:t>
      </w:r>
      <w:r>
        <w:rPr>
          <w:spacing w:val="10"/>
          <w:w w:val="105"/>
          <w:sz w:val="18"/>
        </w:rPr>
        <w:t> </w:t>
      </w:r>
      <w:r>
        <w:rPr>
          <w:w w:val="105"/>
          <w:sz w:val="18"/>
        </w:rPr>
        <w:t>on</w:t>
      </w:r>
      <w:r>
        <w:rPr>
          <w:spacing w:val="10"/>
          <w:w w:val="105"/>
          <w:sz w:val="18"/>
        </w:rPr>
        <w:t> </w:t>
      </w:r>
      <w:r>
        <w:rPr>
          <w:spacing w:val="-2"/>
          <w:w w:val="105"/>
          <w:sz w:val="18"/>
        </w:rPr>
        <w:t>02/15/2024.</w:t>
      </w:r>
    </w:p>
    <w:p>
      <w:pPr>
        <w:pStyle w:val="ListParagraph"/>
        <w:numPr>
          <w:ilvl w:val="0"/>
          <w:numId w:val="32"/>
        </w:numPr>
        <w:tabs>
          <w:tab w:pos="1773" w:val="left" w:leader="none"/>
        </w:tabs>
        <w:spacing w:line="240" w:lineRule="auto" w:before="87" w:after="0"/>
        <w:ind w:left="1772" w:right="0" w:hanging="373"/>
        <w:jc w:val="left"/>
        <w:rPr>
          <w:sz w:val="18"/>
        </w:rPr>
      </w:pPr>
      <w:r>
        <w:rPr>
          <w:w w:val="105"/>
          <w:sz w:val="18"/>
        </w:rPr>
        <w:t>The</w:t>
      </w:r>
      <w:r>
        <w:rPr>
          <w:spacing w:val="9"/>
          <w:w w:val="105"/>
          <w:sz w:val="18"/>
        </w:rPr>
        <w:t> </w:t>
      </w:r>
      <w:r>
        <w:rPr>
          <w:w w:val="105"/>
          <w:sz w:val="18"/>
        </w:rPr>
        <w:t>unvested</w:t>
      </w:r>
      <w:r>
        <w:rPr>
          <w:spacing w:val="10"/>
          <w:w w:val="105"/>
          <w:sz w:val="18"/>
        </w:rPr>
        <w:t> </w:t>
      </w:r>
      <w:r>
        <w:rPr>
          <w:w w:val="105"/>
          <w:sz w:val="18"/>
        </w:rPr>
        <w:t>portion</w:t>
      </w:r>
      <w:r>
        <w:rPr>
          <w:spacing w:val="10"/>
          <w:w w:val="105"/>
          <w:sz w:val="18"/>
        </w:rPr>
        <w:t> </w:t>
      </w:r>
      <w:r>
        <w:rPr>
          <w:w w:val="105"/>
          <w:sz w:val="18"/>
        </w:rPr>
        <w:t>of</w:t>
      </w:r>
      <w:r>
        <w:rPr>
          <w:spacing w:val="10"/>
          <w:w w:val="105"/>
          <w:sz w:val="18"/>
        </w:rPr>
        <w:t> </w:t>
      </w:r>
      <w:r>
        <w:rPr>
          <w:w w:val="105"/>
          <w:sz w:val="18"/>
        </w:rPr>
        <w:t>these</w:t>
      </w:r>
      <w:r>
        <w:rPr>
          <w:spacing w:val="10"/>
          <w:w w:val="105"/>
          <w:sz w:val="18"/>
        </w:rPr>
        <w:t> </w:t>
      </w:r>
      <w:r>
        <w:rPr>
          <w:w w:val="105"/>
          <w:sz w:val="18"/>
        </w:rPr>
        <w:t>RSU</w:t>
      </w:r>
      <w:r>
        <w:rPr>
          <w:spacing w:val="10"/>
          <w:w w:val="105"/>
          <w:sz w:val="18"/>
        </w:rPr>
        <w:t> </w:t>
      </w:r>
      <w:r>
        <w:rPr>
          <w:w w:val="105"/>
          <w:sz w:val="18"/>
        </w:rPr>
        <w:t>awards</w:t>
      </w:r>
      <w:r>
        <w:rPr>
          <w:spacing w:val="10"/>
          <w:w w:val="105"/>
          <w:sz w:val="18"/>
        </w:rPr>
        <w:t> </w:t>
      </w:r>
      <w:r>
        <w:rPr>
          <w:w w:val="105"/>
          <w:sz w:val="18"/>
        </w:rPr>
        <w:t>is</w:t>
      </w:r>
      <w:r>
        <w:rPr>
          <w:spacing w:val="10"/>
          <w:w w:val="105"/>
          <w:sz w:val="18"/>
        </w:rPr>
        <w:t> </w:t>
      </w:r>
      <w:r>
        <w:rPr>
          <w:w w:val="105"/>
          <w:sz w:val="18"/>
        </w:rPr>
        <w:t>scheduled</w:t>
      </w:r>
      <w:r>
        <w:rPr>
          <w:spacing w:val="9"/>
          <w:w w:val="105"/>
          <w:sz w:val="18"/>
        </w:rPr>
        <w:t> </w:t>
      </w:r>
      <w:r>
        <w:rPr>
          <w:w w:val="105"/>
          <w:sz w:val="18"/>
        </w:rPr>
        <w:t>to</w:t>
      </w:r>
      <w:r>
        <w:rPr>
          <w:spacing w:val="10"/>
          <w:w w:val="105"/>
          <w:sz w:val="18"/>
        </w:rPr>
        <w:t> </w:t>
      </w:r>
      <w:r>
        <w:rPr>
          <w:w w:val="105"/>
          <w:sz w:val="18"/>
        </w:rPr>
        <w:t>vest</w:t>
      </w:r>
      <w:r>
        <w:rPr>
          <w:spacing w:val="10"/>
          <w:w w:val="105"/>
          <w:sz w:val="18"/>
        </w:rPr>
        <w:t> </w:t>
      </w:r>
      <w:r>
        <w:rPr>
          <w:w w:val="105"/>
          <w:sz w:val="18"/>
        </w:rPr>
        <w:t>on</w:t>
      </w:r>
      <w:r>
        <w:rPr>
          <w:spacing w:val="10"/>
          <w:w w:val="105"/>
          <w:sz w:val="18"/>
        </w:rPr>
        <w:t> </w:t>
      </w:r>
      <w:r>
        <w:rPr>
          <w:spacing w:val="-2"/>
          <w:w w:val="105"/>
          <w:sz w:val="18"/>
        </w:rPr>
        <w:t>08/15/2024.</w:t>
      </w:r>
    </w:p>
    <w:p>
      <w:pPr>
        <w:pStyle w:val="ListParagraph"/>
        <w:numPr>
          <w:ilvl w:val="0"/>
          <w:numId w:val="32"/>
        </w:numPr>
        <w:tabs>
          <w:tab w:pos="1773" w:val="left" w:leader="none"/>
        </w:tabs>
        <w:spacing w:line="259" w:lineRule="auto" w:before="101" w:after="0"/>
        <w:ind w:left="1772" w:right="1494" w:hanging="373"/>
        <w:jc w:val="left"/>
        <w:rPr>
          <w:sz w:val="18"/>
        </w:rPr>
      </w:pPr>
      <w:r>
        <w:rPr>
          <w:w w:val="105"/>
          <w:sz w:val="18"/>
        </w:rPr>
        <w:t>The unvested portion of these RSU awards is scheduled to vest as follows: 50% on 02/15/2023 and the</w:t>
      </w:r>
      <w:r>
        <w:rPr>
          <w:spacing w:val="40"/>
          <w:w w:val="105"/>
          <w:sz w:val="18"/>
        </w:rPr>
        <w:t> </w:t>
      </w:r>
      <w:r>
        <w:rPr>
          <w:w w:val="105"/>
          <w:sz w:val="18"/>
        </w:rPr>
        <w:t>remaining 50% on 02/15/2025.</w:t>
      </w:r>
    </w:p>
    <w:p>
      <w:pPr>
        <w:pStyle w:val="ListParagraph"/>
        <w:numPr>
          <w:ilvl w:val="0"/>
          <w:numId w:val="32"/>
        </w:numPr>
        <w:tabs>
          <w:tab w:pos="1773" w:val="left" w:leader="none"/>
        </w:tabs>
        <w:spacing w:line="259" w:lineRule="auto" w:before="70" w:after="0"/>
        <w:ind w:left="1772" w:right="1494" w:hanging="373"/>
        <w:jc w:val="left"/>
        <w:rPr>
          <w:sz w:val="18"/>
        </w:rPr>
      </w:pPr>
      <w:r>
        <w:rPr>
          <w:w w:val="105"/>
          <w:sz w:val="18"/>
        </w:rPr>
        <w:t>The unvested portion of these RSU awards is scheduled to vest as follows: 50% on 05/15/2023 and the</w:t>
      </w:r>
      <w:r>
        <w:rPr>
          <w:spacing w:val="40"/>
          <w:w w:val="105"/>
          <w:sz w:val="18"/>
        </w:rPr>
        <w:t> </w:t>
      </w:r>
      <w:r>
        <w:rPr>
          <w:w w:val="105"/>
          <w:sz w:val="18"/>
        </w:rPr>
        <w:t>remaining 50% on 05/15/2025.</w:t>
      </w:r>
    </w:p>
    <w:p>
      <w:pPr>
        <w:pStyle w:val="ListParagraph"/>
        <w:numPr>
          <w:ilvl w:val="0"/>
          <w:numId w:val="32"/>
        </w:numPr>
        <w:tabs>
          <w:tab w:pos="1773" w:val="left" w:leader="none"/>
        </w:tabs>
        <w:spacing w:line="259" w:lineRule="auto" w:before="70" w:after="0"/>
        <w:ind w:left="1772" w:right="1494" w:hanging="373"/>
        <w:jc w:val="left"/>
        <w:rPr>
          <w:sz w:val="18"/>
        </w:rPr>
      </w:pPr>
      <w:r>
        <w:rPr>
          <w:w w:val="105"/>
          <w:sz w:val="18"/>
        </w:rPr>
        <w:t>The unvested portion of these RSU awards is scheduled to vest as follows: 50% on 12/10/2023 and the</w:t>
      </w:r>
      <w:r>
        <w:rPr>
          <w:spacing w:val="40"/>
          <w:w w:val="105"/>
          <w:sz w:val="18"/>
        </w:rPr>
        <w:t> </w:t>
      </w:r>
      <w:r>
        <w:rPr>
          <w:w w:val="105"/>
          <w:sz w:val="18"/>
        </w:rPr>
        <w:t>remaining 50% on 12/10/2025.</w:t>
      </w:r>
    </w:p>
    <w:p>
      <w:pPr>
        <w:spacing w:after="0" w:line="259" w:lineRule="auto"/>
        <w:jc w:val="left"/>
        <w:rPr>
          <w:sz w:val="18"/>
        </w:rPr>
        <w:sectPr>
          <w:headerReference w:type="default" r:id="rId147"/>
          <w:footerReference w:type="default" r:id="rId148"/>
          <w:pgSz w:w="12240" w:h="15840"/>
          <w:pgMar w:header="529" w:footer="1148" w:top="720" w:bottom="1340" w:left="480" w:right="460"/>
        </w:sectPr>
      </w:pPr>
    </w:p>
    <w:p>
      <w:pPr>
        <w:pStyle w:val="BodyText"/>
        <w:rPr>
          <w:sz w:val="20"/>
        </w:rPr>
      </w:pPr>
    </w:p>
    <w:p>
      <w:pPr>
        <w:pStyle w:val="BodyText"/>
        <w:rPr>
          <w:sz w:val="20"/>
        </w:rPr>
      </w:pPr>
    </w:p>
    <w:p>
      <w:pPr>
        <w:pStyle w:val="BodyText"/>
        <w:spacing w:before="2"/>
        <w:rPr>
          <w:sz w:val="27"/>
        </w:rPr>
      </w:pPr>
    </w:p>
    <w:p>
      <w:pPr>
        <w:pStyle w:val="Heading2"/>
        <w:spacing w:before="98"/>
      </w:pPr>
      <w:bookmarkStart w:name="_TOC_250006" w:id="37"/>
      <w:r>
        <w:rPr>
          <w:spacing w:val="-2"/>
        </w:rPr>
        <w:t>Option</w:t>
      </w:r>
      <w:r>
        <w:rPr/>
        <w:t> </w:t>
      </w:r>
      <w:r>
        <w:rPr>
          <w:spacing w:val="-2"/>
        </w:rPr>
        <w:t>Exercises</w:t>
      </w:r>
      <w:r>
        <w:rPr>
          <w:spacing w:val="1"/>
        </w:rPr>
        <w:t> </w:t>
      </w:r>
      <w:r>
        <w:rPr>
          <w:spacing w:val="-2"/>
        </w:rPr>
        <w:t>and</w:t>
      </w:r>
      <w:r>
        <w:rPr/>
        <w:t> </w:t>
      </w:r>
      <w:r>
        <w:rPr>
          <w:spacing w:val="-2"/>
        </w:rPr>
        <w:t>Stock</w:t>
      </w:r>
      <w:r>
        <w:rPr>
          <w:spacing w:val="-4"/>
        </w:rPr>
        <w:t> </w:t>
      </w:r>
      <w:bookmarkEnd w:id="37"/>
      <w:r>
        <w:rPr>
          <w:spacing w:val="-2"/>
        </w:rPr>
        <w:t>Vested</w:t>
      </w:r>
    </w:p>
    <w:p>
      <w:pPr>
        <w:pStyle w:val="BodyText"/>
        <w:spacing w:line="249" w:lineRule="auto" w:before="171"/>
        <w:ind w:left="1400" w:right="1423" w:firstLine="372"/>
      </w:pPr>
      <w:r>
        <w:rPr>
          <w:w w:val="105"/>
        </w:rPr>
        <w:t>The following table sets forth the number of shares of the Company’s common stock acquired by NEOs through</w:t>
      </w:r>
      <w:r>
        <w:rPr>
          <w:spacing w:val="24"/>
          <w:w w:val="105"/>
        </w:rPr>
        <w:t> </w:t>
      </w:r>
      <w:r>
        <w:rPr>
          <w:w w:val="105"/>
        </w:rPr>
        <w:t>stock</w:t>
      </w:r>
      <w:r>
        <w:rPr>
          <w:spacing w:val="24"/>
          <w:w w:val="105"/>
        </w:rPr>
        <w:t> </w:t>
      </w:r>
      <w:r>
        <w:rPr>
          <w:w w:val="105"/>
        </w:rPr>
        <w:t>option</w:t>
      </w:r>
      <w:r>
        <w:rPr>
          <w:spacing w:val="24"/>
          <w:w w:val="105"/>
        </w:rPr>
        <w:t> </w:t>
      </w:r>
      <w:r>
        <w:rPr>
          <w:w w:val="105"/>
        </w:rPr>
        <w:t>exercises</w:t>
      </w:r>
      <w:r>
        <w:rPr>
          <w:spacing w:val="24"/>
          <w:w w:val="105"/>
        </w:rPr>
        <w:t> </w:t>
      </w:r>
      <w:r>
        <w:rPr>
          <w:w w:val="105"/>
        </w:rPr>
        <w:t>and</w:t>
      </w:r>
      <w:r>
        <w:rPr>
          <w:spacing w:val="24"/>
          <w:w w:val="105"/>
        </w:rPr>
        <w:t> </w:t>
      </w:r>
      <w:r>
        <w:rPr>
          <w:w w:val="105"/>
        </w:rPr>
        <w:t>vesting</w:t>
      </w:r>
      <w:r>
        <w:rPr>
          <w:spacing w:val="24"/>
          <w:w w:val="105"/>
        </w:rPr>
        <w:t> </w:t>
      </w:r>
      <w:r>
        <w:rPr>
          <w:w w:val="105"/>
        </w:rPr>
        <w:t>of</w:t>
      </w:r>
      <w:r>
        <w:rPr>
          <w:spacing w:val="24"/>
          <w:w w:val="105"/>
        </w:rPr>
        <w:t> </w:t>
      </w:r>
      <w:r>
        <w:rPr>
          <w:w w:val="105"/>
        </w:rPr>
        <w:t>RSUs</w:t>
      </w:r>
      <w:r>
        <w:rPr>
          <w:spacing w:val="24"/>
          <w:w w:val="105"/>
        </w:rPr>
        <w:t> </w:t>
      </w:r>
      <w:r>
        <w:rPr>
          <w:w w:val="105"/>
        </w:rPr>
        <w:t>during</w:t>
      </w:r>
      <w:r>
        <w:rPr>
          <w:spacing w:val="24"/>
          <w:w w:val="105"/>
        </w:rPr>
        <w:t> </w:t>
      </w:r>
      <w:r>
        <w:rPr>
          <w:w w:val="105"/>
        </w:rPr>
        <w:t>fiscal</w:t>
      </w:r>
      <w:r>
        <w:rPr>
          <w:spacing w:val="24"/>
          <w:w w:val="105"/>
        </w:rPr>
        <w:t> </w:t>
      </w:r>
      <w:r>
        <w:rPr>
          <w:w w:val="105"/>
        </w:rPr>
        <w:t>year</w:t>
      </w:r>
      <w:r>
        <w:rPr>
          <w:spacing w:val="24"/>
          <w:w w:val="105"/>
        </w:rPr>
        <w:t> </w:t>
      </w:r>
      <w:r>
        <w:rPr>
          <w:w w:val="105"/>
        </w:rPr>
        <w:t>2022.</w:t>
      </w:r>
      <w:r>
        <w:rPr>
          <w:spacing w:val="24"/>
          <w:w w:val="105"/>
        </w:rPr>
        <w:t> </w:t>
      </w:r>
      <w:r>
        <w:rPr>
          <w:w w:val="105"/>
        </w:rPr>
        <w:t>In</w:t>
      </w:r>
      <w:r>
        <w:rPr>
          <w:spacing w:val="24"/>
          <w:w w:val="105"/>
        </w:rPr>
        <w:t> </w:t>
      </w:r>
      <w:r>
        <w:rPr>
          <w:w w:val="105"/>
        </w:rPr>
        <w:t>addition,</w:t>
      </w:r>
      <w:r>
        <w:rPr>
          <w:spacing w:val="24"/>
          <w:w w:val="105"/>
        </w:rPr>
        <w:t> </w:t>
      </w:r>
      <w:r>
        <w:rPr>
          <w:w w:val="105"/>
        </w:rPr>
        <w:t>the</w:t>
      </w:r>
      <w:r>
        <w:rPr>
          <w:spacing w:val="24"/>
          <w:w w:val="105"/>
        </w:rPr>
        <w:t> </w:t>
      </w:r>
      <w:r>
        <w:rPr>
          <w:w w:val="105"/>
        </w:rPr>
        <w:t>table</w:t>
      </w:r>
      <w:r>
        <w:rPr>
          <w:spacing w:val="24"/>
          <w:w w:val="105"/>
        </w:rPr>
        <w:t> </w:t>
      </w:r>
      <w:r>
        <w:rPr>
          <w:w w:val="105"/>
        </w:rPr>
        <w:t>presents the value realized upon such exercises or vesting, as calculated, in the case of stock options, based on the</w:t>
      </w:r>
      <w:r>
        <w:rPr>
          <w:spacing w:val="40"/>
          <w:w w:val="105"/>
        </w:rPr>
        <w:t> </w:t>
      </w:r>
      <w:r>
        <w:rPr>
          <w:w w:val="105"/>
        </w:rPr>
        <w:t>difference</w:t>
      </w:r>
      <w:r>
        <w:rPr>
          <w:spacing w:val="23"/>
          <w:w w:val="105"/>
        </w:rPr>
        <w:t> </w:t>
      </w:r>
      <w:r>
        <w:rPr>
          <w:w w:val="105"/>
        </w:rPr>
        <w:t>between</w:t>
      </w:r>
      <w:r>
        <w:rPr>
          <w:spacing w:val="23"/>
          <w:w w:val="105"/>
        </w:rPr>
        <w:t> </w:t>
      </w:r>
      <w:r>
        <w:rPr>
          <w:w w:val="105"/>
        </w:rPr>
        <w:t>the</w:t>
      </w:r>
      <w:r>
        <w:rPr>
          <w:spacing w:val="23"/>
          <w:w w:val="105"/>
        </w:rPr>
        <w:t> </w:t>
      </w:r>
      <w:r>
        <w:rPr>
          <w:w w:val="105"/>
        </w:rPr>
        <w:t>market</w:t>
      </w:r>
      <w:r>
        <w:rPr>
          <w:spacing w:val="23"/>
          <w:w w:val="105"/>
        </w:rPr>
        <w:t> </w:t>
      </w:r>
      <w:r>
        <w:rPr>
          <w:w w:val="105"/>
        </w:rPr>
        <w:t>price</w:t>
      </w:r>
      <w:r>
        <w:rPr>
          <w:spacing w:val="23"/>
          <w:w w:val="105"/>
        </w:rPr>
        <w:t> </w:t>
      </w:r>
      <w:r>
        <w:rPr>
          <w:w w:val="105"/>
        </w:rPr>
        <w:t>of</w:t>
      </w:r>
      <w:r>
        <w:rPr>
          <w:spacing w:val="23"/>
          <w:w w:val="105"/>
        </w:rPr>
        <w:t> </w:t>
      </w:r>
      <w:r>
        <w:rPr>
          <w:w w:val="105"/>
        </w:rPr>
        <w:t>the</w:t>
      </w:r>
      <w:r>
        <w:rPr>
          <w:spacing w:val="23"/>
          <w:w w:val="105"/>
        </w:rPr>
        <w:t> </w:t>
      </w:r>
      <w:r>
        <w:rPr>
          <w:w w:val="105"/>
        </w:rPr>
        <w:t>Company’s</w:t>
      </w:r>
      <w:r>
        <w:rPr>
          <w:spacing w:val="23"/>
          <w:w w:val="105"/>
        </w:rPr>
        <w:t> </w:t>
      </w:r>
      <w:r>
        <w:rPr>
          <w:w w:val="105"/>
        </w:rPr>
        <w:t>common</w:t>
      </w:r>
      <w:r>
        <w:rPr>
          <w:spacing w:val="23"/>
          <w:w w:val="105"/>
        </w:rPr>
        <w:t> </w:t>
      </w:r>
      <w:r>
        <w:rPr>
          <w:w w:val="105"/>
        </w:rPr>
        <w:t>stock</w:t>
      </w:r>
      <w:r>
        <w:rPr>
          <w:spacing w:val="23"/>
          <w:w w:val="105"/>
        </w:rPr>
        <w:t> </w:t>
      </w:r>
      <w:r>
        <w:rPr>
          <w:w w:val="105"/>
        </w:rPr>
        <w:t>at</w:t>
      </w:r>
      <w:r>
        <w:rPr>
          <w:spacing w:val="23"/>
          <w:w w:val="105"/>
        </w:rPr>
        <w:t> </w:t>
      </w:r>
      <w:r>
        <w:rPr>
          <w:w w:val="105"/>
        </w:rPr>
        <w:t>exercise</w:t>
      </w:r>
      <w:r>
        <w:rPr>
          <w:spacing w:val="23"/>
          <w:w w:val="105"/>
        </w:rPr>
        <w:t> </w:t>
      </w:r>
      <w:r>
        <w:rPr>
          <w:w w:val="105"/>
        </w:rPr>
        <w:t>and</w:t>
      </w:r>
      <w:r>
        <w:rPr>
          <w:spacing w:val="23"/>
          <w:w w:val="105"/>
        </w:rPr>
        <w:t> </w:t>
      </w:r>
      <w:r>
        <w:rPr>
          <w:w w:val="105"/>
        </w:rPr>
        <w:t>the</w:t>
      </w:r>
      <w:r>
        <w:rPr>
          <w:spacing w:val="23"/>
          <w:w w:val="105"/>
        </w:rPr>
        <w:t> </w:t>
      </w:r>
      <w:r>
        <w:rPr>
          <w:w w:val="105"/>
        </w:rPr>
        <w:t>option</w:t>
      </w:r>
      <w:r>
        <w:rPr>
          <w:spacing w:val="23"/>
          <w:w w:val="105"/>
        </w:rPr>
        <w:t> </w:t>
      </w:r>
      <w:r>
        <w:rPr>
          <w:w w:val="105"/>
        </w:rPr>
        <w:t>exercise price and, in the case of RSUs, based on the closing price per share of the Company’s common stock on the</w:t>
      </w:r>
      <w:r>
        <w:rPr>
          <w:spacing w:val="40"/>
          <w:w w:val="105"/>
        </w:rPr>
        <w:t> </w:t>
      </w:r>
      <w:r>
        <w:rPr>
          <w:w w:val="105"/>
        </w:rPr>
        <w:t>vesting date.</w:t>
      </w:r>
    </w:p>
    <w:p>
      <w:pPr>
        <w:pStyle w:val="BodyText"/>
        <w:spacing w:before="10"/>
        <w:rPr>
          <w:sz w:val="12"/>
        </w:rPr>
      </w:pPr>
    </w:p>
    <w:p>
      <w:pPr>
        <w:tabs>
          <w:tab w:pos="8573" w:val="left" w:leader="none"/>
        </w:tabs>
        <w:spacing w:before="0" w:after="59"/>
        <w:ind w:left="6606" w:right="0" w:firstLine="0"/>
        <w:jc w:val="left"/>
        <w:rPr>
          <w:b/>
          <w:sz w:val="15"/>
        </w:rPr>
      </w:pPr>
      <w:r>
        <w:rPr>
          <w:b/>
          <w:spacing w:val="-5"/>
          <w:sz w:val="15"/>
        </w:rPr>
        <w:t>Option </w:t>
      </w:r>
      <w:r>
        <w:rPr>
          <w:b/>
          <w:spacing w:val="-2"/>
          <w:sz w:val="15"/>
        </w:rPr>
        <w:t>Awards</w:t>
      </w:r>
      <w:r>
        <w:rPr>
          <w:b/>
          <w:sz w:val="15"/>
        </w:rPr>
        <w:tab/>
      </w:r>
      <w:r>
        <w:rPr>
          <w:b/>
          <w:spacing w:val="-5"/>
          <w:sz w:val="15"/>
        </w:rPr>
        <w:t>Stock</w:t>
      </w:r>
      <w:r>
        <w:rPr>
          <w:b/>
          <w:spacing w:val="-6"/>
          <w:sz w:val="15"/>
        </w:rPr>
        <w:t> </w:t>
      </w:r>
      <w:r>
        <w:rPr>
          <w:b/>
          <w:spacing w:val="-2"/>
          <w:sz w:val="15"/>
        </w:rPr>
        <w:t>Awards</w:t>
      </w: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5"/>
        <w:gridCol w:w="223"/>
        <w:gridCol w:w="754"/>
        <w:gridCol w:w="219"/>
        <w:gridCol w:w="604"/>
        <w:gridCol w:w="223"/>
        <w:gridCol w:w="754"/>
        <w:gridCol w:w="223"/>
        <w:gridCol w:w="839"/>
      </w:tblGrid>
      <w:tr>
        <w:trPr>
          <w:trHeight w:val="767" w:hRule="atLeast"/>
        </w:trPr>
        <w:tc>
          <w:tcPr>
            <w:tcW w:w="4655" w:type="dxa"/>
            <w:tcBorders>
              <w:bottom w:val="single" w:sz="6" w:space="0" w:color="000000"/>
            </w:tcBorders>
          </w:tcPr>
          <w:p>
            <w:pPr>
              <w:pStyle w:val="TableParagraph"/>
              <w:rPr>
                <w:b/>
                <w:sz w:val="16"/>
              </w:rPr>
            </w:pPr>
          </w:p>
          <w:p>
            <w:pPr>
              <w:pStyle w:val="TableParagraph"/>
              <w:rPr>
                <w:b/>
                <w:sz w:val="16"/>
              </w:rPr>
            </w:pPr>
          </w:p>
          <w:p>
            <w:pPr>
              <w:pStyle w:val="TableParagraph"/>
              <w:spacing w:before="4"/>
              <w:rPr>
                <w:b/>
                <w:sz w:val="15"/>
              </w:rPr>
            </w:pPr>
          </w:p>
          <w:p>
            <w:pPr>
              <w:pStyle w:val="TableParagraph"/>
              <w:rPr>
                <w:b/>
                <w:sz w:val="15"/>
              </w:rPr>
            </w:pPr>
            <w:r>
              <w:rPr>
                <w:b/>
                <w:spacing w:val="-4"/>
                <w:sz w:val="15"/>
              </w:rPr>
              <w:t>Name</w:t>
            </w:r>
          </w:p>
        </w:tc>
        <w:tc>
          <w:tcPr>
            <w:tcW w:w="223" w:type="dxa"/>
          </w:tcPr>
          <w:p>
            <w:pPr>
              <w:pStyle w:val="TableParagraph"/>
              <w:rPr>
                <w:sz w:val="18"/>
              </w:rPr>
            </w:pPr>
          </w:p>
        </w:tc>
        <w:tc>
          <w:tcPr>
            <w:tcW w:w="754" w:type="dxa"/>
            <w:tcBorders>
              <w:top w:val="single" w:sz="6" w:space="0" w:color="000000"/>
              <w:bottom w:val="single" w:sz="6" w:space="0" w:color="000000"/>
            </w:tcBorders>
          </w:tcPr>
          <w:p>
            <w:pPr>
              <w:pStyle w:val="TableParagraph"/>
              <w:spacing w:line="232" w:lineRule="auto" w:before="45"/>
              <w:ind w:left="-3" w:right="-15" w:hanging="1"/>
              <w:jc w:val="center"/>
              <w:rPr>
                <w:b/>
                <w:sz w:val="15"/>
              </w:rPr>
            </w:pPr>
            <w:r>
              <w:rPr>
                <w:b/>
                <w:sz w:val="15"/>
              </w:rPr>
              <w:t>Number</w:t>
            </w:r>
            <w:r>
              <w:rPr>
                <w:b/>
                <w:spacing w:val="-10"/>
                <w:sz w:val="15"/>
              </w:rPr>
              <w:t> </w:t>
            </w:r>
            <w:r>
              <w:rPr>
                <w:b/>
                <w:sz w:val="15"/>
              </w:rPr>
              <w:t>of</w:t>
            </w:r>
            <w:r>
              <w:rPr>
                <w:b/>
                <w:spacing w:val="40"/>
                <w:sz w:val="15"/>
              </w:rPr>
              <w:t> </w:t>
            </w:r>
            <w:r>
              <w:rPr>
                <w:b/>
                <w:spacing w:val="-2"/>
                <w:sz w:val="15"/>
              </w:rPr>
              <w:t>Shares</w:t>
            </w:r>
            <w:r>
              <w:rPr>
                <w:b/>
                <w:spacing w:val="40"/>
                <w:sz w:val="15"/>
              </w:rPr>
              <w:t> </w:t>
            </w:r>
            <w:r>
              <w:rPr>
                <w:b/>
                <w:spacing w:val="-4"/>
                <w:sz w:val="15"/>
              </w:rPr>
              <w:t>Acquired</w:t>
            </w:r>
            <w:r>
              <w:rPr>
                <w:b/>
                <w:spacing w:val="-7"/>
                <w:sz w:val="15"/>
              </w:rPr>
              <w:t> </w:t>
            </w:r>
            <w:r>
              <w:rPr>
                <w:b/>
                <w:spacing w:val="-4"/>
                <w:sz w:val="15"/>
              </w:rPr>
              <w:t>on</w:t>
            </w:r>
            <w:r>
              <w:rPr>
                <w:b/>
                <w:spacing w:val="40"/>
                <w:sz w:val="15"/>
              </w:rPr>
              <w:t> </w:t>
            </w:r>
            <w:r>
              <w:rPr>
                <w:b/>
                <w:spacing w:val="-2"/>
                <w:sz w:val="15"/>
              </w:rPr>
              <w:t>Exercise</w:t>
            </w:r>
          </w:p>
        </w:tc>
        <w:tc>
          <w:tcPr>
            <w:tcW w:w="219" w:type="dxa"/>
            <w:tcBorders>
              <w:top w:val="single" w:sz="6" w:space="0" w:color="000000"/>
            </w:tcBorders>
          </w:tcPr>
          <w:p>
            <w:pPr>
              <w:pStyle w:val="TableParagraph"/>
              <w:rPr>
                <w:sz w:val="18"/>
              </w:rPr>
            </w:pPr>
          </w:p>
        </w:tc>
        <w:tc>
          <w:tcPr>
            <w:tcW w:w="604" w:type="dxa"/>
            <w:tcBorders>
              <w:top w:val="single" w:sz="6" w:space="0" w:color="000000"/>
              <w:bottom w:val="single" w:sz="6" w:space="0" w:color="000000"/>
            </w:tcBorders>
          </w:tcPr>
          <w:p>
            <w:pPr>
              <w:pStyle w:val="TableParagraph"/>
              <w:spacing w:line="232" w:lineRule="auto" w:before="45"/>
              <w:ind w:left="44" w:right="32" w:hanging="1"/>
              <w:jc w:val="center"/>
              <w:rPr>
                <w:b/>
                <w:sz w:val="15"/>
              </w:rPr>
            </w:pPr>
            <w:r>
              <w:rPr>
                <w:b/>
                <w:spacing w:val="-2"/>
                <w:sz w:val="15"/>
              </w:rPr>
              <w:t>Value</w:t>
            </w:r>
            <w:r>
              <w:rPr>
                <w:b/>
                <w:spacing w:val="40"/>
                <w:sz w:val="15"/>
              </w:rPr>
              <w:t> </w:t>
            </w:r>
            <w:r>
              <w:rPr>
                <w:b/>
                <w:spacing w:val="-4"/>
                <w:sz w:val="15"/>
              </w:rPr>
              <w:t>Realized</w:t>
            </w:r>
            <w:r>
              <w:rPr>
                <w:b/>
                <w:spacing w:val="40"/>
                <w:sz w:val="15"/>
              </w:rPr>
              <w:t> </w:t>
            </w:r>
            <w:r>
              <w:rPr>
                <w:b/>
                <w:spacing w:val="-4"/>
                <w:sz w:val="15"/>
              </w:rPr>
              <w:t>Upon</w:t>
            </w:r>
            <w:r>
              <w:rPr>
                <w:b/>
                <w:spacing w:val="40"/>
                <w:sz w:val="15"/>
              </w:rPr>
              <w:t> </w:t>
            </w:r>
            <w:r>
              <w:rPr>
                <w:b/>
                <w:spacing w:val="-4"/>
                <w:sz w:val="15"/>
              </w:rPr>
              <w:t>Exercise</w:t>
            </w:r>
          </w:p>
        </w:tc>
        <w:tc>
          <w:tcPr>
            <w:tcW w:w="223" w:type="dxa"/>
          </w:tcPr>
          <w:p>
            <w:pPr>
              <w:pStyle w:val="TableParagraph"/>
              <w:rPr>
                <w:sz w:val="18"/>
              </w:rPr>
            </w:pPr>
          </w:p>
        </w:tc>
        <w:tc>
          <w:tcPr>
            <w:tcW w:w="754" w:type="dxa"/>
            <w:tcBorders>
              <w:top w:val="single" w:sz="6" w:space="0" w:color="000000"/>
              <w:bottom w:val="single" w:sz="6" w:space="0" w:color="000000"/>
            </w:tcBorders>
          </w:tcPr>
          <w:p>
            <w:pPr>
              <w:pStyle w:val="TableParagraph"/>
              <w:spacing w:line="232" w:lineRule="auto" w:before="45"/>
              <w:ind w:left="4" w:right="-15" w:hanging="1"/>
              <w:jc w:val="center"/>
              <w:rPr>
                <w:b/>
                <w:sz w:val="15"/>
              </w:rPr>
            </w:pPr>
            <w:r>
              <w:rPr>
                <w:b/>
                <w:sz w:val="15"/>
              </w:rPr>
              <w:t>Number</w:t>
            </w:r>
            <w:r>
              <w:rPr>
                <w:b/>
                <w:spacing w:val="-10"/>
                <w:sz w:val="15"/>
              </w:rPr>
              <w:t> </w:t>
            </w:r>
            <w:r>
              <w:rPr>
                <w:b/>
                <w:sz w:val="15"/>
              </w:rPr>
              <w:t>of</w:t>
            </w:r>
            <w:r>
              <w:rPr>
                <w:b/>
                <w:spacing w:val="40"/>
                <w:sz w:val="15"/>
              </w:rPr>
              <w:t> </w:t>
            </w:r>
            <w:r>
              <w:rPr>
                <w:b/>
                <w:spacing w:val="-2"/>
                <w:sz w:val="15"/>
              </w:rPr>
              <w:t>Shares</w:t>
            </w:r>
            <w:r>
              <w:rPr>
                <w:b/>
                <w:spacing w:val="40"/>
                <w:sz w:val="15"/>
              </w:rPr>
              <w:t> </w:t>
            </w:r>
            <w:r>
              <w:rPr>
                <w:b/>
                <w:spacing w:val="-4"/>
                <w:sz w:val="15"/>
              </w:rPr>
              <w:t>Acquired</w:t>
            </w:r>
            <w:r>
              <w:rPr>
                <w:b/>
                <w:spacing w:val="-7"/>
                <w:sz w:val="15"/>
              </w:rPr>
              <w:t> </w:t>
            </w:r>
            <w:r>
              <w:rPr>
                <w:b/>
                <w:spacing w:val="-4"/>
                <w:sz w:val="15"/>
              </w:rPr>
              <w:t>on</w:t>
            </w:r>
            <w:r>
              <w:rPr>
                <w:b/>
                <w:spacing w:val="40"/>
                <w:sz w:val="15"/>
              </w:rPr>
              <w:t> </w:t>
            </w:r>
            <w:r>
              <w:rPr>
                <w:b/>
                <w:spacing w:val="-2"/>
                <w:sz w:val="15"/>
              </w:rPr>
              <w:t>Vesting</w:t>
            </w:r>
          </w:p>
        </w:tc>
        <w:tc>
          <w:tcPr>
            <w:tcW w:w="223" w:type="dxa"/>
            <w:tcBorders>
              <w:top w:val="single" w:sz="6" w:space="0" w:color="000000"/>
            </w:tcBorders>
          </w:tcPr>
          <w:p>
            <w:pPr>
              <w:pStyle w:val="TableParagraph"/>
              <w:rPr>
                <w:sz w:val="18"/>
              </w:rPr>
            </w:pPr>
          </w:p>
        </w:tc>
        <w:tc>
          <w:tcPr>
            <w:tcW w:w="839" w:type="dxa"/>
            <w:tcBorders>
              <w:top w:val="single" w:sz="6" w:space="0" w:color="000000"/>
              <w:bottom w:val="single" w:sz="6" w:space="0" w:color="000000"/>
            </w:tcBorders>
          </w:tcPr>
          <w:p>
            <w:pPr>
              <w:pStyle w:val="TableParagraph"/>
              <w:spacing w:before="6"/>
              <w:rPr>
                <w:b/>
                <w:sz w:val="18"/>
              </w:rPr>
            </w:pPr>
          </w:p>
          <w:p>
            <w:pPr>
              <w:pStyle w:val="TableParagraph"/>
              <w:spacing w:line="232" w:lineRule="auto"/>
              <w:ind w:left="110" w:right="94" w:hanging="1"/>
              <w:jc w:val="center"/>
              <w:rPr>
                <w:b/>
                <w:sz w:val="15"/>
              </w:rPr>
            </w:pPr>
            <w:r>
              <w:rPr>
                <w:b/>
                <w:spacing w:val="-2"/>
                <w:sz w:val="15"/>
              </w:rPr>
              <w:t>Value</w:t>
            </w:r>
            <w:r>
              <w:rPr>
                <w:b/>
                <w:spacing w:val="40"/>
                <w:sz w:val="15"/>
              </w:rPr>
              <w:t> </w:t>
            </w:r>
            <w:r>
              <w:rPr>
                <w:b/>
                <w:spacing w:val="-2"/>
                <w:sz w:val="15"/>
              </w:rPr>
              <w:t>Realized</w:t>
            </w:r>
            <w:r>
              <w:rPr>
                <w:b/>
                <w:spacing w:val="40"/>
                <w:sz w:val="15"/>
              </w:rPr>
              <w:t> </w:t>
            </w:r>
            <w:r>
              <w:rPr>
                <w:b/>
                <w:spacing w:val="-6"/>
                <w:sz w:val="15"/>
              </w:rPr>
              <w:t>on</w:t>
            </w:r>
            <w:r>
              <w:rPr>
                <w:b/>
                <w:spacing w:val="-9"/>
                <w:sz w:val="15"/>
              </w:rPr>
              <w:t> </w:t>
            </w:r>
            <w:r>
              <w:rPr>
                <w:b/>
                <w:spacing w:val="-6"/>
                <w:sz w:val="15"/>
              </w:rPr>
              <w:t>Vesting</w:t>
            </w:r>
          </w:p>
        </w:tc>
      </w:tr>
      <w:tr>
        <w:trPr>
          <w:trHeight w:val="286" w:hRule="atLeast"/>
        </w:trPr>
        <w:tc>
          <w:tcPr>
            <w:tcW w:w="4655" w:type="dxa"/>
            <w:tcBorders>
              <w:top w:val="single" w:sz="6" w:space="0" w:color="000000"/>
            </w:tcBorders>
          </w:tcPr>
          <w:p>
            <w:pPr>
              <w:pStyle w:val="TableParagraph"/>
              <w:spacing w:before="41"/>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754" w:type="dxa"/>
            <w:tcBorders>
              <w:top w:val="single" w:sz="6" w:space="0" w:color="000000"/>
            </w:tcBorders>
          </w:tcPr>
          <w:p>
            <w:pPr>
              <w:pStyle w:val="TableParagraph"/>
              <w:spacing w:before="41"/>
              <w:ind w:right="112"/>
              <w:jc w:val="right"/>
              <w:rPr>
                <w:sz w:val="18"/>
              </w:rPr>
            </w:pPr>
            <w:r>
              <w:rPr>
                <w:spacing w:val="-2"/>
                <w:w w:val="105"/>
                <w:sz w:val="18"/>
              </w:rPr>
              <w:t>70,503</w:t>
            </w:r>
          </w:p>
        </w:tc>
        <w:tc>
          <w:tcPr>
            <w:tcW w:w="219" w:type="dxa"/>
          </w:tcPr>
          <w:p>
            <w:pPr>
              <w:pStyle w:val="TableParagraph"/>
              <w:rPr>
                <w:sz w:val="18"/>
              </w:rPr>
            </w:pPr>
          </w:p>
        </w:tc>
        <w:tc>
          <w:tcPr>
            <w:tcW w:w="604" w:type="dxa"/>
            <w:tcBorders>
              <w:top w:val="single" w:sz="6" w:space="0" w:color="000000"/>
            </w:tcBorders>
          </w:tcPr>
          <w:p>
            <w:pPr>
              <w:pStyle w:val="TableParagraph"/>
              <w:spacing w:before="41"/>
              <w:ind w:right="-15"/>
              <w:jc w:val="right"/>
              <w:rPr>
                <w:sz w:val="18"/>
              </w:rPr>
            </w:pPr>
            <w:r>
              <w:rPr>
                <w:spacing w:val="-2"/>
                <w:w w:val="105"/>
                <w:sz w:val="18"/>
              </w:rPr>
              <w:t>$98,241</w:t>
            </w:r>
          </w:p>
        </w:tc>
        <w:tc>
          <w:tcPr>
            <w:tcW w:w="223" w:type="dxa"/>
          </w:tcPr>
          <w:p>
            <w:pPr>
              <w:pStyle w:val="TableParagraph"/>
              <w:rPr>
                <w:sz w:val="18"/>
              </w:rPr>
            </w:pPr>
          </w:p>
        </w:tc>
        <w:tc>
          <w:tcPr>
            <w:tcW w:w="754" w:type="dxa"/>
            <w:tcBorders>
              <w:top w:val="single" w:sz="6" w:space="0" w:color="000000"/>
            </w:tcBorders>
          </w:tcPr>
          <w:p>
            <w:pPr>
              <w:pStyle w:val="TableParagraph"/>
              <w:spacing w:before="41"/>
              <w:ind w:right="105"/>
              <w:jc w:val="right"/>
              <w:rPr>
                <w:sz w:val="18"/>
              </w:rPr>
            </w:pPr>
            <w:r>
              <w:rPr>
                <w:spacing w:val="-2"/>
                <w:w w:val="105"/>
                <w:sz w:val="18"/>
              </w:rPr>
              <w:t>45,689</w:t>
            </w:r>
          </w:p>
        </w:tc>
        <w:tc>
          <w:tcPr>
            <w:tcW w:w="223" w:type="dxa"/>
          </w:tcPr>
          <w:p>
            <w:pPr>
              <w:pStyle w:val="TableParagraph"/>
              <w:rPr>
                <w:sz w:val="18"/>
              </w:rPr>
            </w:pPr>
          </w:p>
        </w:tc>
        <w:tc>
          <w:tcPr>
            <w:tcW w:w="839" w:type="dxa"/>
            <w:tcBorders>
              <w:top w:val="single" w:sz="6" w:space="0" w:color="000000"/>
            </w:tcBorders>
          </w:tcPr>
          <w:p>
            <w:pPr>
              <w:pStyle w:val="TableParagraph"/>
              <w:spacing w:before="41"/>
              <w:ind w:left="5" w:right="-15"/>
              <w:jc w:val="center"/>
              <w:rPr>
                <w:sz w:val="18"/>
              </w:rPr>
            </w:pPr>
            <w:r>
              <w:rPr>
                <w:spacing w:val="-2"/>
                <w:sz w:val="18"/>
              </w:rPr>
              <w:t>$1,072,321</w:t>
            </w:r>
          </w:p>
        </w:tc>
      </w:tr>
      <w:tr>
        <w:trPr>
          <w:trHeight w:val="279" w:hRule="atLeast"/>
        </w:trPr>
        <w:tc>
          <w:tcPr>
            <w:tcW w:w="4655" w:type="dxa"/>
          </w:tcPr>
          <w:p>
            <w:pPr>
              <w:pStyle w:val="TableParagraph"/>
              <w:spacing w:before="34"/>
              <w:rPr>
                <w:sz w:val="18"/>
              </w:rPr>
            </w:pPr>
            <w:r>
              <w:rPr>
                <w:w w:val="105"/>
                <w:sz w:val="18"/>
              </w:rPr>
              <w:t>Shubham</w:t>
            </w:r>
            <w:r>
              <w:rPr>
                <w:spacing w:val="11"/>
                <w:w w:val="105"/>
                <w:sz w:val="18"/>
              </w:rPr>
              <w:t> </w:t>
            </w:r>
            <w:r>
              <w:rPr>
                <w:spacing w:val="-2"/>
                <w:w w:val="105"/>
                <w:sz w:val="18"/>
              </w:rPr>
              <w:t>Maheshwari</w:t>
            </w:r>
          </w:p>
        </w:tc>
        <w:tc>
          <w:tcPr>
            <w:tcW w:w="223" w:type="dxa"/>
          </w:tcPr>
          <w:p>
            <w:pPr>
              <w:pStyle w:val="TableParagraph"/>
              <w:rPr>
                <w:sz w:val="18"/>
              </w:rPr>
            </w:pPr>
          </w:p>
        </w:tc>
        <w:tc>
          <w:tcPr>
            <w:tcW w:w="754" w:type="dxa"/>
          </w:tcPr>
          <w:p>
            <w:pPr>
              <w:pStyle w:val="TableParagraph"/>
              <w:spacing w:before="34"/>
              <w:ind w:right="112"/>
              <w:jc w:val="right"/>
              <w:rPr>
                <w:sz w:val="18"/>
              </w:rPr>
            </w:pPr>
            <w:r>
              <w:rPr>
                <w:w w:val="103"/>
                <w:sz w:val="18"/>
              </w:rPr>
              <w:t>—</w:t>
            </w:r>
          </w:p>
        </w:tc>
        <w:tc>
          <w:tcPr>
            <w:tcW w:w="219" w:type="dxa"/>
          </w:tcPr>
          <w:p>
            <w:pPr>
              <w:pStyle w:val="TableParagraph"/>
              <w:rPr>
                <w:sz w:val="18"/>
              </w:rPr>
            </w:pPr>
          </w:p>
        </w:tc>
        <w:tc>
          <w:tcPr>
            <w:tcW w:w="604" w:type="dxa"/>
          </w:tcPr>
          <w:p>
            <w:pPr>
              <w:pStyle w:val="TableParagraph"/>
              <w:spacing w:before="34"/>
              <w:ind w:right="-15"/>
              <w:jc w:val="right"/>
              <w:rPr>
                <w:sz w:val="18"/>
              </w:rPr>
            </w:pPr>
            <w:r>
              <w:rPr>
                <w:w w:val="103"/>
                <w:sz w:val="18"/>
              </w:rPr>
              <w:t>—</w:t>
            </w:r>
          </w:p>
        </w:tc>
        <w:tc>
          <w:tcPr>
            <w:tcW w:w="223" w:type="dxa"/>
          </w:tcPr>
          <w:p>
            <w:pPr>
              <w:pStyle w:val="TableParagraph"/>
              <w:rPr>
                <w:sz w:val="18"/>
              </w:rPr>
            </w:pPr>
          </w:p>
        </w:tc>
        <w:tc>
          <w:tcPr>
            <w:tcW w:w="754" w:type="dxa"/>
          </w:tcPr>
          <w:p>
            <w:pPr>
              <w:pStyle w:val="TableParagraph"/>
              <w:spacing w:before="34"/>
              <w:ind w:right="105"/>
              <w:jc w:val="right"/>
              <w:rPr>
                <w:sz w:val="18"/>
              </w:rPr>
            </w:pPr>
            <w:r>
              <w:rPr>
                <w:spacing w:val="-2"/>
                <w:w w:val="105"/>
                <w:sz w:val="18"/>
              </w:rPr>
              <w:t>30,315</w:t>
            </w:r>
          </w:p>
        </w:tc>
        <w:tc>
          <w:tcPr>
            <w:tcW w:w="223" w:type="dxa"/>
          </w:tcPr>
          <w:p>
            <w:pPr>
              <w:pStyle w:val="TableParagraph"/>
              <w:rPr>
                <w:sz w:val="18"/>
              </w:rPr>
            </w:pPr>
          </w:p>
        </w:tc>
        <w:tc>
          <w:tcPr>
            <w:tcW w:w="839" w:type="dxa"/>
          </w:tcPr>
          <w:p>
            <w:pPr>
              <w:pStyle w:val="TableParagraph"/>
              <w:spacing w:before="34"/>
              <w:ind w:left="5" w:right="-15"/>
              <w:jc w:val="center"/>
              <w:rPr>
                <w:sz w:val="18"/>
              </w:rPr>
            </w:pPr>
            <w:r>
              <w:rPr>
                <w:w w:val="105"/>
                <w:sz w:val="18"/>
              </w:rPr>
              <w:t>$</w:t>
            </w:r>
            <w:r>
              <w:rPr>
                <w:spacing w:val="69"/>
                <w:w w:val="150"/>
                <w:sz w:val="18"/>
              </w:rPr>
              <w:t> </w:t>
            </w:r>
            <w:r>
              <w:rPr>
                <w:spacing w:val="-2"/>
                <w:w w:val="105"/>
                <w:sz w:val="18"/>
              </w:rPr>
              <w:t>676,328</w:t>
            </w:r>
          </w:p>
        </w:tc>
      </w:tr>
      <w:tr>
        <w:trPr>
          <w:trHeight w:val="279" w:hRule="atLeast"/>
        </w:trPr>
        <w:tc>
          <w:tcPr>
            <w:tcW w:w="4655" w:type="dxa"/>
          </w:tcPr>
          <w:p>
            <w:pPr>
              <w:pStyle w:val="TableParagraph"/>
              <w:spacing w:before="3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3" w:type="dxa"/>
          </w:tcPr>
          <w:p>
            <w:pPr>
              <w:pStyle w:val="TableParagraph"/>
              <w:rPr>
                <w:sz w:val="18"/>
              </w:rPr>
            </w:pPr>
          </w:p>
        </w:tc>
        <w:tc>
          <w:tcPr>
            <w:tcW w:w="754" w:type="dxa"/>
          </w:tcPr>
          <w:p>
            <w:pPr>
              <w:pStyle w:val="TableParagraph"/>
              <w:spacing w:before="34"/>
              <w:ind w:right="112"/>
              <w:jc w:val="right"/>
              <w:rPr>
                <w:sz w:val="18"/>
              </w:rPr>
            </w:pPr>
            <w:r>
              <w:rPr>
                <w:w w:val="103"/>
                <w:sz w:val="18"/>
              </w:rPr>
              <w:t>—</w:t>
            </w:r>
          </w:p>
        </w:tc>
        <w:tc>
          <w:tcPr>
            <w:tcW w:w="219" w:type="dxa"/>
          </w:tcPr>
          <w:p>
            <w:pPr>
              <w:pStyle w:val="TableParagraph"/>
              <w:rPr>
                <w:sz w:val="18"/>
              </w:rPr>
            </w:pPr>
          </w:p>
        </w:tc>
        <w:tc>
          <w:tcPr>
            <w:tcW w:w="604" w:type="dxa"/>
          </w:tcPr>
          <w:p>
            <w:pPr>
              <w:pStyle w:val="TableParagraph"/>
              <w:spacing w:before="34"/>
              <w:ind w:right="-15"/>
              <w:jc w:val="right"/>
              <w:rPr>
                <w:sz w:val="18"/>
              </w:rPr>
            </w:pPr>
            <w:r>
              <w:rPr>
                <w:w w:val="103"/>
                <w:sz w:val="18"/>
              </w:rPr>
              <w:t>—</w:t>
            </w:r>
          </w:p>
        </w:tc>
        <w:tc>
          <w:tcPr>
            <w:tcW w:w="223" w:type="dxa"/>
          </w:tcPr>
          <w:p>
            <w:pPr>
              <w:pStyle w:val="TableParagraph"/>
              <w:rPr>
                <w:sz w:val="18"/>
              </w:rPr>
            </w:pPr>
          </w:p>
        </w:tc>
        <w:tc>
          <w:tcPr>
            <w:tcW w:w="754" w:type="dxa"/>
          </w:tcPr>
          <w:p>
            <w:pPr>
              <w:pStyle w:val="TableParagraph"/>
              <w:spacing w:before="34"/>
              <w:ind w:right="105"/>
              <w:jc w:val="right"/>
              <w:rPr>
                <w:sz w:val="18"/>
              </w:rPr>
            </w:pPr>
            <w:r>
              <w:rPr>
                <w:spacing w:val="-2"/>
                <w:w w:val="105"/>
                <w:sz w:val="18"/>
              </w:rPr>
              <w:t>7,587</w:t>
            </w:r>
          </w:p>
        </w:tc>
        <w:tc>
          <w:tcPr>
            <w:tcW w:w="223" w:type="dxa"/>
          </w:tcPr>
          <w:p>
            <w:pPr>
              <w:pStyle w:val="TableParagraph"/>
              <w:rPr>
                <w:sz w:val="18"/>
              </w:rPr>
            </w:pPr>
          </w:p>
        </w:tc>
        <w:tc>
          <w:tcPr>
            <w:tcW w:w="839" w:type="dxa"/>
          </w:tcPr>
          <w:p>
            <w:pPr>
              <w:pStyle w:val="TableParagraph"/>
              <w:spacing w:before="34"/>
              <w:ind w:left="5" w:right="-15"/>
              <w:jc w:val="center"/>
              <w:rPr>
                <w:sz w:val="18"/>
              </w:rPr>
            </w:pPr>
            <w:r>
              <w:rPr>
                <w:w w:val="105"/>
                <w:sz w:val="18"/>
              </w:rPr>
              <w:t>$</w:t>
            </w:r>
            <w:r>
              <w:rPr>
                <w:spacing w:val="69"/>
                <w:w w:val="150"/>
                <w:sz w:val="18"/>
              </w:rPr>
              <w:t> </w:t>
            </w:r>
            <w:r>
              <w:rPr>
                <w:spacing w:val="-2"/>
                <w:w w:val="105"/>
                <w:sz w:val="18"/>
              </w:rPr>
              <w:t>178,067</w:t>
            </w:r>
          </w:p>
        </w:tc>
      </w:tr>
      <w:tr>
        <w:trPr>
          <w:trHeight w:val="279" w:hRule="atLeast"/>
        </w:trPr>
        <w:tc>
          <w:tcPr>
            <w:tcW w:w="4655" w:type="dxa"/>
          </w:tcPr>
          <w:p>
            <w:pPr>
              <w:pStyle w:val="TableParagraph"/>
              <w:spacing w:before="34"/>
              <w:rPr>
                <w:sz w:val="18"/>
              </w:rPr>
            </w:pPr>
            <w:r>
              <w:rPr>
                <w:w w:val="105"/>
                <w:sz w:val="18"/>
              </w:rPr>
              <w:t>Brian</w:t>
            </w:r>
            <w:r>
              <w:rPr>
                <w:spacing w:val="-5"/>
                <w:w w:val="105"/>
                <w:sz w:val="18"/>
              </w:rPr>
              <w:t> </w:t>
            </w:r>
            <w:r>
              <w:rPr>
                <w:w w:val="105"/>
                <w:sz w:val="18"/>
              </w:rPr>
              <w:t>W. </w:t>
            </w:r>
            <w:r>
              <w:rPr>
                <w:spacing w:val="-2"/>
                <w:w w:val="105"/>
                <w:sz w:val="18"/>
              </w:rPr>
              <w:t>Giambattista</w:t>
            </w:r>
          </w:p>
        </w:tc>
        <w:tc>
          <w:tcPr>
            <w:tcW w:w="223" w:type="dxa"/>
          </w:tcPr>
          <w:p>
            <w:pPr>
              <w:pStyle w:val="TableParagraph"/>
              <w:rPr>
                <w:sz w:val="18"/>
              </w:rPr>
            </w:pPr>
          </w:p>
        </w:tc>
        <w:tc>
          <w:tcPr>
            <w:tcW w:w="754" w:type="dxa"/>
          </w:tcPr>
          <w:p>
            <w:pPr>
              <w:pStyle w:val="TableParagraph"/>
              <w:spacing w:before="34"/>
              <w:ind w:right="112"/>
              <w:jc w:val="right"/>
              <w:rPr>
                <w:sz w:val="18"/>
              </w:rPr>
            </w:pPr>
            <w:r>
              <w:rPr>
                <w:w w:val="103"/>
                <w:sz w:val="18"/>
              </w:rPr>
              <w:t>—</w:t>
            </w:r>
          </w:p>
        </w:tc>
        <w:tc>
          <w:tcPr>
            <w:tcW w:w="219" w:type="dxa"/>
          </w:tcPr>
          <w:p>
            <w:pPr>
              <w:pStyle w:val="TableParagraph"/>
              <w:rPr>
                <w:sz w:val="18"/>
              </w:rPr>
            </w:pPr>
          </w:p>
        </w:tc>
        <w:tc>
          <w:tcPr>
            <w:tcW w:w="604" w:type="dxa"/>
          </w:tcPr>
          <w:p>
            <w:pPr>
              <w:pStyle w:val="TableParagraph"/>
              <w:spacing w:before="34"/>
              <w:ind w:right="-15"/>
              <w:jc w:val="right"/>
              <w:rPr>
                <w:sz w:val="18"/>
              </w:rPr>
            </w:pPr>
            <w:r>
              <w:rPr>
                <w:w w:val="103"/>
                <w:sz w:val="18"/>
              </w:rPr>
              <w:t>—</w:t>
            </w:r>
          </w:p>
        </w:tc>
        <w:tc>
          <w:tcPr>
            <w:tcW w:w="223" w:type="dxa"/>
          </w:tcPr>
          <w:p>
            <w:pPr>
              <w:pStyle w:val="TableParagraph"/>
              <w:rPr>
                <w:sz w:val="18"/>
              </w:rPr>
            </w:pPr>
          </w:p>
        </w:tc>
        <w:tc>
          <w:tcPr>
            <w:tcW w:w="754" w:type="dxa"/>
          </w:tcPr>
          <w:p>
            <w:pPr>
              <w:pStyle w:val="TableParagraph"/>
              <w:spacing w:before="34"/>
              <w:ind w:right="105"/>
              <w:jc w:val="right"/>
              <w:rPr>
                <w:sz w:val="18"/>
              </w:rPr>
            </w:pPr>
            <w:r>
              <w:rPr>
                <w:spacing w:val="-2"/>
                <w:w w:val="105"/>
                <w:sz w:val="18"/>
              </w:rPr>
              <w:t>7,757</w:t>
            </w:r>
          </w:p>
        </w:tc>
        <w:tc>
          <w:tcPr>
            <w:tcW w:w="223" w:type="dxa"/>
          </w:tcPr>
          <w:p>
            <w:pPr>
              <w:pStyle w:val="TableParagraph"/>
              <w:rPr>
                <w:sz w:val="18"/>
              </w:rPr>
            </w:pPr>
          </w:p>
        </w:tc>
        <w:tc>
          <w:tcPr>
            <w:tcW w:w="839" w:type="dxa"/>
          </w:tcPr>
          <w:p>
            <w:pPr>
              <w:pStyle w:val="TableParagraph"/>
              <w:spacing w:before="34"/>
              <w:ind w:left="5" w:right="-15"/>
              <w:jc w:val="center"/>
              <w:rPr>
                <w:sz w:val="18"/>
              </w:rPr>
            </w:pPr>
            <w:r>
              <w:rPr>
                <w:w w:val="105"/>
                <w:sz w:val="18"/>
              </w:rPr>
              <w:t>$</w:t>
            </w:r>
            <w:r>
              <w:rPr>
                <w:spacing w:val="69"/>
                <w:w w:val="150"/>
                <w:sz w:val="18"/>
              </w:rPr>
              <w:t> </w:t>
            </w:r>
            <w:r>
              <w:rPr>
                <w:spacing w:val="-2"/>
                <w:w w:val="105"/>
                <w:sz w:val="18"/>
              </w:rPr>
              <w:t>182,057</w:t>
            </w:r>
          </w:p>
        </w:tc>
      </w:tr>
      <w:tr>
        <w:trPr>
          <w:trHeight w:val="242" w:hRule="atLeast"/>
        </w:trPr>
        <w:tc>
          <w:tcPr>
            <w:tcW w:w="4655" w:type="dxa"/>
          </w:tcPr>
          <w:p>
            <w:pPr>
              <w:pStyle w:val="TableParagraph"/>
              <w:spacing w:line="188" w:lineRule="exact" w:before="3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3" w:type="dxa"/>
          </w:tcPr>
          <w:p>
            <w:pPr>
              <w:pStyle w:val="TableParagraph"/>
              <w:rPr>
                <w:sz w:val="16"/>
              </w:rPr>
            </w:pPr>
          </w:p>
        </w:tc>
        <w:tc>
          <w:tcPr>
            <w:tcW w:w="754" w:type="dxa"/>
          </w:tcPr>
          <w:p>
            <w:pPr>
              <w:pStyle w:val="TableParagraph"/>
              <w:spacing w:line="188" w:lineRule="exact" w:before="34"/>
              <w:ind w:right="112"/>
              <w:jc w:val="right"/>
              <w:rPr>
                <w:sz w:val="18"/>
              </w:rPr>
            </w:pPr>
            <w:r>
              <w:rPr>
                <w:w w:val="103"/>
                <w:sz w:val="18"/>
              </w:rPr>
              <w:t>—</w:t>
            </w:r>
          </w:p>
        </w:tc>
        <w:tc>
          <w:tcPr>
            <w:tcW w:w="219" w:type="dxa"/>
          </w:tcPr>
          <w:p>
            <w:pPr>
              <w:pStyle w:val="TableParagraph"/>
              <w:rPr>
                <w:sz w:val="16"/>
              </w:rPr>
            </w:pPr>
          </w:p>
        </w:tc>
        <w:tc>
          <w:tcPr>
            <w:tcW w:w="604" w:type="dxa"/>
          </w:tcPr>
          <w:p>
            <w:pPr>
              <w:pStyle w:val="TableParagraph"/>
              <w:spacing w:line="188" w:lineRule="exact" w:before="34"/>
              <w:ind w:right="-15"/>
              <w:jc w:val="right"/>
              <w:rPr>
                <w:sz w:val="18"/>
              </w:rPr>
            </w:pPr>
            <w:r>
              <w:rPr>
                <w:w w:val="103"/>
                <w:sz w:val="18"/>
              </w:rPr>
              <w:t>—</w:t>
            </w:r>
          </w:p>
        </w:tc>
        <w:tc>
          <w:tcPr>
            <w:tcW w:w="223" w:type="dxa"/>
          </w:tcPr>
          <w:p>
            <w:pPr>
              <w:pStyle w:val="TableParagraph"/>
              <w:rPr>
                <w:sz w:val="16"/>
              </w:rPr>
            </w:pPr>
          </w:p>
        </w:tc>
        <w:tc>
          <w:tcPr>
            <w:tcW w:w="754" w:type="dxa"/>
          </w:tcPr>
          <w:p>
            <w:pPr>
              <w:pStyle w:val="TableParagraph"/>
              <w:spacing w:line="188" w:lineRule="exact" w:before="34"/>
              <w:ind w:right="105"/>
              <w:jc w:val="right"/>
              <w:rPr>
                <w:sz w:val="18"/>
              </w:rPr>
            </w:pPr>
            <w:r>
              <w:rPr>
                <w:spacing w:val="-2"/>
                <w:w w:val="105"/>
                <w:sz w:val="18"/>
              </w:rPr>
              <w:t>8,395</w:t>
            </w:r>
          </w:p>
        </w:tc>
        <w:tc>
          <w:tcPr>
            <w:tcW w:w="223" w:type="dxa"/>
          </w:tcPr>
          <w:p>
            <w:pPr>
              <w:pStyle w:val="TableParagraph"/>
              <w:rPr>
                <w:sz w:val="16"/>
              </w:rPr>
            </w:pPr>
          </w:p>
        </w:tc>
        <w:tc>
          <w:tcPr>
            <w:tcW w:w="839" w:type="dxa"/>
          </w:tcPr>
          <w:p>
            <w:pPr>
              <w:pStyle w:val="TableParagraph"/>
              <w:spacing w:line="188" w:lineRule="exact" w:before="34"/>
              <w:ind w:left="5" w:right="-15"/>
              <w:jc w:val="center"/>
              <w:rPr>
                <w:sz w:val="18"/>
              </w:rPr>
            </w:pPr>
            <w:r>
              <w:rPr>
                <w:w w:val="105"/>
                <w:sz w:val="18"/>
              </w:rPr>
              <w:t>$</w:t>
            </w:r>
            <w:r>
              <w:rPr>
                <w:spacing w:val="69"/>
                <w:w w:val="150"/>
                <w:sz w:val="18"/>
              </w:rPr>
              <w:t> </w:t>
            </w:r>
            <w:r>
              <w:rPr>
                <w:spacing w:val="-2"/>
                <w:w w:val="105"/>
                <w:sz w:val="18"/>
              </w:rPr>
              <w:t>195,131</w:t>
            </w:r>
          </w:p>
        </w:tc>
      </w:tr>
    </w:tbl>
    <w:p>
      <w:pPr>
        <w:pStyle w:val="BodyText"/>
        <w:spacing w:before="5"/>
        <w:rPr>
          <w:b/>
          <w:sz w:val="20"/>
        </w:rPr>
      </w:pPr>
    </w:p>
    <w:p>
      <w:pPr>
        <w:pStyle w:val="Heading2"/>
      </w:pPr>
      <w:r>
        <w:rPr>
          <w:spacing w:val="-2"/>
        </w:rPr>
        <w:t>Nonqualified</w:t>
      </w:r>
      <w:r>
        <w:rPr>
          <w:spacing w:val="1"/>
        </w:rPr>
        <w:t> </w:t>
      </w:r>
      <w:r>
        <w:rPr>
          <w:spacing w:val="-2"/>
        </w:rPr>
        <w:t>Deferred</w:t>
      </w:r>
      <w:r>
        <w:rPr>
          <w:spacing w:val="1"/>
        </w:rPr>
        <w:t> </w:t>
      </w:r>
      <w:r>
        <w:rPr>
          <w:spacing w:val="-2"/>
        </w:rPr>
        <w:t>Compensation</w:t>
      </w:r>
    </w:p>
    <w:p>
      <w:pPr>
        <w:pStyle w:val="BodyText"/>
        <w:spacing w:line="259" w:lineRule="auto" w:before="170"/>
        <w:ind w:left="1400" w:right="1551" w:firstLine="372"/>
      </w:pPr>
      <w:r>
        <w:rPr>
          <w:w w:val="105"/>
        </w:rPr>
        <w:t>The following table sets forth contributions, earnings and distributions during fiscal year 2022, and</w:t>
      </w:r>
      <w:r>
        <w:rPr>
          <w:spacing w:val="40"/>
          <w:w w:val="105"/>
        </w:rPr>
        <w:t> </w:t>
      </w:r>
      <w:r>
        <w:rPr>
          <w:w w:val="105"/>
        </w:rPr>
        <w:t>account balances as of September 30, 2022 for each of the NEOs under (i) our nonqualified DCP and (ii) the</w:t>
      </w:r>
      <w:r>
        <w:rPr>
          <w:spacing w:val="40"/>
          <w:w w:val="105"/>
        </w:rPr>
        <w:t> </w:t>
      </w:r>
      <w:r>
        <w:rPr>
          <w:w w:val="105"/>
        </w:rPr>
        <w:t>now frozen deferred compensation plan in which they participated at Varian prior to the Spin-off:</w:t>
      </w:r>
    </w:p>
    <w:p>
      <w:pPr>
        <w:pStyle w:val="BodyText"/>
        <w:spacing w:before="3"/>
        <w:rPr>
          <w:sz w:val="15"/>
        </w:rPr>
      </w:pPr>
    </w:p>
    <w:tbl>
      <w:tblPr>
        <w:tblW w:w="0" w:type="auto"/>
        <w:jc w:val="left"/>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3"/>
        <w:gridCol w:w="224"/>
        <w:gridCol w:w="1007"/>
        <w:gridCol w:w="210"/>
        <w:gridCol w:w="867"/>
        <w:gridCol w:w="218"/>
        <w:gridCol w:w="858"/>
        <w:gridCol w:w="223"/>
        <w:gridCol w:w="824"/>
        <w:gridCol w:w="223"/>
        <w:gridCol w:w="868"/>
        <w:gridCol w:w="193"/>
        <w:gridCol w:w="745"/>
      </w:tblGrid>
      <w:tr>
        <w:trPr>
          <w:trHeight w:val="719" w:hRule="atLeast"/>
        </w:trPr>
        <w:tc>
          <w:tcPr>
            <w:tcW w:w="2133" w:type="dxa"/>
            <w:tcBorders>
              <w:bottom w:val="single" w:sz="6" w:space="0" w:color="000000"/>
            </w:tcBorders>
          </w:tcPr>
          <w:p>
            <w:pPr>
              <w:pStyle w:val="TableParagraph"/>
              <w:rPr>
                <w:sz w:val="16"/>
              </w:rPr>
            </w:pPr>
          </w:p>
          <w:p>
            <w:pPr>
              <w:pStyle w:val="TableParagraph"/>
              <w:rPr>
                <w:sz w:val="16"/>
              </w:rPr>
            </w:pPr>
          </w:p>
          <w:p>
            <w:pPr>
              <w:pStyle w:val="TableParagraph"/>
              <w:spacing w:before="128"/>
              <w:ind w:left="50"/>
              <w:rPr>
                <w:b/>
                <w:sz w:val="15"/>
              </w:rPr>
            </w:pPr>
            <w:r>
              <w:rPr>
                <w:b/>
                <w:spacing w:val="-4"/>
                <w:sz w:val="15"/>
              </w:rPr>
              <w:t>Name</w:t>
            </w:r>
          </w:p>
        </w:tc>
        <w:tc>
          <w:tcPr>
            <w:tcW w:w="224" w:type="dxa"/>
          </w:tcPr>
          <w:p>
            <w:pPr>
              <w:pStyle w:val="TableParagraph"/>
              <w:rPr>
                <w:sz w:val="18"/>
              </w:rPr>
            </w:pPr>
          </w:p>
        </w:tc>
        <w:tc>
          <w:tcPr>
            <w:tcW w:w="1007" w:type="dxa"/>
            <w:tcBorders>
              <w:bottom w:val="single" w:sz="6" w:space="0" w:color="000000"/>
            </w:tcBorders>
          </w:tcPr>
          <w:p>
            <w:pPr>
              <w:pStyle w:val="TableParagraph"/>
              <w:rPr>
                <w:sz w:val="16"/>
              </w:rPr>
            </w:pPr>
          </w:p>
          <w:p>
            <w:pPr>
              <w:pStyle w:val="TableParagraph"/>
              <w:rPr>
                <w:sz w:val="16"/>
              </w:rPr>
            </w:pPr>
          </w:p>
          <w:p>
            <w:pPr>
              <w:pStyle w:val="TableParagraph"/>
              <w:spacing w:before="128"/>
              <w:ind w:left="360"/>
              <w:rPr>
                <w:b/>
                <w:sz w:val="15"/>
              </w:rPr>
            </w:pPr>
            <w:r>
              <w:rPr>
                <w:b/>
                <w:spacing w:val="-4"/>
                <w:sz w:val="15"/>
              </w:rPr>
              <w:t>Plan</w:t>
            </w:r>
          </w:p>
        </w:tc>
        <w:tc>
          <w:tcPr>
            <w:tcW w:w="210" w:type="dxa"/>
          </w:tcPr>
          <w:p>
            <w:pPr>
              <w:pStyle w:val="TableParagraph"/>
              <w:rPr>
                <w:sz w:val="18"/>
              </w:rPr>
            </w:pPr>
          </w:p>
        </w:tc>
        <w:tc>
          <w:tcPr>
            <w:tcW w:w="867" w:type="dxa"/>
            <w:tcBorders>
              <w:bottom w:val="single" w:sz="6" w:space="0" w:color="000000"/>
            </w:tcBorders>
          </w:tcPr>
          <w:p>
            <w:pPr>
              <w:pStyle w:val="TableParagraph"/>
              <w:spacing w:line="232" w:lineRule="auto"/>
              <w:ind w:left="5" w:hanging="1"/>
              <w:jc w:val="center"/>
              <w:rPr>
                <w:b/>
                <w:sz w:val="15"/>
              </w:rPr>
            </w:pPr>
            <w:r>
              <w:rPr>
                <w:b/>
                <w:spacing w:val="-2"/>
                <w:sz w:val="15"/>
              </w:rPr>
              <w:t>Executive</w:t>
            </w:r>
            <w:r>
              <w:rPr>
                <w:b/>
                <w:spacing w:val="40"/>
                <w:sz w:val="15"/>
              </w:rPr>
              <w:t> </w:t>
            </w:r>
            <w:r>
              <w:rPr>
                <w:b/>
                <w:spacing w:val="-4"/>
                <w:sz w:val="15"/>
              </w:rPr>
              <w:t>Contributions</w:t>
            </w:r>
            <w:r>
              <w:rPr>
                <w:b/>
                <w:spacing w:val="40"/>
                <w:sz w:val="15"/>
              </w:rPr>
              <w:t> </w:t>
            </w:r>
            <w:r>
              <w:rPr>
                <w:b/>
                <w:sz w:val="15"/>
              </w:rPr>
              <w:t>in</w:t>
            </w:r>
            <w:r>
              <w:rPr>
                <w:b/>
                <w:spacing w:val="-10"/>
                <w:sz w:val="15"/>
              </w:rPr>
              <w:t> </w:t>
            </w:r>
            <w:r>
              <w:rPr>
                <w:b/>
                <w:sz w:val="15"/>
              </w:rPr>
              <w:t>Last</w:t>
            </w:r>
            <w:r>
              <w:rPr>
                <w:b/>
                <w:spacing w:val="-9"/>
                <w:sz w:val="15"/>
              </w:rPr>
              <w:t> </w:t>
            </w:r>
            <w:r>
              <w:rPr>
                <w:b/>
                <w:sz w:val="15"/>
              </w:rPr>
              <w:t>Fiscal</w:t>
            </w:r>
            <w:r>
              <w:rPr>
                <w:b/>
                <w:spacing w:val="40"/>
                <w:sz w:val="15"/>
              </w:rPr>
              <w:t> </w:t>
            </w:r>
            <w:r>
              <w:rPr>
                <w:b/>
                <w:spacing w:val="-2"/>
                <w:sz w:val="15"/>
              </w:rPr>
              <w:t>Year</w:t>
            </w:r>
            <w:r>
              <w:rPr>
                <w:b/>
                <w:spacing w:val="-2"/>
                <w:sz w:val="15"/>
                <w:vertAlign w:val="superscript"/>
              </w:rPr>
              <w:t>(1)</w:t>
            </w:r>
          </w:p>
        </w:tc>
        <w:tc>
          <w:tcPr>
            <w:tcW w:w="218" w:type="dxa"/>
          </w:tcPr>
          <w:p>
            <w:pPr>
              <w:pStyle w:val="TableParagraph"/>
              <w:rPr>
                <w:sz w:val="18"/>
              </w:rPr>
            </w:pPr>
          </w:p>
        </w:tc>
        <w:tc>
          <w:tcPr>
            <w:tcW w:w="858" w:type="dxa"/>
            <w:tcBorders>
              <w:bottom w:val="single" w:sz="6" w:space="0" w:color="000000"/>
            </w:tcBorders>
          </w:tcPr>
          <w:p>
            <w:pPr>
              <w:pStyle w:val="TableParagraph"/>
              <w:spacing w:line="232" w:lineRule="auto"/>
              <w:ind w:left="-2" w:hanging="1"/>
              <w:jc w:val="center"/>
              <w:rPr>
                <w:b/>
                <w:sz w:val="15"/>
              </w:rPr>
            </w:pPr>
            <w:r>
              <w:rPr>
                <w:b/>
                <w:spacing w:val="-2"/>
                <w:sz w:val="15"/>
              </w:rPr>
              <w:t>Registrant</w:t>
            </w:r>
            <w:r>
              <w:rPr>
                <w:b/>
                <w:spacing w:val="40"/>
                <w:sz w:val="15"/>
              </w:rPr>
              <w:t> </w:t>
            </w:r>
            <w:r>
              <w:rPr>
                <w:b/>
                <w:spacing w:val="-4"/>
                <w:sz w:val="15"/>
              </w:rPr>
              <w:t>Contributions</w:t>
            </w:r>
            <w:r>
              <w:rPr>
                <w:b/>
                <w:spacing w:val="40"/>
                <w:sz w:val="15"/>
              </w:rPr>
              <w:t> </w:t>
            </w:r>
            <w:r>
              <w:rPr>
                <w:b/>
                <w:sz w:val="15"/>
              </w:rPr>
              <w:t>in</w:t>
            </w:r>
            <w:r>
              <w:rPr>
                <w:b/>
                <w:spacing w:val="-10"/>
                <w:sz w:val="15"/>
              </w:rPr>
              <w:t> </w:t>
            </w:r>
            <w:r>
              <w:rPr>
                <w:b/>
                <w:sz w:val="15"/>
              </w:rPr>
              <w:t>Last</w:t>
            </w:r>
            <w:r>
              <w:rPr>
                <w:b/>
                <w:spacing w:val="-9"/>
                <w:sz w:val="15"/>
              </w:rPr>
              <w:t> </w:t>
            </w:r>
            <w:r>
              <w:rPr>
                <w:b/>
                <w:sz w:val="15"/>
              </w:rPr>
              <w:t>Fiscal</w:t>
            </w:r>
            <w:r>
              <w:rPr>
                <w:b/>
                <w:spacing w:val="40"/>
                <w:sz w:val="15"/>
              </w:rPr>
              <w:t> </w:t>
            </w:r>
            <w:r>
              <w:rPr>
                <w:b/>
                <w:spacing w:val="-2"/>
                <w:sz w:val="15"/>
              </w:rPr>
              <w:t>Year</w:t>
            </w:r>
            <w:r>
              <w:rPr>
                <w:b/>
                <w:spacing w:val="-2"/>
                <w:sz w:val="15"/>
                <w:vertAlign w:val="superscript"/>
              </w:rPr>
              <w:t>(2)</w:t>
            </w:r>
          </w:p>
        </w:tc>
        <w:tc>
          <w:tcPr>
            <w:tcW w:w="223" w:type="dxa"/>
          </w:tcPr>
          <w:p>
            <w:pPr>
              <w:pStyle w:val="TableParagraph"/>
              <w:rPr>
                <w:sz w:val="18"/>
              </w:rPr>
            </w:pPr>
          </w:p>
        </w:tc>
        <w:tc>
          <w:tcPr>
            <w:tcW w:w="824" w:type="dxa"/>
            <w:tcBorders>
              <w:bottom w:val="single" w:sz="6" w:space="0" w:color="000000"/>
            </w:tcBorders>
          </w:tcPr>
          <w:p>
            <w:pPr>
              <w:pStyle w:val="TableParagraph"/>
              <w:spacing w:line="232" w:lineRule="auto"/>
              <w:ind w:left="134" w:hanging="35"/>
              <w:rPr>
                <w:b/>
                <w:sz w:val="15"/>
              </w:rPr>
            </w:pPr>
            <w:r>
              <w:rPr>
                <w:b/>
                <w:spacing w:val="-6"/>
                <w:sz w:val="15"/>
              </w:rPr>
              <w:t>Aggregate</w:t>
            </w:r>
            <w:r>
              <w:rPr>
                <w:b/>
                <w:spacing w:val="40"/>
                <w:sz w:val="15"/>
              </w:rPr>
              <w:t> </w:t>
            </w:r>
            <w:r>
              <w:rPr>
                <w:b/>
                <w:spacing w:val="-2"/>
                <w:sz w:val="15"/>
              </w:rPr>
              <w:t>Earnings</w:t>
            </w:r>
          </w:p>
          <w:p>
            <w:pPr>
              <w:pStyle w:val="TableParagraph"/>
              <w:spacing w:line="232" w:lineRule="auto"/>
              <w:ind w:left="218" w:hanging="212"/>
              <w:rPr>
                <w:b/>
                <w:sz w:val="15"/>
              </w:rPr>
            </w:pPr>
            <w:r>
              <w:rPr>
                <w:b/>
                <w:spacing w:val="-4"/>
                <w:sz w:val="15"/>
              </w:rPr>
              <w:t>in</w:t>
            </w:r>
            <w:r>
              <w:rPr>
                <w:b/>
                <w:spacing w:val="-9"/>
                <w:sz w:val="15"/>
              </w:rPr>
              <w:t> </w:t>
            </w:r>
            <w:r>
              <w:rPr>
                <w:b/>
                <w:spacing w:val="-4"/>
                <w:sz w:val="15"/>
              </w:rPr>
              <w:t>Last</w:t>
            </w:r>
            <w:r>
              <w:rPr>
                <w:b/>
                <w:spacing w:val="-7"/>
                <w:sz w:val="15"/>
              </w:rPr>
              <w:t> </w:t>
            </w:r>
            <w:r>
              <w:rPr>
                <w:b/>
                <w:spacing w:val="-4"/>
                <w:sz w:val="15"/>
              </w:rPr>
              <w:t>Fiscal</w:t>
            </w:r>
            <w:r>
              <w:rPr>
                <w:b/>
                <w:spacing w:val="40"/>
                <w:sz w:val="15"/>
              </w:rPr>
              <w:t> </w:t>
            </w:r>
            <w:r>
              <w:rPr>
                <w:b/>
                <w:spacing w:val="-2"/>
                <w:sz w:val="15"/>
              </w:rPr>
              <w:t>Year</w:t>
            </w:r>
            <w:r>
              <w:rPr>
                <w:b/>
                <w:spacing w:val="-2"/>
                <w:sz w:val="15"/>
                <w:vertAlign w:val="superscript"/>
              </w:rPr>
              <w:t>(3)</w:t>
            </w:r>
          </w:p>
        </w:tc>
        <w:tc>
          <w:tcPr>
            <w:tcW w:w="223" w:type="dxa"/>
          </w:tcPr>
          <w:p>
            <w:pPr>
              <w:pStyle w:val="TableParagraph"/>
              <w:rPr>
                <w:sz w:val="18"/>
              </w:rPr>
            </w:pPr>
          </w:p>
        </w:tc>
        <w:tc>
          <w:tcPr>
            <w:tcW w:w="868" w:type="dxa"/>
            <w:tcBorders>
              <w:bottom w:val="single" w:sz="6" w:space="0" w:color="000000"/>
            </w:tcBorders>
          </w:tcPr>
          <w:p>
            <w:pPr>
              <w:pStyle w:val="TableParagraph"/>
              <w:spacing w:before="3"/>
              <w:rPr>
                <w:sz w:val="14"/>
              </w:rPr>
            </w:pPr>
          </w:p>
          <w:p>
            <w:pPr>
              <w:pStyle w:val="TableParagraph"/>
              <w:spacing w:line="232" w:lineRule="auto"/>
              <w:ind w:left="5" w:right="-15" w:firstLine="103"/>
              <w:rPr>
                <w:b/>
                <w:sz w:val="15"/>
              </w:rPr>
            </w:pPr>
            <w:r>
              <w:rPr>
                <w:b/>
                <w:spacing w:val="-2"/>
                <w:sz w:val="15"/>
              </w:rPr>
              <w:t>Aggregate</w:t>
            </w:r>
            <w:r>
              <w:rPr>
                <w:b/>
                <w:spacing w:val="40"/>
                <w:sz w:val="15"/>
              </w:rPr>
              <w:t> </w:t>
            </w:r>
            <w:r>
              <w:rPr>
                <w:b/>
                <w:spacing w:val="-6"/>
                <w:sz w:val="15"/>
              </w:rPr>
              <w:t>Withdrawals/</w:t>
            </w:r>
            <w:r>
              <w:rPr>
                <w:b/>
                <w:spacing w:val="40"/>
                <w:sz w:val="15"/>
              </w:rPr>
              <w:t> </w:t>
            </w:r>
            <w:r>
              <w:rPr>
                <w:b/>
                <w:spacing w:val="-2"/>
                <w:sz w:val="15"/>
              </w:rPr>
              <w:t>Distributions</w:t>
            </w:r>
          </w:p>
        </w:tc>
        <w:tc>
          <w:tcPr>
            <w:tcW w:w="193" w:type="dxa"/>
          </w:tcPr>
          <w:p>
            <w:pPr>
              <w:pStyle w:val="TableParagraph"/>
              <w:rPr>
                <w:sz w:val="18"/>
              </w:rPr>
            </w:pPr>
          </w:p>
        </w:tc>
        <w:tc>
          <w:tcPr>
            <w:tcW w:w="745" w:type="dxa"/>
            <w:tcBorders>
              <w:bottom w:val="single" w:sz="6" w:space="0" w:color="000000"/>
            </w:tcBorders>
          </w:tcPr>
          <w:p>
            <w:pPr>
              <w:pStyle w:val="TableParagraph"/>
              <w:spacing w:line="232" w:lineRule="auto"/>
              <w:ind w:left="11" w:right="53" w:firstLine="25"/>
              <w:jc w:val="both"/>
              <w:rPr>
                <w:b/>
                <w:sz w:val="15"/>
              </w:rPr>
            </w:pPr>
            <w:r>
              <w:rPr>
                <w:b/>
                <w:spacing w:val="-2"/>
                <w:sz w:val="15"/>
              </w:rPr>
              <w:t>Aggregate</w:t>
            </w:r>
            <w:r>
              <w:rPr>
                <w:b/>
                <w:spacing w:val="40"/>
                <w:sz w:val="15"/>
              </w:rPr>
              <w:t> </w:t>
            </w:r>
            <w:r>
              <w:rPr>
                <w:b/>
                <w:sz w:val="15"/>
              </w:rPr>
              <w:t>Balance</w:t>
            </w:r>
            <w:r>
              <w:rPr>
                <w:b/>
                <w:spacing w:val="-10"/>
                <w:sz w:val="15"/>
              </w:rPr>
              <w:t> </w:t>
            </w:r>
            <w:r>
              <w:rPr>
                <w:b/>
                <w:sz w:val="15"/>
              </w:rPr>
              <w:t>at</w:t>
            </w:r>
            <w:r>
              <w:rPr>
                <w:b/>
                <w:spacing w:val="40"/>
                <w:sz w:val="15"/>
              </w:rPr>
              <w:t> </w:t>
            </w:r>
            <w:r>
              <w:rPr>
                <w:b/>
                <w:spacing w:val="-2"/>
                <w:sz w:val="15"/>
              </w:rPr>
              <w:t>Last</w:t>
            </w:r>
            <w:r>
              <w:rPr>
                <w:b/>
                <w:spacing w:val="-8"/>
                <w:sz w:val="15"/>
              </w:rPr>
              <w:t> </w:t>
            </w:r>
            <w:r>
              <w:rPr>
                <w:b/>
                <w:spacing w:val="-2"/>
                <w:sz w:val="15"/>
              </w:rPr>
              <w:t>Fiscal</w:t>
            </w:r>
            <w:r>
              <w:rPr>
                <w:b/>
                <w:spacing w:val="40"/>
                <w:sz w:val="15"/>
              </w:rPr>
              <w:t> </w:t>
            </w:r>
            <w:r>
              <w:rPr>
                <w:b/>
                <w:spacing w:val="-9"/>
                <w:sz w:val="15"/>
              </w:rPr>
              <w:t>Year</w:t>
            </w:r>
            <w:r>
              <w:rPr>
                <w:b/>
                <w:spacing w:val="-3"/>
                <w:sz w:val="15"/>
              </w:rPr>
              <w:t> </w:t>
            </w:r>
            <w:r>
              <w:rPr>
                <w:b/>
                <w:spacing w:val="-6"/>
                <w:sz w:val="15"/>
              </w:rPr>
              <w:t>End</w:t>
            </w:r>
            <w:r>
              <w:rPr>
                <w:b/>
                <w:spacing w:val="-6"/>
                <w:sz w:val="15"/>
                <w:vertAlign w:val="superscript"/>
              </w:rPr>
              <w:t>(4)</w:t>
            </w:r>
          </w:p>
        </w:tc>
      </w:tr>
      <w:tr>
        <w:trPr>
          <w:trHeight w:val="249" w:hRule="atLeast"/>
        </w:trPr>
        <w:tc>
          <w:tcPr>
            <w:tcW w:w="2133" w:type="dxa"/>
            <w:tcBorders>
              <w:top w:val="single" w:sz="6" w:space="0" w:color="000000"/>
            </w:tcBorders>
          </w:tcPr>
          <w:p>
            <w:pPr>
              <w:pStyle w:val="TableParagraph"/>
              <w:spacing w:line="188" w:lineRule="exact" w:before="41"/>
              <w:ind w:left="50"/>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4" w:type="dxa"/>
          </w:tcPr>
          <w:p>
            <w:pPr>
              <w:pStyle w:val="TableParagraph"/>
              <w:rPr>
                <w:sz w:val="18"/>
              </w:rPr>
            </w:pPr>
          </w:p>
        </w:tc>
        <w:tc>
          <w:tcPr>
            <w:tcW w:w="1007" w:type="dxa"/>
            <w:tcBorders>
              <w:top w:val="single" w:sz="6" w:space="0" w:color="000000"/>
            </w:tcBorders>
          </w:tcPr>
          <w:p>
            <w:pPr>
              <w:pStyle w:val="TableParagraph"/>
              <w:spacing w:line="188" w:lineRule="exact" w:before="41"/>
              <w:ind w:left="312"/>
              <w:rPr>
                <w:sz w:val="18"/>
              </w:rPr>
            </w:pPr>
            <w:r>
              <w:rPr>
                <w:spacing w:val="-5"/>
                <w:w w:val="105"/>
                <w:sz w:val="18"/>
              </w:rPr>
              <w:t>DCP</w:t>
            </w:r>
          </w:p>
        </w:tc>
        <w:tc>
          <w:tcPr>
            <w:tcW w:w="210" w:type="dxa"/>
          </w:tcPr>
          <w:p>
            <w:pPr>
              <w:pStyle w:val="TableParagraph"/>
              <w:rPr>
                <w:sz w:val="18"/>
              </w:rPr>
            </w:pPr>
          </w:p>
        </w:tc>
        <w:tc>
          <w:tcPr>
            <w:tcW w:w="867" w:type="dxa"/>
            <w:tcBorders>
              <w:top w:val="single" w:sz="6" w:space="0" w:color="000000"/>
            </w:tcBorders>
          </w:tcPr>
          <w:p>
            <w:pPr>
              <w:pStyle w:val="TableParagraph"/>
              <w:spacing w:line="188" w:lineRule="exact" w:before="41"/>
              <w:ind w:left="127"/>
              <w:rPr>
                <w:sz w:val="18"/>
              </w:rPr>
            </w:pPr>
            <w:r>
              <w:rPr>
                <w:spacing w:val="-2"/>
                <w:w w:val="105"/>
                <w:sz w:val="18"/>
              </w:rPr>
              <w:t>$17,160</w:t>
            </w:r>
          </w:p>
        </w:tc>
        <w:tc>
          <w:tcPr>
            <w:tcW w:w="218" w:type="dxa"/>
          </w:tcPr>
          <w:p>
            <w:pPr>
              <w:pStyle w:val="TableParagraph"/>
              <w:rPr>
                <w:sz w:val="18"/>
              </w:rPr>
            </w:pPr>
          </w:p>
        </w:tc>
        <w:tc>
          <w:tcPr>
            <w:tcW w:w="858" w:type="dxa"/>
            <w:tcBorders>
              <w:top w:val="single" w:sz="6" w:space="0" w:color="000000"/>
            </w:tcBorders>
          </w:tcPr>
          <w:p>
            <w:pPr>
              <w:pStyle w:val="TableParagraph"/>
              <w:spacing w:line="188" w:lineRule="exact" w:before="41"/>
              <w:jc w:val="center"/>
              <w:rPr>
                <w:sz w:val="18"/>
              </w:rPr>
            </w:pPr>
            <w:r>
              <w:rPr>
                <w:w w:val="103"/>
                <w:sz w:val="18"/>
              </w:rPr>
              <w:t>—</w:t>
            </w:r>
          </w:p>
        </w:tc>
        <w:tc>
          <w:tcPr>
            <w:tcW w:w="223" w:type="dxa"/>
          </w:tcPr>
          <w:p>
            <w:pPr>
              <w:pStyle w:val="TableParagraph"/>
              <w:rPr>
                <w:sz w:val="18"/>
              </w:rPr>
            </w:pPr>
          </w:p>
        </w:tc>
        <w:tc>
          <w:tcPr>
            <w:tcW w:w="824" w:type="dxa"/>
            <w:tcBorders>
              <w:top w:val="single" w:sz="6" w:space="0" w:color="000000"/>
            </w:tcBorders>
          </w:tcPr>
          <w:p>
            <w:pPr>
              <w:pStyle w:val="TableParagraph"/>
              <w:spacing w:line="188" w:lineRule="exact" w:before="41"/>
              <w:ind w:left="78"/>
              <w:rPr>
                <w:sz w:val="18"/>
              </w:rPr>
            </w:pPr>
            <w:r>
              <w:rPr>
                <w:w w:val="105"/>
                <w:sz w:val="18"/>
              </w:rPr>
              <w:t>$</w:t>
            </w:r>
            <w:r>
              <w:rPr>
                <w:spacing w:val="29"/>
                <w:w w:val="105"/>
                <w:sz w:val="18"/>
              </w:rPr>
              <w:t>  </w:t>
            </w:r>
            <w:r>
              <w:rPr>
                <w:spacing w:val="-4"/>
                <w:w w:val="105"/>
                <w:sz w:val="18"/>
              </w:rPr>
              <w:t>9,576</w:t>
            </w:r>
          </w:p>
        </w:tc>
        <w:tc>
          <w:tcPr>
            <w:tcW w:w="223" w:type="dxa"/>
          </w:tcPr>
          <w:p>
            <w:pPr>
              <w:pStyle w:val="TableParagraph"/>
              <w:rPr>
                <w:sz w:val="18"/>
              </w:rPr>
            </w:pPr>
          </w:p>
        </w:tc>
        <w:tc>
          <w:tcPr>
            <w:tcW w:w="868" w:type="dxa"/>
            <w:tcBorders>
              <w:top w:val="single" w:sz="6" w:space="0" w:color="000000"/>
            </w:tcBorders>
          </w:tcPr>
          <w:p>
            <w:pPr>
              <w:pStyle w:val="TableParagraph"/>
              <w:spacing w:line="188" w:lineRule="exact" w:before="41"/>
              <w:ind w:left="35" w:right="-15"/>
              <w:rPr>
                <w:sz w:val="18"/>
              </w:rPr>
            </w:pPr>
            <w:r>
              <w:rPr>
                <w:spacing w:val="-2"/>
                <w:w w:val="105"/>
                <w:sz w:val="18"/>
              </w:rPr>
              <w:t>$(137,773)</w:t>
            </w:r>
          </w:p>
        </w:tc>
        <w:tc>
          <w:tcPr>
            <w:tcW w:w="193" w:type="dxa"/>
          </w:tcPr>
          <w:p>
            <w:pPr>
              <w:pStyle w:val="TableParagraph"/>
              <w:rPr>
                <w:sz w:val="18"/>
              </w:rPr>
            </w:pPr>
          </w:p>
        </w:tc>
        <w:tc>
          <w:tcPr>
            <w:tcW w:w="745" w:type="dxa"/>
            <w:tcBorders>
              <w:top w:val="single" w:sz="6" w:space="0" w:color="000000"/>
            </w:tcBorders>
          </w:tcPr>
          <w:p>
            <w:pPr>
              <w:pStyle w:val="TableParagraph"/>
              <w:spacing w:line="188" w:lineRule="exact" w:before="41"/>
              <w:ind w:left="-1"/>
              <w:rPr>
                <w:sz w:val="18"/>
              </w:rPr>
            </w:pPr>
            <w:r>
              <w:rPr>
                <w:w w:val="105"/>
                <w:sz w:val="18"/>
              </w:rPr>
              <w:t>$</w:t>
            </w:r>
            <w:r>
              <w:rPr>
                <w:spacing w:val="43"/>
                <w:w w:val="105"/>
                <w:sz w:val="18"/>
              </w:rPr>
              <w:t> </w:t>
            </w:r>
            <w:r>
              <w:rPr>
                <w:spacing w:val="-2"/>
                <w:w w:val="105"/>
                <w:sz w:val="18"/>
              </w:rPr>
              <w:t>52,446</w:t>
            </w:r>
          </w:p>
        </w:tc>
      </w:tr>
      <w:tr>
        <w:trPr>
          <w:trHeight w:val="279" w:hRule="atLeast"/>
        </w:trPr>
        <w:tc>
          <w:tcPr>
            <w:tcW w:w="5517" w:type="dxa"/>
            <w:gridSpan w:val="7"/>
          </w:tcPr>
          <w:p>
            <w:pPr>
              <w:pStyle w:val="TableParagraph"/>
              <w:tabs>
                <w:tab w:pos="4128" w:val="left" w:leader="none"/>
                <w:tab w:pos="4994" w:val="left" w:leader="none"/>
              </w:tabs>
              <w:spacing w:line="188" w:lineRule="exact" w:before="71"/>
              <w:ind w:left="2374"/>
              <w:rPr>
                <w:sz w:val="18"/>
              </w:rPr>
            </w:pPr>
            <w:r>
              <w:rPr>
                <w:w w:val="105"/>
                <w:sz w:val="18"/>
              </w:rPr>
              <w:t>Frozen</w:t>
            </w:r>
            <w:r>
              <w:rPr>
                <w:spacing w:val="11"/>
                <w:w w:val="105"/>
                <w:sz w:val="18"/>
              </w:rPr>
              <w:t> </w:t>
            </w:r>
            <w:r>
              <w:rPr>
                <w:spacing w:val="-5"/>
                <w:w w:val="105"/>
                <w:sz w:val="18"/>
              </w:rPr>
              <w:t>DCP</w:t>
            </w:r>
            <w:r>
              <w:rPr>
                <w:sz w:val="18"/>
              </w:rPr>
              <w:tab/>
            </w:r>
            <w:r>
              <w:rPr>
                <w:spacing w:val="-10"/>
                <w:w w:val="105"/>
                <w:sz w:val="18"/>
              </w:rPr>
              <w:t>—</w:t>
            </w:r>
            <w:r>
              <w:rPr>
                <w:sz w:val="18"/>
              </w:rPr>
              <w:tab/>
            </w:r>
            <w:r>
              <w:rPr>
                <w:spacing w:val="-10"/>
                <w:w w:val="105"/>
                <w:sz w:val="18"/>
              </w:rPr>
              <w:t>—</w:t>
            </w:r>
          </w:p>
        </w:tc>
        <w:tc>
          <w:tcPr>
            <w:tcW w:w="1047" w:type="dxa"/>
            <w:gridSpan w:val="2"/>
          </w:tcPr>
          <w:p>
            <w:pPr>
              <w:pStyle w:val="TableParagraph"/>
              <w:spacing w:line="188" w:lineRule="exact" w:before="71"/>
              <w:ind w:left="301"/>
              <w:rPr>
                <w:sz w:val="18"/>
              </w:rPr>
            </w:pPr>
            <w:r>
              <w:rPr>
                <w:spacing w:val="-2"/>
                <w:w w:val="105"/>
                <w:sz w:val="18"/>
              </w:rPr>
              <w:t>$(35,160)</w:t>
            </w:r>
          </w:p>
        </w:tc>
        <w:tc>
          <w:tcPr>
            <w:tcW w:w="1091" w:type="dxa"/>
            <w:gridSpan w:val="2"/>
          </w:tcPr>
          <w:p>
            <w:pPr>
              <w:pStyle w:val="TableParagraph"/>
              <w:spacing w:line="188" w:lineRule="exact" w:before="71"/>
              <w:ind w:right="58"/>
              <w:jc w:val="right"/>
              <w:rPr>
                <w:sz w:val="18"/>
              </w:rPr>
            </w:pPr>
            <w:r>
              <w:rPr>
                <w:w w:val="103"/>
                <w:sz w:val="18"/>
              </w:rPr>
              <w:t>—</w:t>
            </w:r>
          </w:p>
        </w:tc>
        <w:tc>
          <w:tcPr>
            <w:tcW w:w="938" w:type="dxa"/>
            <w:gridSpan w:val="2"/>
          </w:tcPr>
          <w:p>
            <w:pPr>
              <w:pStyle w:val="TableParagraph"/>
              <w:spacing w:line="188" w:lineRule="exact" w:before="71"/>
              <w:ind w:left="192"/>
              <w:rPr>
                <w:sz w:val="18"/>
              </w:rPr>
            </w:pPr>
            <w:r>
              <w:rPr>
                <w:w w:val="105"/>
                <w:sz w:val="18"/>
              </w:rPr>
              <w:t>$</w:t>
            </w:r>
            <w:r>
              <w:rPr>
                <w:spacing w:val="43"/>
                <w:w w:val="105"/>
                <w:sz w:val="18"/>
              </w:rPr>
              <w:t> </w:t>
            </w:r>
            <w:r>
              <w:rPr>
                <w:spacing w:val="-2"/>
                <w:w w:val="105"/>
                <w:sz w:val="18"/>
              </w:rPr>
              <w:t>83,569</w:t>
            </w:r>
          </w:p>
        </w:tc>
      </w:tr>
      <w:tr>
        <w:trPr>
          <w:trHeight w:val="503" w:hRule="atLeast"/>
        </w:trPr>
        <w:tc>
          <w:tcPr>
            <w:tcW w:w="2133" w:type="dxa"/>
          </w:tcPr>
          <w:p>
            <w:pPr>
              <w:pStyle w:val="TableParagraph"/>
              <w:spacing w:line="220" w:lineRule="atLeast" w:before="43"/>
              <w:ind w:left="236" w:right="348" w:hanging="187"/>
              <w:rPr>
                <w:sz w:val="18"/>
              </w:rPr>
            </w:pPr>
            <w:r>
              <w:rPr>
                <w:w w:val="105"/>
                <w:sz w:val="18"/>
              </w:rPr>
              <w:t>Kimberley</w:t>
            </w:r>
            <w:r>
              <w:rPr>
                <w:spacing w:val="-11"/>
                <w:w w:val="105"/>
                <w:sz w:val="18"/>
              </w:rPr>
              <w:t> </w:t>
            </w:r>
            <w:r>
              <w:rPr>
                <w:w w:val="105"/>
                <w:sz w:val="18"/>
              </w:rPr>
              <w:t>E. </w:t>
            </w:r>
            <w:r>
              <w:rPr>
                <w:spacing w:val="-2"/>
                <w:w w:val="105"/>
                <w:sz w:val="18"/>
              </w:rPr>
              <w:t>Honeysett</w:t>
            </w:r>
          </w:p>
        </w:tc>
        <w:tc>
          <w:tcPr>
            <w:tcW w:w="1231" w:type="dxa"/>
            <w:gridSpan w:val="2"/>
          </w:tcPr>
          <w:p>
            <w:pPr>
              <w:pStyle w:val="TableParagraph"/>
              <w:spacing w:before="7"/>
              <w:rPr>
                <w:sz w:val="25"/>
              </w:rPr>
            </w:pPr>
          </w:p>
          <w:p>
            <w:pPr>
              <w:pStyle w:val="TableParagraph"/>
              <w:spacing w:line="188" w:lineRule="exact"/>
              <w:ind w:left="241"/>
              <w:rPr>
                <w:sz w:val="18"/>
              </w:rPr>
            </w:pPr>
            <w:r>
              <w:rPr>
                <w:w w:val="105"/>
                <w:sz w:val="18"/>
              </w:rPr>
              <w:t>Frozen</w:t>
            </w:r>
            <w:r>
              <w:rPr>
                <w:spacing w:val="11"/>
                <w:w w:val="105"/>
                <w:sz w:val="18"/>
              </w:rPr>
              <w:t> </w:t>
            </w:r>
            <w:r>
              <w:rPr>
                <w:spacing w:val="-5"/>
                <w:w w:val="105"/>
                <w:sz w:val="18"/>
              </w:rPr>
              <w:t>DCP</w:t>
            </w:r>
          </w:p>
        </w:tc>
        <w:tc>
          <w:tcPr>
            <w:tcW w:w="3200" w:type="dxa"/>
            <w:gridSpan w:val="6"/>
          </w:tcPr>
          <w:p>
            <w:pPr>
              <w:pStyle w:val="TableParagraph"/>
              <w:spacing w:before="7"/>
              <w:rPr>
                <w:sz w:val="25"/>
              </w:rPr>
            </w:pPr>
          </w:p>
          <w:p>
            <w:pPr>
              <w:pStyle w:val="TableParagraph"/>
              <w:tabs>
                <w:tab w:pos="1630" w:val="left" w:leader="none"/>
                <w:tab w:pos="2454" w:val="left" w:leader="none"/>
                <w:tab w:pos="2843" w:val="left" w:leader="none"/>
              </w:tabs>
              <w:spacing w:line="188" w:lineRule="exact"/>
              <w:ind w:left="764"/>
              <w:rPr>
                <w:sz w:val="18"/>
              </w:rPr>
            </w:pPr>
            <w:r>
              <w:rPr>
                <w:spacing w:val="-10"/>
                <w:w w:val="105"/>
                <w:sz w:val="18"/>
              </w:rPr>
              <w:t>—</w:t>
            </w:r>
            <w:r>
              <w:rPr>
                <w:sz w:val="18"/>
              </w:rPr>
              <w:tab/>
            </w:r>
            <w:r>
              <w:rPr>
                <w:spacing w:val="-10"/>
                <w:w w:val="105"/>
                <w:sz w:val="18"/>
              </w:rPr>
              <w:t>—</w:t>
            </w:r>
            <w:r>
              <w:rPr>
                <w:sz w:val="18"/>
              </w:rPr>
              <w:tab/>
            </w:r>
            <w:r>
              <w:rPr>
                <w:spacing w:val="-10"/>
                <w:w w:val="105"/>
                <w:sz w:val="18"/>
              </w:rPr>
              <w:t>$</w:t>
            </w:r>
            <w:r>
              <w:rPr>
                <w:sz w:val="18"/>
              </w:rPr>
              <w:tab/>
            </w:r>
            <w:r>
              <w:rPr>
                <w:spacing w:val="-5"/>
                <w:w w:val="105"/>
                <w:sz w:val="18"/>
              </w:rPr>
              <w:t>303</w:t>
            </w:r>
          </w:p>
        </w:tc>
        <w:tc>
          <w:tcPr>
            <w:tcW w:w="1091" w:type="dxa"/>
            <w:gridSpan w:val="2"/>
          </w:tcPr>
          <w:p>
            <w:pPr>
              <w:pStyle w:val="TableParagraph"/>
              <w:spacing w:before="7"/>
              <w:rPr>
                <w:sz w:val="25"/>
              </w:rPr>
            </w:pPr>
          </w:p>
          <w:p>
            <w:pPr>
              <w:pStyle w:val="TableParagraph"/>
              <w:spacing w:line="188" w:lineRule="exact"/>
              <w:ind w:right="58"/>
              <w:jc w:val="right"/>
              <w:rPr>
                <w:sz w:val="18"/>
              </w:rPr>
            </w:pPr>
            <w:r>
              <w:rPr>
                <w:w w:val="103"/>
                <w:sz w:val="18"/>
              </w:rPr>
              <w:t>—</w:t>
            </w:r>
          </w:p>
        </w:tc>
        <w:tc>
          <w:tcPr>
            <w:tcW w:w="938" w:type="dxa"/>
            <w:gridSpan w:val="2"/>
          </w:tcPr>
          <w:p>
            <w:pPr>
              <w:pStyle w:val="TableParagraph"/>
              <w:spacing w:before="7"/>
              <w:rPr>
                <w:sz w:val="25"/>
              </w:rPr>
            </w:pPr>
          </w:p>
          <w:p>
            <w:pPr>
              <w:pStyle w:val="TableParagraph"/>
              <w:spacing w:line="188" w:lineRule="exact"/>
              <w:ind w:left="192"/>
              <w:rPr>
                <w:sz w:val="18"/>
              </w:rPr>
            </w:pPr>
            <w:r>
              <w:rPr>
                <w:w w:val="105"/>
                <w:sz w:val="18"/>
              </w:rPr>
              <w:t>$</w:t>
            </w:r>
            <w:r>
              <w:rPr>
                <w:spacing w:val="43"/>
                <w:w w:val="105"/>
                <w:sz w:val="18"/>
              </w:rPr>
              <w:t> </w:t>
            </w:r>
            <w:r>
              <w:rPr>
                <w:spacing w:val="-2"/>
                <w:w w:val="105"/>
                <w:sz w:val="18"/>
              </w:rPr>
              <w:t>23,794</w:t>
            </w:r>
          </w:p>
        </w:tc>
      </w:tr>
      <w:tr>
        <w:trPr>
          <w:trHeight w:val="279" w:hRule="atLeast"/>
        </w:trPr>
        <w:tc>
          <w:tcPr>
            <w:tcW w:w="2133" w:type="dxa"/>
          </w:tcPr>
          <w:p>
            <w:pPr>
              <w:pStyle w:val="TableParagraph"/>
              <w:spacing w:line="188" w:lineRule="exact" w:before="71"/>
              <w:ind w:left="50"/>
              <w:rPr>
                <w:sz w:val="18"/>
              </w:rPr>
            </w:pPr>
            <w:r>
              <w:rPr>
                <w:w w:val="105"/>
                <w:sz w:val="18"/>
              </w:rPr>
              <w:t>Brian</w:t>
            </w:r>
            <w:r>
              <w:rPr>
                <w:spacing w:val="-5"/>
                <w:w w:val="105"/>
                <w:sz w:val="18"/>
              </w:rPr>
              <w:t> </w:t>
            </w:r>
            <w:r>
              <w:rPr>
                <w:w w:val="105"/>
                <w:sz w:val="18"/>
              </w:rPr>
              <w:t>W. </w:t>
            </w:r>
            <w:r>
              <w:rPr>
                <w:spacing w:val="-2"/>
                <w:w w:val="105"/>
                <w:sz w:val="18"/>
              </w:rPr>
              <w:t>Giambattista</w:t>
            </w:r>
          </w:p>
        </w:tc>
        <w:tc>
          <w:tcPr>
            <w:tcW w:w="1231" w:type="dxa"/>
            <w:gridSpan w:val="2"/>
          </w:tcPr>
          <w:p>
            <w:pPr>
              <w:pStyle w:val="TableParagraph"/>
              <w:spacing w:line="188" w:lineRule="exact" w:before="71"/>
              <w:ind w:left="536"/>
              <w:rPr>
                <w:sz w:val="18"/>
              </w:rPr>
            </w:pPr>
            <w:r>
              <w:rPr>
                <w:spacing w:val="-5"/>
                <w:w w:val="105"/>
                <w:sz w:val="18"/>
              </w:rPr>
              <w:t>DCP</w:t>
            </w:r>
          </w:p>
        </w:tc>
        <w:tc>
          <w:tcPr>
            <w:tcW w:w="1077" w:type="dxa"/>
            <w:gridSpan w:val="2"/>
          </w:tcPr>
          <w:p>
            <w:pPr>
              <w:pStyle w:val="TableParagraph"/>
              <w:spacing w:line="188" w:lineRule="exact" w:before="71"/>
              <w:ind w:left="337"/>
              <w:rPr>
                <w:sz w:val="18"/>
              </w:rPr>
            </w:pPr>
            <w:r>
              <w:rPr>
                <w:spacing w:val="-2"/>
                <w:w w:val="105"/>
                <w:sz w:val="18"/>
              </w:rPr>
              <w:t>$55,538</w:t>
            </w:r>
          </w:p>
        </w:tc>
        <w:tc>
          <w:tcPr>
            <w:tcW w:w="1076" w:type="dxa"/>
            <w:gridSpan w:val="2"/>
          </w:tcPr>
          <w:p>
            <w:pPr>
              <w:pStyle w:val="TableParagraph"/>
              <w:spacing w:line="188" w:lineRule="exact" w:before="71"/>
              <w:ind w:left="553"/>
              <w:rPr>
                <w:sz w:val="18"/>
              </w:rPr>
            </w:pPr>
            <w:r>
              <w:rPr>
                <w:w w:val="103"/>
                <w:sz w:val="18"/>
              </w:rPr>
              <w:t>—</w:t>
            </w:r>
          </w:p>
        </w:tc>
        <w:tc>
          <w:tcPr>
            <w:tcW w:w="1047" w:type="dxa"/>
            <w:gridSpan w:val="2"/>
          </w:tcPr>
          <w:p>
            <w:pPr>
              <w:pStyle w:val="TableParagraph"/>
              <w:spacing w:line="188" w:lineRule="exact" w:before="71"/>
              <w:ind w:left="301"/>
              <w:rPr>
                <w:sz w:val="18"/>
              </w:rPr>
            </w:pPr>
            <w:r>
              <w:rPr>
                <w:spacing w:val="-2"/>
                <w:w w:val="105"/>
                <w:sz w:val="18"/>
              </w:rPr>
              <w:t>$(38,693)</w:t>
            </w:r>
          </w:p>
        </w:tc>
        <w:tc>
          <w:tcPr>
            <w:tcW w:w="1091" w:type="dxa"/>
            <w:gridSpan w:val="2"/>
          </w:tcPr>
          <w:p>
            <w:pPr>
              <w:pStyle w:val="TableParagraph"/>
              <w:spacing w:line="188" w:lineRule="exact" w:before="71"/>
              <w:ind w:right="58"/>
              <w:jc w:val="right"/>
              <w:rPr>
                <w:sz w:val="18"/>
              </w:rPr>
            </w:pPr>
            <w:r>
              <w:rPr>
                <w:w w:val="103"/>
                <w:sz w:val="18"/>
              </w:rPr>
              <w:t>—</w:t>
            </w:r>
          </w:p>
        </w:tc>
        <w:tc>
          <w:tcPr>
            <w:tcW w:w="938" w:type="dxa"/>
            <w:gridSpan w:val="2"/>
          </w:tcPr>
          <w:p>
            <w:pPr>
              <w:pStyle w:val="TableParagraph"/>
              <w:spacing w:line="188" w:lineRule="exact" w:before="71"/>
              <w:ind w:left="192"/>
              <w:rPr>
                <w:sz w:val="18"/>
              </w:rPr>
            </w:pPr>
            <w:r>
              <w:rPr>
                <w:spacing w:val="-2"/>
                <w:w w:val="105"/>
                <w:sz w:val="18"/>
              </w:rPr>
              <w:t>$298,570</w:t>
            </w:r>
          </w:p>
        </w:tc>
      </w:tr>
    </w:tbl>
    <w:p>
      <w:pPr>
        <w:pStyle w:val="BodyText"/>
        <w:spacing w:before="10"/>
      </w:pPr>
      <w:r>
        <w:rPr/>
        <w:pict>
          <v:rect style="position:absolute;margin-left:94.006287pt;margin-top:12.083607pt;width:100.654902pt;height:.698992pt;mso-position-horizontal-relative:page;mso-position-vertical-relative:paragraph;z-index:-15661056;mso-wrap-distance-left:0;mso-wrap-distance-right:0" id="docshape439" filled="true" fillcolor="#000000" stroked="false">
            <v:fill type="solid"/>
            <w10:wrap type="topAndBottom"/>
          </v:rect>
        </w:pict>
      </w:r>
    </w:p>
    <w:p>
      <w:pPr>
        <w:pStyle w:val="ListParagraph"/>
        <w:numPr>
          <w:ilvl w:val="0"/>
          <w:numId w:val="33"/>
        </w:numPr>
        <w:tabs>
          <w:tab w:pos="1773" w:val="left" w:leader="none"/>
        </w:tabs>
        <w:spacing w:line="259" w:lineRule="auto" w:before="153" w:after="0"/>
        <w:ind w:left="1772" w:right="1557" w:hanging="373"/>
        <w:jc w:val="left"/>
        <w:rPr>
          <w:sz w:val="18"/>
        </w:rPr>
      </w:pPr>
      <w:r>
        <w:rPr>
          <w:w w:val="105"/>
          <w:sz w:val="18"/>
        </w:rPr>
        <w:t>These amounts represent the respective executive contributions attributable to fiscal year 2022, which</w:t>
      </w:r>
      <w:r>
        <w:rPr>
          <w:spacing w:val="40"/>
          <w:w w:val="105"/>
          <w:sz w:val="18"/>
        </w:rPr>
        <w:t> </w:t>
      </w:r>
      <w:r>
        <w:rPr>
          <w:w w:val="105"/>
          <w:sz w:val="18"/>
        </w:rPr>
        <w:t>were included in the “Salary” column of the Summary Compensation Table for fiscal year 2022.</w:t>
      </w:r>
    </w:p>
    <w:p>
      <w:pPr>
        <w:pStyle w:val="ListParagraph"/>
        <w:numPr>
          <w:ilvl w:val="0"/>
          <w:numId w:val="33"/>
        </w:numPr>
        <w:tabs>
          <w:tab w:pos="1773" w:val="left" w:leader="none"/>
        </w:tabs>
        <w:spacing w:line="240" w:lineRule="auto" w:before="70" w:after="0"/>
        <w:ind w:left="1772" w:right="0" w:hanging="373"/>
        <w:jc w:val="left"/>
        <w:rPr>
          <w:sz w:val="18"/>
        </w:rPr>
      </w:pPr>
      <w:r>
        <w:rPr>
          <w:w w:val="105"/>
          <w:sz w:val="18"/>
        </w:rPr>
        <w:t>There</w:t>
      </w:r>
      <w:r>
        <w:rPr>
          <w:spacing w:val="9"/>
          <w:w w:val="105"/>
          <w:sz w:val="18"/>
        </w:rPr>
        <w:t> </w:t>
      </w:r>
      <w:r>
        <w:rPr>
          <w:w w:val="105"/>
          <w:sz w:val="18"/>
        </w:rPr>
        <w:t>were</w:t>
      </w:r>
      <w:r>
        <w:rPr>
          <w:spacing w:val="9"/>
          <w:w w:val="105"/>
          <w:sz w:val="18"/>
        </w:rPr>
        <w:t> </w:t>
      </w:r>
      <w:r>
        <w:rPr>
          <w:w w:val="105"/>
          <w:sz w:val="18"/>
        </w:rPr>
        <w:t>no</w:t>
      </w:r>
      <w:r>
        <w:rPr>
          <w:spacing w:val="9"/>
          <w:w w:val="105"/>
          <w:sz w:val="18"/>
        </w:rPr>
        <w:t> </w:t>
      </w:r>
      <w:r>
        <w:rPr>
          <w:w w:val="105"/>
          <w:sz w:val="18"/>
        </w:rPr>
        <w:t>Company</w:t>
      </w:r>
      <w:r>
        <w:rPr>
          <w:spacing w:val="9"/>
          <w:w w:val="105"/>
          <w:sz w:val="18"/>
        </w:rPr>
        <w:t> </w:t>
      </w:r>
      <w:r>
        <w:rPr>
          <w:spacing w:val="-2"/>
          <w:w w:val="105"/>
          <w:sz w:val="18"/>
        </w:rPr>
        <w:t>contributions.</w:t>
      </w:r>
    </w:p>
    <w:p>
      <w:pPr>
        <w:pStyle w:val="ListParagraph"/>
        <w:numPr>
          <w:ilvl w:val="0"/>
          <w:numId w:val="33"/>
        </w:numPr>
        <w:tabs>
          <w:tab w:pos="1773" w:val="left" w:leader="none"/>
        </w:tabs>
        <w:spacing w:line="259" w:lineRule="auto" w:before="101" w:after="0"/>
        <w:ind w:left="1772" w:right="1759" w:hanging="373"/>
        <w:jc w:val="left"/>
        <w:rPr>
          <w:sz w:val="18"/>
        </w:rPr>
      </w:pPr>
      <w:r>
        <w:rPr>
          <w:w w:val="105"/>
          <w:sz w:val="18"/>
        </w:rPr>
        <w:t>None of the earnings in this column are included in the Summary Compensation Table (refer to “— Summary Compensation Table” above) because they were not preferential or above market.</w:t>
      </w:r>
    </w:p>
    <w:p>
      <w:pPr>
        <w:pStyle w:val="ListParagraph"/>
        <w:numPr>
          <w:ilvl w:val="0"/>
          <w:numId w:val="33"/>
        </w:numPr>
        <w:tabs>
          <w:tab w:pos="1773" w:val="left" w:leader="none"/>
        </w:tabs>
        <w:spacing w:line="259" w:lineRule="auto" w:before="70" w:after="0"/>
        <w:ind w:left="1772" w:right="1427" w:hanging="373"/>
        <w:jc w:val="left"/>
        <w:rPr>
          <w:sz w:val="18"/>
        </w:rPr>
      </w:pPr>
      <w:r>
        <w:rPr>
          <w:w w:val="105"/>
          <w:sz w:val="18"/>
        </w:rPr>
        <w:t>Balance at last fiscal year end includes the following amounts reported as compensation to the NEOs in</w:t>
      </w:r>
      <w:r>
        <w:rPr>
          <w:spacing w:val="40"/>
          <w:w w:val="105"/>
          <w:sz w:val="18"/>
        </w:rPr>
        <w:t> </w:t>
      </w:r>
      <w:r>
        <w:rPr>
          <w:w w:val="105"/>
          <w:sz w:val="18"/>
        </w:rPr>
        <w:t>the</w:t>
      </w:r>
      <w:r>
        <w:rPr>
          <w:spacing w:val="22"/>
          <w:w w:val="105"/>
          <w:sz w:val="18"/>
        </w:rPr>
        <w:t> </w:t>
      </w:r>
      <w:r>
        <w:rPr>
          <w:w w:val="105"/>
          <w:sz w:val="18"/>
        </w:rPr>
        <w:t>Summary</w:t>
      </w:r>
      <w:r>
        <w:rPr>
          <w:spacing w:val="22"/>
          <w:w w:val="105"/>
          <w:sz w:val="18"/>
        </w:rPr>
        <w:t> </w:t>
      </w:r>
      <w:r>
        <w:rPr>
          <w:w w:val="105"/>
          <w:sz w:val="18"/>
        </w:rPr>
        <w:t>Compensation Table</w:t>
      </w:r>
      <w:r>
        <w:rPr>
          <w:spacing w:val="22"/>
          <w:w w:val="105"/>
          <w:sz w:val="18"/>
        </w:rPr>
        <w:t> </w:t>
      </w:r>
      <w:r>
        <w:rPr>
          <w:w w:val="105"/>
          <w:sz w:val="18"/>
        </w:rPr>
        <w:t>for</w:t>
      </w:r>
      <w:r>
        <w:rPr>
          <w:spacing w:val="22"/>
          <w:w w:val="105"/>
          <w:sz w:val="18"/>
        </w:rPr>
        <w:t> </w:t>
      </w:r>
      <w:r>
        <w:rPr>
          <w:w w:val="105"/>
          <w:sz w:val="18"/>
        </w:rPr>
        <w:t>fiscal</w:t>
      </w:r>
      <w:r>
        <w:rPr>
          <w:spacing w:val="22"/>
          <w:w w:val="105"/>
          <w:sz w:val="18"/>
        </w:rPr>
        <w:t> </w:t>
      </w:r>
      <w:r>
        <w:rPr>
          <w:w w:val="105"/>
          <w:sz w:val="18"/>
        </w:rPr>
        <w:t>years</w:t>
      </w:r>
      <w:r>
        <w:rPr>
          <w:spacing w:val="22"/>
          <w:w w:val="105"/>
          <w:sz w:val="18"/>
        </w:rPr>
        <w:t> </w:t>
      </w:r>
      <w:r>
        <w:rPr>
          <w:w w:val="105"/>
          <w:sz w:val="18"/>
        </w:rPr>
        <w:t>prior</w:t>
      </w:r>
      <w:r>
        <w:rPr>
          <w:spacing w:val="22"/>
          <w:w w:val="105"/>
          <w:sz w:val="18"/>
        </w:rPr>
        <w:t> </w:t>
      </w:r>
      <w:r>
        <w:rPr>
          <w:w w:val="105"/>
          <w:sz w:val="18"/>
        </w:rPr>
        <w:t>to</w:t>
      </w:r>
      <w:r>
        <w:rPr>
          <w:spacing w:val="22"/>
          <w:w w:val="105"/>
          <w:sz w:val="18"/>
        </w:rPr>
        <w:t> </w:t>
      </w:r>
      <w:r>
        <w:rPr>
          <w:w w:val="105"/>
          <w:sz w:val="18"/>
        </w:rPr>
        <w:t>fiscal</w:t>
      </w:r>
      <w:r>
        <w:rPr>
          <w:spacing w:val="22"/>
          <w:w w:val="105"/>
          <w:sz w:val="18"/>
        </w:rPr>
        <w:t> </w:t>
      </w:r>
      <w:r>
        <w:rPr>
          <w:w w:val="105"/>
          <w:sz w:val="18"/>
        </w:rPr>
        <w:t>year</w:t>
      </w:r>
      <w:r>
        <w:rPr>
          <w:spacing w:val="22"/>
          <w:w w:val="105"/>
          <w:sz w:val="18"/>
        </w:rPr>
        <w:t> </w:t>
      </w:r>
      <w:r>
        <w:rPr>
          <w:w w:val="105"/>
          <w:sz w:val="18"/>
        </w:rPr>
        <w:t>2022:</w:t>
      </w:r>
      <w:r>
        <w:rPr>
          <w:spacing w:val="22"/>
          <w:w w:val="105"/>
          <w:sz w:val="18"/>
        </w:rPr>
        <w:t> </w:t>
      </w:r>
      <w:r>
        <w:rPr>
          <w:w w:val="105"/>
          <w:sz w:val="18"/>
        </w:rPr>
        <w:t>Mr.</w:t>
      </w:r>
      <w:r>
        <w:rPr>
          <w:spacing w:val="22"/>
          <w:w w:val="105"/>
          <w:sz w:val="18"/>
        </w:rPr>
        <w:t> </w:t>
      </w:r>
      <w:r>
        <w:rPr>
          <w:w w:val="105"/>
          <w:sz w:val="18"/>
        </w:rPr>
        <w:t>Sanyal:</w:t>
      </w:r>
      <w:r>
        <w:rPr>
          <w:spacing w:val="22"/>
          <w:w w:val="105"/>
          <w:sz w:val="18"/>
        </w:rPr>
        <w:t> </w:t>
      </w:r>
      <w:r>
        <w:rPr>
          <w:w w:val="105"/>
          <w:sz w:val="18"/>
        </w:rPr>
        <w:t>$124,807</w:t>
      </w:r>
      <w:r>
        <w:rPr>
          <w:spacing w:val="22"/>
          <w:w w:val="105"/>
          <w:sz w:val="18"/>
        </w:rPr>
        <w:t> </w:t>
      </w:r>
      <w:r>
        <w:rPr>
          <w:w w:val="105"/>
          <w:sz w:val="18"/>
        </w:rPr>
        <w:t>and Mr. Giambattista: $249,680.</w:t>
      </w:r>
    </w:p>
    <w:p>
      <w:pPr>
        <w:pStyle w:val="BodyText"/>
        <w:spacing w:before="154"/>
        <w:ind w:left="142" w:right="301"/>
        <w:jc w:val="center"/>
      </w:pPr>
      <w:r>
        <w:rPr>
          <w:w w:val="105"/>
        </w:rPr>
        <w:t>In</w:t>
      </w:r>
      <w:r>
        <w:rPr>
          <w:spacing w:val="10"/>
          <w:w w:val="105"/>
        </w:rPr>
        <w:t> </w:t>
      </w:r>
      <w:r>
        <w:rPr>
          <w:w w:val="105"/>
        </w:rPr>
        <w:t>October</w:t>
      </w:r>
      <w:r>
        <w:rPr>
          <w:spacing w:val="11"/>
          <w:w w:val="105"/>
        </w:rPr>
        <w:t> </w:t>
      </w:r>
      <w:r>
        <w:rPr>
          <w:w w:val="105"/>
        </w:rPr>
        <w:t>2016,</w:t>
      </w:r>
      <w:r>
        <w:rPr>
          <w:spacing w:val="10"/>
          <w:w w:val="105"/>
        </w:rPr>
        <w:t> </w:t>
      </w:r>
      <w:r>
        <w:rPr>
          <w:w w:val="105"/>
        </w:rPr>
        <w:t>the</w:t>
      </w:r>
      <w:r>
        <w:rPr>
          <w:spacing w:val="11"/>
          <w:w w:val="105"/>
        </w:rPr>
        <w:t> </w:t>
      </w:r>
      <w:r>
        <w:rPr>
          <w:w w:val="105"/>
        </w:rPr>
        <w:t>Board</w:t>
      </w:r>
      <w:r>
        <w:rPr>
          <w:spacing w:val="10"/>
          <w:w w:val="105"/>
        </w:rPr>
        <w:t> </w:t>
      </w:r>
      <w:r>
        <w:rPr>
          <w:w w:val="105"/>
        </w:rPr>
        <w:t>approved</w:t>
      </w:r>
      <w:r>
        <w:rPr>
          <w:spacing w:val="11"/>
          <w:w w:val="105"/>
        </w:rPr>
        <w:t> </w:t>
      </w:r>
      <w:r>
        <w:rPr>
          <w:w w:val="105"/>
        </w:rPr>
        <w:t>the</w:t>
      </w:r>
      <w:r>
        <w:rPr>
          <w:spacing w:val="10"/>
          <w:w w:val="105"/>
        </w:rPr>
        <w:t> </w:t>
      </w:r>
      <w:r>
        <w:rPr>
          <w:w w:val="105"/>
        </w:rPr>
        <w:t>DCP</w:t>
      </w:r>
      <w:r>
        <w:rPr>
          <w:spacing w:val="3"/>
          <w:w w:val="105"/>
        </w:rPr>
        <w:t> </w:t>
      </w:r>
      <w:r>
        <w:rPr>
          <w:w w:val="105"/>
        </w:rPr>
        <w:t>and</w:t>
      </w:r>
      <w:r>
        <w:rPr>
          <w:spacing w:val="11"/>
          <w:w w:val="105"/>
        </w:rPr>
        <w:t> </w:t>
      </w:r>
      <w:r>
        <w:rPr>
          <w:w w:val="105"/>
        </w:rPr>
        <w:t>it</w:t>
      </w:r>
      <w:r>
        <w:rPr>
          <w:spacing w:val="10"/>
          <w:w w:val="105"/>
        </w:rPr>
        <w:t> </w:t>
      </w:r>
      <w:r>
        <w:rPr>
          <w:w w:val="105"/>
        </w:rPr>
        <w:t>became</w:t>
      </w:r>
      <w:r>
        <w:rPr>
          <w:spacing w:val="11"/>
          <w:w w:val="105"/>
        </w:rPr>
        <w:t> </w:t>
      </w:r>
      <w:r>
        <w:rPr>
          <w:w w:val="105"/>
        </w:rPr>
        <w:t>effective</w:t>
      </w:r>
      <w:r>
        <w:rPr>
          <w:spacing w:val="10"/>
          <w:w w:val="105"/>
        </w:rPr>
        <w:t> </w:t>
      </w:r>
      <w:r>
        <w:rPr>
          <w:w w:val="105"/>
        </w:rPr>
        <w:t>for</w:t>
      </w:r>
      <w:r>
        <w:rPr>
          <w:spacing w:val="11"/>
          <w:w w:val="105"/>
        </w:rPr>
        <w:t> </w:t>
      </w:r>
      <w:r>
        <w:rPr>
          <w:w w:val="105"/>
        </w:rPr>
        <w:t>2017</w:t>
      </w:r>
      <w:r>
        <w:rPr>
          <w:spacing w:val="10"/>
          <w:w w:val="105"/>
        </w:rPr>
        <w:t> </w:t>
      </w:r>
      <w:r>
        <w:rPr>
          <w:w w:val="105"/>
        </w:rPr>
        <w:t>compensation.</w:t>
      </w:r>
      <w:r>
        <w:rPr>
          <w:spacing w:val="11"/>
          <w:w w:val="105"/>
        </w:rPr>
        <w:t> </w:t>
      </w:r>
      <w:r>
        <w:rPr>
          <w:spacing w:val="-5"/>
          <w:w w:val="105"/>
        </w:rPr>
        <w:t>In</w:t>
      </w:r>
    </w:p>
    <w:p>
      <w:pPr>
        <w:pStyle w:val="BodyText"/>
        <w:spacing w:line="259" w:lineRule="auto" w:before="17"/>
        <w:ind w:left="1400" w:right="1551"/>
      </w:pPr>
      <w:r>
        <w:rPr>
          <w:w w:val="105"/>
        </w:rPr>
        <w:t>addition,</w:t>
      </w:r>
      <w:r>
        <w:rPr>
          <w:spacing w:val="28"/>
          <w:w w:val="105"/>
        </w:rPr>
        <w:t> </w:t>
      </w:r>
      <w:r>
        <w:rPr>
          <w:w w:val="105"/>
        </w:rPr>
        <w:t>the</w:t>
      </w:r>
      <w:r>
        <w:rPr>
          <w:spacing w:val="28"/>
          <w:w w:val="105"/>
        </w:rPr>
        <w:t> </w:t>
      </w:r>
      <w:r>
        <w:rPr>
          <w:w w:val="105"/>
        </w:rPr>
        <w:t>DCP</w:t>
      </w:r>
      <w:r>
        <w:rPr>
          <w:spacing w:val="19"/>
          <w:w w:val="105"/>
        </w:rPr>
        <w:t> </w:t>
      </w:r>
      <w:r>
        <w:rPr>
          <w:w w:val="105"/>
        </w:rPr>
        <w:t>assumed</w:t>
      </w:r>
      <w:r>
        <w:rPr>
          <w:spacing w:val="28"/>
          <w:w w:val="105"/>
        </w:rPr>
        <w:t> </w:t>
      </w:r>
      <w:r>
        <w:rPr>
          <w:w w:val="105"/>
        </w:rPr>
        <w:t>certain</w:t>
      </w:r>
      <w:r>
        <w:rPr>
          <w:spacing w:val="28"/>
          <w:w w:val="105"/>
        </w:rPr>
        <w:t> </w:t>
      </w:r>
      <w:r>
        <w:rPr>
          <w:w w:val="105"/>
        </w:rPr>
        <w:t>deferred</w:t>
      </w:r>
      <w:r>
        <w:rPr>
          <w:spacing w:val="28"/>
          <w:w w:val="105"/>
        </w:rPr>
        <w:t> </w:t>
      </w:r>
      <w:r>
        <w:rPr>
          <w:w w:val="105"/>
        </w:rPr>
        <w:t>compensation</w:t>
      </w:r>
      <w:r>
        <w:rPr>
          <w:spacing w:val="28"/>
          <w:w w:val="105"/>
        </w:rPr>
        <w:t> </w:t>
      </w:r>
      <w:r>
        <w:rPr>
          <w:w w:val="105"/>
        </w:rPr>
        <w:t>obligations</w:t>
      </w:r>
      <w:r>
        <w:rPr>
          <w:spacing w:val="28"/>
          <w:w w:val="105"/>
        </w:rPr>
        <w:t> </w:t>
      </w:r>
      <w:r>
        <w:rPr>
          <w:w w:val="105"/>
        </w:rPr>
        <w:t>from</w:t>
      </w:r>
      <w:r>
        <w:rPr>
          <w:spacing w:val="28"/>
          <w:w w:val="105"/>
        </w:rPr>
        <w:t> </w:t>
      </w:r>
      <w:r>
        <w:rPr>
          <w:w w:val="105"/>
        </w:rPr>
        <w:t>the</w:t>
      </w:r>
      <w:r>
        <w:rPr>
          <w:spacing w:val="23"/>
          <w:w w:val="105"/>
        </w:rPr>
        <w:t> </w:t>
      </w:r>
      <w:r>
        <w:rPr>
          <w:w w:val="105"/>
        </w:rPr>
        <w:t>Varian</w:t>
      </w:r>
      <w:r>
        <w:rPr>
          <w:spacing w:val="28"/>
          <w:w w:val="105"/>
        </w:rPr>
        <w:t> </w:t>
      </w:r>
      <w:r>
        <w:rPr>
          <w:w w:val="105"/>
        </w:rPr>
        <w:t>Medical</w:t>
      </w:r>
      <w:r>
        <w:rPr>
          <w:spacing w:val="28"/>
          <w:w w:val="105"/>
        </w:rPr>
        <w:t> </w:t>
      </w:r>
      <w:r>
        <w:rPr>
          <w:w w:val="105"/>
        </w:rPr>
        <w:t>Systems,</w:t>
      </w:r>
      <w:r>
        <w:rPr>
          <w:w w:val="105"/>
        </w:rPr>
        <w:t> Inc. 2005 Deferred Compensation Plan in connection with the Spin-off. We also maintain the Varex Imaging Corporation Frozen Deferred Compensation Plan (the “</w:t>
      </w:r>
      <w:r>
        <w:rPr>
          <w:b/>
          <w:w w:val="105"/>
        </w:rPr>
        <w:t>Frozen DCP</w:t>
      </w:r>
      <w:r>
        <w:rPr>
          <w:w w:val="105"/>
        </w:rPr>
        <w:t>”), which assumed certain pre-Spin-off deferred compensation obligations from the Varian Frozen Deferred Compensation Plan. Since the Spin-off,</w:t>
      </w:r>
      <w:r>
        <w:rPr>
          <w:spacing w:val="80"/>
          <w:w w:val="105"/>
        </w:rPr>
        <w:t> </w:t>
      </w:r>
      <w:r>
        <w:rPr>
          <w:w w:val="105"/>
        </w:rPr>
        <w:t>no deferrals have been made under the Frozen DCP.</w:t>
      </w:r>
    </w:p>
    <w:p>
      <w:pPr>
        <w:pStyle w:val="BodyText"/>
        <w:spacing w:line="259" w:lineRule="auto" w:before="140"/>
        <w:ind w:left="1400" w:right="1464" w:firstLine="372"/>
      </w:pPr>
      <w:r>
        <w:rPr>
          <w:w w:val="105"/>
        </w:rPr>
        <w:t>The DCP is designed to allow a select group of management and highly compensated employees, including</w:t>
      </w:r>
      <w:r>
        <w:rPr>
          <w:spacing w:val="20"/>
          <w:w w:val="105"/>
        </w:rPr>
        <w:t> </w:t>
      </w:r>
      <w:r>
        <w:rPr>
          <w:w w:val="105"/>
        </w:rPr>
        <w:t>its</w:t>
      </w:r>
      <w:r>
        <w:rPr>
          <w:spacing w:val="20"/>
          <w:w w:val="105"/>
        </w:rPr>
        <w:t> </w:t>
      </w:r>
      <w:r>
        <w:rPr>
          <w:w w:val="105"/>
        </w:rPr>
        <w:t>executive</w:t>
      </w:r>
      <w:r>
        <w:rPr>
          <w:spacing w:val="20"/>
          <w:w w:val="105"/>
        </w:rPr>
        <w:t> </w:t>
      </w:r>
      <w:r>
        <w:rPr>
          <w:w w:val="105"/>
        </w:rPr>
        <w:t>officers,</w:t>
      </w:r>
      <w:r>
        <w:rPr>
          <w:spacing w:val="20"/>
          <w:w w:val="105"/>
        </w:rPr>
        <w:t> </w:t>
      </w:r>
      <w:r>
        <w:rPr>
          <w:w w:val="105"/>
        </w:rPr>
        <w:t>to</w:t>
      </w:r>
      <w:r>
        <w:rPr>
          <w:spacing w:val="20"/>
          <w:w w:val="105"/>
        </w:rPr>
        <w:t> </w:t>
      </w:r>
      <w:r>
        <w:rPr>
          <w:w w:val="105"/>
        </w:rPr>
        <w:t>defer</w:t>
      </w:r>
      <w:r>
        <w:rPr>
          <w:spacing w:val="20"/>
          <w:w w:val="105"/>
        </w:rPr>
        <w:t> </w:t>
      </w:r>
      <w:r>
        <w:rPr>
          <w:w w:val="105"/>
        </w:rPr>
        <w:t>receipt</w:t>
      </w:r>
      <w:r>
        <w:rPr>
          <w:spacing w:val="20"/>
          <w:w w:val="105"/>
        </w:rPr>
        <w:t> </w:t>
      </w:r>
      <w:r>
        <w:rPr>
          <w:w w:val="105"/>
        </w:rPr>
        <w:t>of</w:t>
      </w:r>
      <w:r>
        <w:rPr>
          <w:spacing w:val="20"/>
          <w:w w:val="105"/>
        </w:rPr>
        <w:t> </w:t>
      </w:r>
      <w:r>
        <w:rPr>
          <w:w w:val="105"/>
        </w:rPr>
        <w:t>a</w:t>
      </w:r>
      <w:r>
        <w:rPr>
          <w:spacing w:val="20"/>
          <w:w w:val="105"/>
        </w:rPr>
        <w:t> </w:t>
      </w:r>
      <w:r>
        <w:rPr>
          <w:w w:val="105"/>
        </w:rPr>
        <w:t>specified</w:t>
      </w:r>
      <w:r>
        <w:rPr>
          <w:spacing w:val="20"/>
          <w:w w:val="105"/>
        </w:rPr>
        <w:t> </w:t>
      </w:r>
      <w:r>
        <w:rPr>
          <w:w w:val="105"/>
        </w:rPr>
        <w:t>percentage</w:t>
      </w:r>
      <w:r>
        <w:rPr>
          <w:spacing w:val="20"/>
          <w:w w:val="105"/>
        </w:rPr>
        <w:t> </w:t>
      </w:r>
      <w:r>
        <w:rPr>
          <w:w w:val="105"/>
        </w:rPr>
        <w:t>of</w:t>
      </w:r>
      <w:r>
        <w:rPr>
          <w:spacing w:val="20"/>
          <w:w w:val="105"/>
        </w:rPr>
        <w:t> </w:t>
      </w:r>
      <w:r>
        <w:rPr>
          <w:w w:val="105"/>
        </w:rPr>
        <w:t>their</w:t>
      </w:r>
      <w:r>
        <w:rPr>
          <w:spacing w:val="20"/>
          <w:w w:val="105"/>
        </w:rPr>
        <w:t> </w:t>
      </w:r>
      <w:r>
        <w:rPr>
          <w:w w:val="105"/>
        </w:rPr>
        <w:t>base</w:t>
      </w:r>
      <w:r>
        <w:rPr>
          <w:spacing w:val="20"/>
          <w:w w:val="105"/>
        </w:rPr>
        <w:t> </w:t>
      </w:r>
      <w:r>
        <w:rPr>
          <w:w w:val="105"/>
        </w:rPr>
        <w:t>salaries</w:t>
      </w:r>
      <w:r>
        <w:rPr>
          <w:spacing w:val="20"/>
          <w:w w:val="105"/>
        </w:rPr>
        <w:t> </w:t>
      </w:r>
      <w:r>
        <w:rPr>
          <w:w w:val="105"/>
        </w:rPr>
        <w:t>(up</w:t>
      </w:r>
      <w:r>
        <w:rPr>
          <w:spacing w:val="20"/>
          <w:w w:val="105"/>
        </w:rPr>
        <w:t> </w:t>
      </w:r>
      <w:r>
        <w:rPr>
          <w:w w:val="105"/>
        </w:rPr>
        <w:t>to</w:t>
      </w:r>
      <w:r>
        <w:rPr>
          <w:spacing w:val="20"/>
          <w:w w:val="105"/>
        </w:rPr>
        <w:t> </w:t>
      </w:r>
      <w:r>
        <w:rPr>
          <w:w w:val="105"/>
        </w:rPr>
        <w:t>50%) and</w:t>
      </w:r>
      <w:r>
        <w:rPr>
          <w:spacing w:val="13"/>
          <w:w w:val="105"/>
        </w:rPr>
        <w:t> </w:t>
      </w:r>
      <w:r>
        <w:rPr>
          <w:w w:val="105"/>
        </w:rPr>
        <w:t>to</w:t>
      </w:r>
      <w:r>
        <w:rPr>
          <w:spacing w:val="13"/>
          <w:w w:val="105"/>
        </w:rPr>
        <w:t> </w:t>
      </w:r>
      <w:r>
        <w:rPr>
          <w:w w:val="105"/>
        </w:rPr>
        <w:t>allow</w:t>
      </w:r>
      <w:r>
        <w:rPr>
          <w:spacing w:val="13"/>
          <w:w w:val="105"/>
        </w:rPr>
        <w:t> </w:t>
      </w:r>
      <w:r>
        <w:rPr>
          <w:w w:val="105"/>
        </w:rPr>
        <w:t>its</w:t>
      </w:r>
      <w:r>
        <w:rPr>
          <w:spacing w:val="13"/>
          <w:w w:val="105"/>
        </w:rPr>
        <w:t> </w:t>
      </w:r>
      <w:r>
        <w:rPr>
          <w:w w:val="105"/>
        </w:rPr>
        <w:t>non-employee</w:t>
      </w:r>
      <w:r>
        <w:rPr>
          <w:spacing w:val="13"/>
          <w:w w:val="105"/>
        </w:rPr>
        <w:t> </w:t>
      </w:r>
      <w:r>
        <w:rPr>
          <w:w w:val="105"/>
        </w:rPr>
        <w:t>directors</w:t>
      </w:r>
      <w:r>
        <w:rPr>
          <w:spacing w:val="13"/>
          <w:w w:val="105"/>
        </w:rPr>
        <w:t> </w:t>
      </w:r>
      <w:r>
        <w:rPr>
          <w:w w:val="105"/>
        </w:rPr>
        <w:t>to</w:t>
      </w:r>
      <w:r>
        <w:rPr>
          <w:spacing w:val="13"/>
          <w:w w:val="105"/>
        </w:rPr>
        <w:t> </w:t>
      </w:r>
      <w:r>
        <w:rPr>
          <w:w w:val="105"/>
        </w:rPr>
        <w:t>defer</w:t>
      </w:r>
      <w:r>
        <w:rPr>
          <w:spacing w:val="13"/>
          <w:w w:val="105"/>
        </w:rPr>
        <w:t> </w:t>
      </w:r>
      <w:r>
        <w:rPr>
          <w:w w:val="105"/>
        </w:rPr>
        <w:t>receipt</w:t>
      </w:r>
      <w:r>
        <w:rPr>
          <w:spacing w:val="13"/>
          <w:w w:val="105"/>
        </w:rPr>
        <w:t> </w:t>
      </w:r>
      <w:r>
        <w:rPr>
          <w:w w:val="105"/>
        </w:rPr>
        <w:t>of</w:t>
      </w:r>
      <w:r>
        <w:rPr>
          <w:spacing w:val="13"/>
          <w:w w:val="105"/>
        </w:rPr>
        <w:t> </w:t>
      </w:r>
      <w:r>
        <w:rPr>
          <w:w w:val="105"/>
        </w:rPr>
        <w:t>their</w:t>
      </w:r>
      <w:r>
        <w:rPr>
          <w:spacing w:val="13"/>
          <w:w w:val="105"/>
        </w:rPr>
        <w:t> </w:t>
      </w:r>
      <w:r>
        <w:rPr>
          <w:w w:val="105"/>
        </w:rPr>
        <w:t>director</w:t>
      </w:r>
      <w:r>
        <w:rPr>
          <w:spacing w:val="13"/>
          <w:w w:val="105"/>
        </w:rPr>
        <w:t> </w:t>
      </w:r>
      <w:r>
        <w:rPr>
          <w:w w:val="105"/>
        </w:rPr>
        <w:t>fees</w:t>
      </w:r>
      <w:r>
        <w:rPr>
          <w:spacing w:val="13"/>
          <w:w w:val="105"/>
        </w:rPr>
        <w:t> </w:t>
      </w:r>
      <w:r>
        <w:rPr>
          <w:w w:val="105"/>
        </w:rPr>
        <w:t>(up</w:t>
      </w:r>
      <w:r>
        <w:rPr>
          <w:spacing w:val="13"/>
          <w:w w:val="105"/>
        </w:rPr>
        <w:t> </w:t>
      </w:r>
      <w:r>
        <w:rPr>
          <w:w w:val="105"/>
        </w:rPr>
        <w:t>to</w:t>
      </w:r>
      <w:r>
        <w:rPr>
          <w:spacing w:val="13"/>
          <w:w w:val="105"/>
        </w:rPr>
        <w:t> </w:t>
      </w:r>
      <w:r>
        <w:rPr>
          <w:w w:val="105"/>
        </w:rPr>
        <w:t>100%).</w:t>
      </w:r>
      <w:r>
        <w:rPr>
          <w:spacing w:val="13"/>
          <w:w w:val="105"/>
        </w:rPr>
        <w:t> </w:t>
      </w:r>
      <w:r>
        <w:rPr>
          <w:w w:val="105"/>
        </w:rPr>
        <w:t>Further,</w:t>
      </w:r>
      <w:r>
        <w:rPr>
          <w:spacing w:val="13"/>
          <w:w w:val="105"/>
        </w:rPr>
        <w:t> </w:t>
      </w:r>
      <w:r>
        <w:rPr>
          <w:w w:val="105"/>
        </w:rPr>
        <w:t>we</w:t>
      </w:r>
      <w:r>
        <w:rPr>
          <w:spacing w:val="13"/>
          <w:w w:val="105"/>
        </w:rPr>
        <w:t> </w:t>
      </w:r>
      <w:r>
        <w:rPr>
          <w:w w:val="105"/>
        </w:rPr>
        <w:t>may</w:t>
      </w:r>
    </w:p>
    <w:p>
      <w:pPr>
        <w:spacing w:after="0" w:line="259" w:lineRule="auto"/>
        <w:sectPr>
          <w:headerReference w:type="default" r:id="rId149"/>
          <w:footerReference w:type="default" r:id="rId150"/>
          <w:pgSz w:w="12240" w:h="15840"/>
          <w:pgMar w:header="529" w:footer="1176" w:top="720" w:bottom="1360" w:left="480" w:right="460"/>
        </w:sectPr>
      </w:pPr>
    </w:p>
    <w:p>
      <w:pPr>
        <w:pStyle w:val="BodyText"/>
        <w:rPr>
          <w:sz w:val="20"/>
        </w:rPr>
      </w:pPr>
    </w:p>
    <w:p>
      <w:pPr>
        <w:pStyle w:val="BodyText"/>
        <w:rPr>
          <w:sz w:val="20"/>
        </w:rPr>
      </w:pPr>
    </w:p>
    <w:p>
      <w:pPr>
        <w:pStyle w:val="BodyText"/>
        <w:spacing w:before="2"/>
        <w:rPr>
          <w:sz w:val="27"/>
        </w:rPr>
      </w:pPr>
    </w:p>
    <w:p>
      <w:pPr>
        <w:pStyle w:val="BodyText"/>
        <w:spacing w:line="249" w:lineRule="auto" w:before="98"/>
        <w:ind w:left="1400" w:right="1464"/>
      </w:pPr>
      <w:r>
        <w:rPr>
          <w:w w:val="105"/>
        </w:rPr>
        <w:t>make discretionary contributions on behalf of participants in the DCP. Deferred amounts under the DCP and Frozen DCP will be unfunded, unsecured obligations subject to the claims of our creditors. The payment of</w:t>
      </w:r>
      <w:r>
        <w:rPr>
          <w:spacing w:val="40"/>
          <w:w w:val="105"/>
        </w:rPr>
        <w:t> </w:t>
      </w:r>
      <w:r>
        <w:rPr>
          <w:w w:val="105"/>
        </w:rPr>
        <w:t>DCP</w:t>
      </w:r>
      <w:r>
        <w:rPr>
          <w:spacing w:val="10"/>
          <w:w w:val="105"/>
        </w:rPr>
        <w:t> </w:t>
      </w:r>
      <w:r>
        <w:rPr>
          <w:w w:val="105"/>
        </w:rPr>
        <w:t>and</w:t>
      </w:r>
      <w:r>
        <w:rPr>
          <w:spacing w:val="19"/>
          <w:w w:val="105"/>
        </w:rPr>
        <w:t> </w:t>
      </w:r>
      <w:r>
        <w:rPr>
          <w:w w:val="105"/>
        </w:rPr>
        <w:t>Frozen</w:t>
      </w:r>
      <w:r>
        <w:rPr>
          <w:spacing w:val="19"/>
          <w:w w:val="105"/>
        </w:rPr>
        <w:t> </w:t>
      </w:r>
      <w:r>
        <w:rPr>
          <w:w w:val="105"/>
        </w:rPr>
        <w:t>DCP</w:t>
      </w:r>
      <w:r>
        <w:rPr>
          <w:spacing w:val="10"/>
          <w:w w:val="105"/>
        </w:rPr>
        <w:t> </w:t>
      </w:r>
      <w:r>
        <w:rPr>
          <w:w w:val="105"/>
        </w:rPr>
        <w:t>benefits</w:t>
      </w:r>
      <w:r>
        <w:rPr>
          <w:spacing w:val="19"/>
          <w:w w:val="105"/>
        </w:rPr>
        <w:t> </w:t>
      </w:r>
      <w:r>
        <w:rPr>
          <w:w w:val="105"/>
        </w:rPr>
        <w:t>will</w:t>
      </w:r>
      <w:r>
        <w:rPr>
          <w:spacing w:val="19"/>
          <w:w w:val="105"/>
        </w:rPr>
        <w:t> </w:t>
      </w:r>
      <w:r>
        <w:rPr>
          <w:w w:val="105"/>
        </w:rPr>
        <w:t>be</w:t>
      </w:r>
      <w:r>
        <w:rPr>
          <w:spacing w:val="19"/>
          <w:w w:val="105"/>
        </w:rPr>
        <w:t> </w:t>
      </w:r>
      <w:r>
        <w:rPr>
          <w:w w:val="105"/>
        </w:rPr>
        <w:t>funded</w:t>
      </w:r>
      <w:r>
        <w:rPr>
          <w:spacing w:val="19"/>
          <w:w w:val="105"/>
        </w:rPr>
        <w:t> </w:t>
      </w:r>
      <w:r>
        <w:rPr>
          <w:w w:val="105"/>
        </w:rPr>
        <w:t>by</w:t>
      </w:r>
      <w:r>
        <w:rPr>
          <w:spacing w:val="19"/>
          <w:w w:val="105"/>
        </w:rPr>
        <w:t> </w:t>
      </w:r>
      <w:r>
        <w:rPr>
          <w:w w:val="105"/>
        </w:rPr>
        <w:t>its</w:t>
      </w:r>
      <w:r>
        <w:rPr>
          <w:spacing w:val="19"/>
          <w:w w:val="105"/>
        </w:rPr>
        <w:t> </w:t>
      </w:r>
      <w:r>
        <w:rPr>
          <w:w w:val="105"/>
        </w:rPr>
        <w:t>general</w:t>
      </w:r>
      <w:r>
        <w:rPr>
          <w:spacing w:val="19"/>
          <w:w w:val="105"/>
        </w:rPr>
        <w:t> </w:t>
      </w:r>
      <w:r>
        <w:rPr>
          <w:w w:val="105"/>
        </w:rPr>
        <w:t>assets,</w:t>
      </w:r>
      <w:r>
        <w:rPr>
          <w:spacing w:val="19"/>
          <w:w w:val="105"/>
        </w:rPr>
        <w:t> </w:t>
      </w:r>
      <w:r>
        <w:rPr>
          <w:w w:val="105"/>
        </w:rPr>
        <w:t>which</w:t>
      </w:r>
      <w:r>
        <w:rPr>
          <w:spacing w:val="19"/>
          <w:w w:val="105"/>
        </w:rPr>
        <w:t> </w:t>
      </w:r>
      <w:r>
        <w:rPr>
          <w:w w:val="105"/>
        </w:rPr>
        <w:t>may</w:t>
      </w:r>
      <w:r>
        <w:rPr>
          <w:spacing w:val="19"/>
          <w:w w:val="105"/>
        </w:rPr>
        <w:t> </w:t>
      </w:r>
      <w:r>
        <w:rPr>
          <w:w w:val="105"/>
        </w:rPr>
        <w:t>be</w:t>
      </w:r>
      <w:r>
        <w:rPr>
          <w:spacing w:val="19"/>
          <w:w w:val="105"/>
        </w:rPr>
        <w:t> </w:t>
      </w:r>
      <w:r>
        <w:rPr>
          <w:w w:val="105"/>
        </w:rPr>
        <w:t>held</w:t>
      </w:r>
      <w:r>
        <w:rPr>
          <w:spacing w:val="19"/>
          <w:w w:val="105"/>
        </w:rPr>
        <w:t> </w:t>
      </w:r>
      <w:r>
        <w:rPr>
          <w:w w:val="105"/>
        </w:rPr>
        <w:t>in</w:t>
      </w:r>
      <w:r>
        <w:rPr>
          <w:spacing w:val="19"/>
          <w:w w:val="105"/>
        </w:rPr>
        <w:t> </w:t>
      </w:r>
      <w:r>
        <w:rPr>
          <w:w w:val="105"/>
        </w:rPr>
        <w:t>a</w:t>
      </w:r>
      <w:r>
        <w:rPr>
          <w:spacing w:val="19"/>
          <w:w w:val="105"/>
        </w:rPr>
        <w:t> </w:t>
      </w:r>
      <w:r>
        <w:rPr>
          <w:w w:val="105"/>
        </w:rPr>
        <w:t>rabbi</w:t>
      </w:r>
      <w:r>
        <w:rPr>
          <w:spacing w:val="19"/>
          <w:w w:val="105"/>
        </w:rPr>
        <w:t> </w:t>
      </w:r>
      <w:r>
        <w:rPr>
          <w:w w:val="105"/>
        </w:rPr>
        <w:t>trust</w:t>
      </w:r>
      <w:r>
        <w:rPr>
          <w:spacing w:val="19"/>
          <w:w w:val="105"/>
        </w:rPr>
        <w:t> </w:t>
      </w:r>
      <w:r>
        <w:rPr>
          <w:w w:val="105"/>
        </w:rPr>
        <w:t>for this purpose.</w:t>
      </w:r>
    </w:p>
    <w:p>
      <w:pPr>
        <w:pStyle w:val="BodyText"/>
        <w:spacing w:line="249" w:lineRule="auto" w:before="146"/>
        <w:ind w:left="1400" w:right="1551" w:firstLine="372"/>
      </w:pPr>
      <w:r>
        <w:rPr>
          <w:w w:val="105"/>
        </w:rPr>
        <w:t>Amounts deferred by a participant into the DCP and any employer contributions are credited to an unfunded bookkeeping account maintained on behalf of each participant. These amounts will be periodically</w:t>
      </w:r>
      <w:r>
        <w:rPr>
          <w:spacing w:val="40"/>
          <w:w w:val="105"/>
        </w:rPr>
        <w:t> </w:t>
      </w:r>
      <w:r>
        <w:rPr>
          <w:w w:val="105"/>
        </w:rPr>
        <w:t>adjusted for earnings and/or losses at a rate that is equal to the various hypothetical investment funds (also</w:t>
      </w:r>
      <w:r>
        <w:rPr>
          <w:spacing w:val="40"/>
          <w:w w:val="105"/>
        </w:rPr>
        <w:t> </w:t>
      </w:r>
      <w:r>
        <w:rPr>
          <w:w w:val="105"/>
        </w:rPr>
        <w:t>referred</w:t>
      </w:r>
      <w:r>
        <w:rPr>
          <w:spacing w:val="26"/>
          <w:w w:val="105"/>
        </w:rPr>
        <w:t> </w:t>
      </w:r>
      <w:r>
        <w:rPr>
          <w:w w:val="105"/>
        </w:rPr>
        <w:t>to</w:t>
      </w:r>
      <w:r>
        <w:rPr>
          <w:spacing w:val="26"/>
          <w:w w:val="105"/>
        </w:rPr>
        <w:t> </w:t>
      </w:r>
      <w:r>
        <w:rPr>
          <w:w w:val="105"/>
        </w:rPr>
        <w:t>as</w:t>
      </w:r>
      <w:r>
        <w:rPr>
          <w:spacing w:val="26"/>
          <w:w w:val="105"/>
        </w:rPr>
        <w:t> </w:t>
      </w:r>
      <w:r>
        <w:rPr>
          <w:w w:val="105"/>
        </w:rPr>
        <w:t>measurement</w:t>
      </w:r>
      <w:r>
        <w:rPr>
          <w:spacing w:val="26"/>
          <w:w w:val="105"/>
        </w:rPr>
        <w:t> </w:t>
      </w:r>
      <w:r>
        <w:rPr>
          <w:w w:val="105"/>
        </w:rPr>
        <w:t>funds)</w:t>
      </w:r>
      <w:r>
        <w:rPr>
          <w:spacing w:val="26"/>
          <w:w w:val="105"/>
        </w:rPr>
        <w:t> </w:t>
      </w:r>
      <w:r>
        <w:rPr>
          <w:w w:val="105"/>
        </w:rPr>
        <w:t>selected</w:t>
      </w:r>
      <w:r>
        <w:rPr>
          <w:spacing w:val="26"/>
          <w:w w:val="105"/>
        </w:rPr>
        <w:t> </w:t>
      </w:r>
      <w:r>
        <w:rPr>
          <w:w w:val="105"/>
        </w:rPr>
        <w:t>by</w:t>
      </w:r>
      <w:r>
        <w:rPr>
          <w:spacing w:val="26"/>
          <w:w w:val="105"/>
        </w:rPr>
        <w:t> </w:t>
      </w:r>
      <w:r>
        <w:rPr>
          <w:w w:val="105"/>
        </w:rPr>
        <w:t>the</w:t>
      </w:r>
      <w:r>
        <w:rPr>
          <w:spacing w:val="26"/>
          <w:w w:val="105"/>
        </w:rPr>
        <w:t> </w:t>
      </w:r>
      <w:r>
        <w:rPr>
          <w:w w:val="105"/>
        </w:rPr>
        <w:t>plan</w:t>
      </w:r>
      <w:r>
        <w:rPr>
          <w:spacing w:val="26"/>
          <w:w w:val="105"/>
        </w:rPr>
        <w:t> </w:t>
      </w:r>
      <w:r>
        <w:rPr>
          <w:w w:val="105"/>
        </w:rPr>
        <w:t>administrator</w:t>
      </w:r>
      <w:r>
        <w:rPr>
          <w:spacing w:val="26"/>
          <w:w w:val="105"/>
        </w:rPr>
        <w:t> </w:t>
      </w:r>
      <w:r>
        <w:rPr>
          <w:w w:val="105"/>
        </w:rPr>
        <w:t>and</w:t>
      </w:r>
      <w:r>
        <w:rPr>
          <w:spacing w:val="26"/>
          <w:w w:val="105"/>
        </w:rPr>
        <w:t> </w:t>
      </w:r>
      <w:r>
        <w:rPr>
          <w:w w:val="105"/>
        </w:rPr>
        <w:t>elected</w:t>
      </w:r>
      <w:r>
        <w:rPr>
          <w:spacing w:val="26"/>
          <w:w w:val="105"/>
        </w:rPr>
        <w:t> </w:t>
      </w:r>
      <w:r>
        <w:rPr>
          <w:w w:val="105"/>
        </w:rPr>
        <w:t>by</w:t>
      </w:r>
      <w:r>
        <w:rPr>
          <w:spacing w:val="26"/>
          <w:w w:val="105"/>
        </w:rPr>
        <w:t> </w:t>
      </w:r>
      <w:r>
        <w:rPr>
          <w:w w:val="105"/>
        </w:rPr>
        <w:t>the</w:t>
      </w:r>
      <w:r>
        <w:rPr>
          <w:spacing w:val="26"/>
          <w:w w:val="105"/>
        </w:rPr>
        <w:t> </w:t>
      </w:r>
      <w:r>
        <w:rPr>
          <w:w w:val="105"/>
        </w:rPr>
        <w:t>participant.</w:t>
      </w:r>
    </w:p>
    <w:p>
      <w:pPr>
        <w:pStyle w:val="BodyText"/>
        <w:spacing w:line="242" w:lineRule="auto" w:before="6"/>
        <w:ind w:left="1400" w:right="1733"/>
      </w:pPr>
      <w:r>
        <w:rPr>
          <w:w w:val="105"/>
        </w:rPr>
        <w:t>Participants may reallocate previously invested money among each of the available measurement funds </w:t>
      </w:r>
      <w:r>
        <w:rPr>
          <w:spacing w:val="-2"/>
          <w:w w:val="105"/>
        </w:rPr>
        <w:t>daily.</w:t>
      </w:r>
    </w:p>
    <w:p>
      <w:pPr>
        <w:pStyle w:val="BodyText"/>
        <w:spacing w:line="249" w:lineRule="auto" w:before="155"/>
        <w:ind w:left="1400" w:right="1560" w:firstLine="372"/>
      </w:pPr>
      <w:r>
        <w:rPr>
          <w:w w:val="105"/>
        </w:rPr>
        <w:t>Under the DCP, a participant will be permitted to make separate distribution elections with respect to</w:t>
      </w:r>
      <w:r>
        <w:rPr>
          <w:spacing w:val="40"/>
          <w:w w:val="105"/>
        </w:rPr>
        <w:t> </w:t>
      </w:r>
      <w:r>
        <w:rPr>
          <w:w w:val="105"/>
        </w:rPr>
        <w:t>each</w:t>
      </w:r>
      <w:r>
        <w:rPr>
          <w:spacing w:val="25"/>
          <w:w w:val="105"/>
        </w:rPr>
        <w:t> </w:t>
      </w:r>
      <w:r>
        <w:rPr>
          <w:w w:val="105"/>
        </w:rPr>
        <w:t>year’s</w:t>
      </w:r>
      <w:r>
        <w:rPr>
          <w:spacing w:val="25"/>
          <w:w w:val="105"/>
        </w:rPr>
        <w:t> </w:t>
      </w:r>
      <w:r>
        <w:rPr>
          <w:w w:val="105"/>
        </w:rPr>
        <w:t>deferrals.</w:t>
      </w:r>
      <w:r>
        <w:rPr>
          <w:spacing w:val="19"/>
          <w:w w:val="105"/>
        </w:rPr>
        <w:t> </w:t>
      </w:r>
      <w:r>
        <w:rPr>
          <w:w w:val="105"/>
        </w:rPr>
        <w:t>These</w:t>
      </w:r>
      <w:r>
        <w:rPr>
          <w:spacing w:val="25"/>
          <w:w w:val="105"/>
        </w:rPr>
        <w:t> </w:t>
      </w:r>
      <w:r>
        <w:rPr>
          <w:w w:val="105"/>
        </w:rPr>
        <w:t>distribution</w:t>
      </w:r>
      <w:r>
        <w:rPr>
          <w:spacing w:val="25"/>
          <w:w w:val="105"/>
        </w:rPr>
        <w:t> </w:t>
      </w:r>
      <w:r>
        <w:rPr>
          <w:w w:val="105"/>
        </w:rPr>
        <w:t>elections</w:t>
      </w:r>
      <w:r>
        <w:rPr>
          <w:spacing w:val="25"/>
          <w:w w:val="105"/>
        </w:rPr>
        <w:t> </w:t>
      </w:r>
      <w:r>
        <w:rPr>
          <w:w w:val="105"/>
        </w:rPr>
        <w:t>will</w:t>
      </w:r>
      <w:r>
        <w:rPr>
          <w:spacing w:val="25"/>
          <w:w w:val="105"/>
        </w:rPr>
        <w:t> </w:t>
      </w:r>
      <w:r>
        <w:rPr>
          <w:w w:val="105"/>
        </w:rPr>
        <w:t>include</w:t>
      </w:r>
      <w:r>
        <w:rPr>
          <w:spacing w:val="25"/>
          <w:w w:val="105"/>
        </w:rPr>
        <w:t> </w:t>
      </w:r>
      <w:r>
        <w:rPr>
          <w:w w:val="105"/>
        </w:rPr>
        <w:t>the</w:t>
      </w:r>
      <w:r>
        <w:rPr>
          <w:spacing w:val="25"/>
          <w:w w:val="105"/>
        </w:rPr>
        <w:t> </w:t>
      </w:r>
      <w:r>
        <w:rPr>
          <w:w w:val="105"/>
        </w:rPr>
        <w:t>ability</w:t>
      </w:r>
      <w:r>
        <w:rPr>
          <w:spacing w:val="25"/>
          <w:w w:val="105"/>
        </w:rPr>
        <w:t> </w:t>
      </w:r>
      <w:r>
        <w:rPr>
          <w:w w:val="105"/>
        </w:rPr>
        <w:t>to</w:t>
      </w:r>
      <w:r>
        <w:rPr>
          <w:spacing w:val="25"/>
          <w:w w:val="105"/>
        </w:rPr>
        <w:t> </w:t>
      </w:r>
      <w:r>
        <w:rPr>
          <w:w w:val="105"/>
        </w:rPr>
        <w:t>elect</w:t>
      </w:r>
      <w:r>
        <w:rPr>
          <w:spacing w:val="25"/>
          <w:w w:val="105"/>
        </w:rPr>
        <w:t> </w:t>
      </w:r>
      <w:r>
        <w:rPr>
          <w:w w:val="105"/>
        </w:rPr>
        <w:t>a</w:t>
      </w:r>
      <w:r>
        <w:rPr>
          <w:spacing w:val="25"/>
          <w:w w:val="105"/>
        </w:rPr>
        <w:t> </w:t>
      </w:r>
      <w:r>
        <w:rPr>
          <w:w w:val="105"/>
        </w:rPr>
        <w:t>single</w:t>
      </w:r>
      <w:r>
        <w:rPr>
          <w:spacing w:val="25"/>
          <w:w w:val="105"/>
        </w:rPr>
        <w:t> </w:t>
      </w:r>
      <w:r>
        <w:rPr>
          <w:w w:val="105"/>
        </w:rPr>
        <w:t>lump</w:t>
      </w:r>
      <w:r>
        <w:rPr>
          <w:spacing w:val="25"/>
          <w:w w:val="105"/>
        </w:rPr>
        <w:t> </w:t>
      </w:r>
      <w:r>
        <w:rPr>
          <w:w w:val="105"/>
        </w:rPr>
        <w:t>sum payment</w:t>
      </w:r>
      <w:r>
        <w:rPr>
          <w:spacing w:val="26"/>
          <w:w w:val="105"/>
        </w:rPr>
        <w:t> </w:t>
      </w:r>
      <w:r>
        <w:rPr>
          <w:w w:val="105"/>
        </w:rPr>
        <w:t>or</w:t>
      </w:r>
      <w:r>
        <w:rPr>
          <w:spacing w:val="26"/>
          <w:w w:val="105"/>
        </w:rPr>
        <w:t> </w:t>
      </w:r>
      <w:r>
        <w:rPr>
          <w:w w:val="105"/>
        </w:rPr>
        <w:t>installment</w:t>
      </w:r>
      <w:r>
        <w:rPr>
          <w:spacing w:val="26"/>
          <w:w w:val="105"/>
        </w:rPr>
        <w:t> </w:t>
      </w:r>
      <w:r>
        <w:rPr>
          <w:w w:val="105"/>
        </w:rPr>
        <w:t>payments</w:t>
      </w:r>
      <w:r>
        <w:rPr>
          <w:spacing w:val="26"/>
          <w:w w:val="105"/>
        </w:rPr>
        <w:t> </w:t>
      </w:r>
      <w:r>
        <w:rPr>
          <w:w w:val="105"/>
        </w:rPr>
        <w:t>for</w:t>
      </w:r>
      <w:r>
        <w:rPr>
          <w:spacing w:val="26"/>
          <w:w w:val="105"/>
        </w:rPr>
        <w:t> </w:t>
      </w:r>
      <w:r>
        <w:rPr>
          <w:w w:val="105"/>
        </w:rPr>
        <w:t>up</w:t>
      </w:r>
      <w:r>
        <w:rPr>
          <w:spacing w:val="26"/>
          <w:w w:val="105"/>
        </w:rPr>
        <w:t> </w:t>
      </w:r>
      <w:r>
        <w:rPr>
          <w:w w:val="105"/>
        </w:rPr>
        <w:t>to</w:t>
      </w:r>
      <w:r>
        <w:rPr>
          <w:spacing w:val="26"/>
          <w:w w:val="105"/>
        </w:rPr>
        <w:t> </w:t>
      </w:r>
      <w:r>
        <w:rPr>
          <w:w w:val="105"/>
        </w:rPr>
        <w:t>10</w:t>
      </w:r>
      <w:r>
        <w:rPr>
          <w:spacing w:val="26"/>
          <w:w w:val="105"/>
        </w:rPr>
        <w:t> </w:t>
      </w:r>
      <w:r>
        <w:rPr>
          <w:w w:val="105"/>
        </w:rPr>
        <w:t>years</w:t>
      </w:r>
      <w:r>
        <w:rPr>
          <w:spacing w:val="26"/>
          <w:w w:val="105"/>
        </w:rPr>
        <w:t> </w:t>
      </w:r>
      <w:r>
        <w:rPr>
          <w:w w:val="105"/>
        </w:rPr>
        <w:t>following</w:t>
      </w:r>
      <w:r>
        <w:rPr>
          <w:spacing w:val="26"/>
          <w:w w:val="105"/>
        </w:rPr>
        <w:t> </w:t>
      </w:r>
      <w:r>
        <w:rPr>
          <w:w w:val="105"/>
        </w:rPr>
        <w:t>termination</w:t>
      </w:r>
      <w:r>
        <w:rPr>
          <w:spacing w:val="26"/>
          <w:w w:val="105"/>
        </w:rPr>
        <w:t> </w:t>
      </w:r>
      <w:r>
        <w:rPr>
          <w:w w:val="105"/>
        </w:rPr>
        <w:t>of</w:t>
      </w:r>
      <w:r>
        <w:rPr>
          <w:spacing w:val="26"/>
          <w:w w:val="105"/>
        </w:rPr>
        <w:t> </w:t>
      </w:r>
      <w:r>
        <w:rPr>
          <w:w w:val="105"/>
        </w:rPr>
        <w:t>employment.</w:t>
      </w:r>
      <w:r>
        <w:rPr>
          <w:spacing w:val="26"/>
          <w:w w:val="105"/>
        </w:rPr>
        <w:t> </w:t>
      </w:r>
      <w:r>
        <w:rPr>
          <w:w w:val="105"/>
        </w:rPr>
        <w:t>Deferrals</w:t>
      </w:r>
      <w:r>
        <w:rPr>
          <w:spacing w:val="26"/>
          <w:w w:val="105"/>
        </w:rPr>
        <w:t> </w:t>
      </w:r>
      <w:r>
        <w:rPr>
          <w:w w:val="105"/>
        </w:rPr>
        <w:t>also may be paid out prior to termination of employment in the event of a financial hardship or if the participant</w:t>
      </w:r>
      <w:r>
        <w:rPr>
          <w:spacing w:val="40"/>
          <w:w w:val="105"/>
        </w:rPr>
        <w:t> </w:t>
      </w:r>
      <w:r>
        <w:rPr>
          <w:w w:val="105"/>
        </w:rPr>
        <w:t>makes a short-term payout election, and such deferrals will be paid in the form of a lump sum. Under the</w:t>
      </w:r>
      <w:r>
        <w:rPr>
          <w:spacing w:val="80"/>
          <w:w w:val="105"/>
        </w:rPr>
        <w:t> </w:t>
      </w:r>
      <w:r>
        <w:rPr>
          <w:w w:val="105"/>
        </w:rPr>
        <w:t>DCP, amounts credited as Company contributions are paid in the form of a lump sum following a</w:t>
      </w:r>
      <w:r>
        <w:rPr>
          <w:spacing w:val="80"/>
          <w:w w:val="105"/>
        </w:rPr>
        <w:t> </w:t>
      </w:r>
      <w:r>
        <w:rPr>
          <w:w w:val="105"/>
        </w:rPr>
        <w:t>participant’s separation from service.</w:t>
      </w:r>
    </w:p>
    <w:p>
      <w:pPr>
        <w:pStyle w:val="BodyText"/>
        <w:spacing w:line="247" w:lineRule="auto" w:before="142"/>
        <w:ind w:left="1400" w:right="1584" w:firstLine="372"/>
      </w:pPr>
      <w:r>
        <w:rPr>
          <w:w w:val="105"/>
        </w:rPr>
        <w:t>Under the Frozen DCP, upon retirement, a participant’s accounts will be paid in a single lump sum payment or in installment payments of up to 15 years following retirement, as elected by the participant in</w:t>
      </w:r>
      <w:r>
        <w:rPr>
          <w:spacing w:val="40"/>
          <w:w w:val="105"/>
        </w:rPr>
        <w:t> </w:t>
      </w:r>
      <w:r>
        <w:rPr>
          <w:w w:val="105"/>
        </w:rPr>
        <w:t>accordance with the terms of the plan. Upon a pre-retirement termination of employment, a participant’s accounts</w:t>
      </w:r>
      <w:r>
        <w:rPr>
          <w:spacing w:val="18"/>
          <w:w w:val="105"/>
        </w:rPr>
        <w:t> </w:t>
      </w:r>
      <w:r>
        <w:rPr>
          <w:w w:val="105"/>
        </w:rPr>
        <w:t>will</w:t>
      </w:r>
      <w:r>
        <w:rPr>
          <w:spacing w:val="18"/>
          <w:w w:val="105"/>
        </w:rPr>
        <w:t> </w:t>
      </w:r>
      <w:r>
        <w:rPr>
          <w:w w:val="105"/>
        </w:rPr>
        <w:t>be</w:t>
      </w:r>
      <w:r>
        <w:rPr>
          <w:spacing w:val="18"/>
          <w:w w:val="105"/>
        </w:rPr>
        <w:t> </w:t>
      </w:r>
      <w:r>
        <w:rPr>
          <w:w w:val="105"/>
        </w:rPr>
        <w:t>paid</w:t>
      </w:r>
      <w:r>
        <w:rPr>
          <w:spacing w:val="18"/>
          <w:w w:val="105"/>
        </w:rPr>
        <w:t> </w:t>
      </w:r>
      <w:r>
        <w:rPr>
          <w:w w:val="105"/>
        </w:rPr>
        <w:t>in</w:t>
      </w:r>
      <w:r>
        <w:rPr>
          <w:spacing w:val="18"/>
          <w:w w:val="105"/>
        </w:rPr>
        <w:t> </w:t>
      </w:r>
      <w:r>
        <w:rPr>
          <w:w w:val="105"/>
        </w:rPr>
        <w:t>a</w:t>
      </w:r>
      <w:r>
        <w:rPr>
          <w:spacing w:val="18"/>
          <w:w w:val="105"/>
        </w:rPr>
        <w:t> </w:t>
      </w:r>
      <w:r>
        <w:rPr>
          <w:w w:val="105"/>
        </w:rPr>
        <w:t>lump</w:t>
      </w:r>
      <w:r>
        <w:rPr>
          <w:spacing w:val="18"/>
          <w:w w:val="105"/>
        </w:rPr>
        <w:t> </w:t>
      </w:r>
      <w:r>
        <w:rPr>
          <w:w w:val="105"/>
        </w:rPr>
        <w:t>sum</w:t>
      </w:r>
      <w:r>
        <w:rPr>
          <w:spacing w:val="18"/>
          <w:w w:val="105"/>
        </w:rPr>
        <w:t> </w:t>
      </w:r>
      <w:r>
        <w:rPr>
          <w:w w:val="105"/>
        </w:rPr>
        <w:t>(or</w:t>
      </w:r>
      <w:r>
        <w:rPr>
          <w:spacing w:val="18"/>
          <w:w w:val="105"/>
        </w:rPr>
        <w:t> </w:t>
      </w:r>
      <w:r>
        <w:rPr>
          <w:w w:val="105"/>
        </w:rPr>
        <w:t>if</w:t>
      </w:r>
      <w:r>
        <w:rPr>
          <w:spacing w:val="18"/>
          <w:w w:val="105"/>
        </w:rPr>
        <w:t> </w:t>
      </w:r>
      <w:r>
        <w:rPr>
          <w:w w:val="105"/>
        </w:rPr>
        <w:t>they</w:t>
      </w:r>
      <w:r>
        <w:rPr>
          <w:spacing w:val="18"/>
          <w:w w:val="105"/>
        </w:rPr>
        <w:t> </w:t>
      </w:r>
      <w:r>
        <w:rPr>
          <w:w w:val="105"/>
        </w:rPr>
        <w:t>equal</w:t>
      </w:r>
      <w:r>
        <w:rPr>
          <w:spacing w:val="18"/>
          <w:w w:val="105"/>
        </w:rPr>
        <w:t> </w:t>
      </w:r>
      <w:r>
        <w:rPr>
          <w:w w:val="105"/>
        </w:rPr>
        <w:t>or</w:t>
      </w:r>
      <w:r>
        <w:rPr>
          <w:spacing w:val="18"/>
          <w:w w:val="105"/>
        </w:rPr>
        <w:t> </w:t>
      </w:r>
      <w:r>
        <w:rPr>
          <w:w w:val="105"/>
        </w:rPr>
        <w:t>exceed</w:t>
      </w:r>
      <w:r>
        <w:rPr>
          <w:spacing w:val="18"/>
          <w:w w:val="105"/>
        </w:rPr>
        <w:t> </w:t>
      </w:r>
      <w:r>
        <w:rPr>
          <w:w w:val="105"/>
        </w:rPr>
        <w:t>$50,000</w:t>
      </w:r>
      <w:r>
        <w:rPr>
          <w:spacing w:val="18"/>
          <w:w w:val="105"/>
        </w:rPr>
        <w:t> </w:t>
      </w:r>
      <w:r>
        <w:rPr>
          <w:w w:val="105"/>
        </w:rPr>
        <w:t>in</w:t>
      </w:r>
      <w:r>
        <w:rPr>
          <w:spacing w:val="18"/>
          <w:w w:val="105"/>
        </w:rPr>
        <w:t> </w:t>
      </w:r>
      <w:r>
        <w:rPr>
          <w:w w:val="105"/>
        </w:rPr>
        <w:t>the</w:t>
      </w:r>
      <w:r>
        <w:rPr>
          <w:spacing w:val="18"/>
          <w:w w:val="105"/>
        </w:rPr>
        <w:t> </w:t>
      </w:r>
      <w:r>
        <w:rPr>
          <w:w w:val="105"/>
        </w:rPr>
        <w:t>aggregate,</w:t>
      </w:r>
      <w:r>
        <w:rPr>
          <w:spacing w:val="18"/>
          <w:w w:val="105"/>
        </w:rPr>
        <w:t> </w:t>
      </w:r>
      <w:r>
        <w:rPr>
          <w:w w:val="105"/>
        </w:rPr>
        <w:t>in</w:t>
      </w:r>
      <w:r>
        <w:rPr>
          <w:spacing w:val="18"/>
          <w:w w:val="105"/>
        </w:rPr>
        <w:t> </w:t>
      </w:r>
      <w:r>
        <w:rPr>
          <w:w w:val="105"/>
        </w:rPr>
        <w:t>up</w:t>
      </w:r>
      <w:r>
        <w:rPr>
          <w:spacing w:val="18"/>
          <w:w w:val="105"/>
        </w:rPr>
        <w:t> </w:t>
      </w:r>
      <w:r>
        <w:rPr>
          <w:w w:val="105"/>
        </w:rPr>
        <w:t>to</w:t>
      </w:r>
      <w:r>
        <w:rPr>
          <w:spacing w:val="18"/>
          <w:w w:val="105"/>
        </w:rPr>
        <w:t> </w:t>
      </w:r>
      <w:r>
        <w:rPr>
          <w:w w:val="105"/>
        </w:rPr>
        <w:t>five annual installments if approved by the plan committee). Deferrals under the Frozen DCP also may be paid</w:t>
      </w:r>
      <w:r>
        <w:rPr>
          <w:spacing w:val="40"/>
          <w:w w:val="105"/>
        </w:rPr>
        <w:t> </w:t>
      </w:r>
      <w:r>
        <w:rPr>
          <w:w w:val="105"/>
        </w:rPr>
        <w:t>out prior to termination of employment in the event of a financial hardship or if the participant makes a</w:t>
      </w:r>
      <w:r>
        <w:rPr>
          <w:spacing w:val="80"/>
          <w:w w:val="105"/>
        </w:rPr>
        <w:t> </w:t>
      </w:r>
      <w:r>
        <w:rPr>
          <w:w w:val="105"/>
        </w:rPr>
        <w:t>short-term payout election. Special rules also apply to distributions following a participant’s death or</w:t>
      </w:r>
      <w:r>
        <w:rPr>
          <w:spacing w:val="40"/>
          <w:w w:val="105"/>
        </w:rPr>
        <w:t> </w:t>
      </w:r>
      <w:r>
        <w:rPr>
          <w:spacing w:val="-2"/>
          <w:w w:val="105"/>
        </w:rPr>
        <w:t>disability.</w:t>
      </w:r>
    </w:p>
    <w:p>
      <w:pPr>
        <w:pStyle w:val="BodyText"/>
        <w:spacing w:line="249" w:lineRule="auto" w:before="154"/>
        <w:ind w:left="1400" w:right="1402" w:firstLine="372"/>
      </w:pPr>
      <w:r>
        <w:rPr>
          <w:w w:val="105"/>
        </w:rPr>
        <w:t>The DCP and Frozen DCP may be terminated by action of the Board. In the case of the DCP, upon termination,</w:t>
      </w:r>
      <w:r>
        <w:rPr>
          <w:spacing w:val="21"/>
          <w:w w:val="105"/>
        </w:rPr>
        <w:t> </w:t>
      </w:r>
      <w:r>
        <w:rPr>
          <w:w w:val="105"/>
        </w:rPr>
        <w:t>benefits</w:t>
      </w:r>
      <w:r>
        <w:rPr>
          <w:spacing w:val="21"/>
          <w:w w:val="105"/>
        </w:rPr>
        <w:t> </w:t>
      </w:r>
      <w:r>
        <w:rPr>
          <w:w w:val="105"/>
        </w:rPr>
        <w:t>will</w:t>
      </w:r>
      <w:r>
        <w:rPr>
          <w:spacing w:val="21"/>
          <w:w w:val="105"/>
        </w:rPr>
        <w:t> </w:t>
      </w:r>
      <w:r>
        <w:rPr>
          <w:w w:val="105"/>
        </w:rPr>
        <w:t>be</w:t>
      </w:r>
      <w:r>
        <w:rPr>
          <w:spacing w:val="21"/>
          <w:w w:val="105"/>
        </w:rPr>
        <w:t> </w:t>
      </w:r>
      <w:r>
        <w:rPr>
          <w:w w:val="105"/>
        </w:rPr>
        <w:t>distributed</w:t>
      </w:r>
      <w:r>
        <w:rPr>
          <w:spacing w:val="21"/>
          <w:w w:val="105"/>
        </w:rPr>
        <w:t> </w:t>
      </w:r>
      <w:r>
        <w:rPr>
          <w:w w:val="105"/>
        </w:rPr>
        <w:t>as</w:t>
      </w:r>
      <w:r>
        <w:rPr>
          <w:spacing w:val="21"/>
          <w:w w:val="105"/>
        </w:rPr>
        <w:t> </w:t>
      </w:r>
      <w:r>
        <w:rPr>
          <w:w w:val="105"/>
        </w:rPr>
        <w:t>soon</w:t>
      </w:r>
      <w:r>
        <w:rPr>
          <w:spacing w:val="21"/>
          <w:w w:val="105"/>
        </w:rPr>
        <w:t> </w:t>
      </w:r>
      <w:r>
        <w:rPr>
          <w:w w:val="105"/>
        </w:rPr>
        <w:t>as</w:t>
      </w:r>
      <w:r>
        <w:rPr>
          <w:spacing w:val="21"/>
          <w:w w:val="105"/>
        </w:rPr>
        <w:t> </w:t>
      </w:r>
      <w:r>
        <w:rPr>
          <w:w w:val="105"/>
        </w:rPr>
        <w:t>the</w:t>
      </w:r>
      <w:r>
        <w:rPr>
          <w:spacing w:val="21"/>
          <w:w w:val="105"/>
        </w:rPr>
        <w:t> </w:t>
      </w:r>
      <w:r>
        <w:rPr>
          <w:w w:val="105"/>
        </w:rPr>
        <w:t>plan</w:t>
      </w:r>
      <w:r>
        <w:rPr>
          <w:spacing w:val="21"/>
          <w:w w:val="105"/>
        </w:rPr>
        <w:t> </w:t>
      </w:r>
      <w:r>
        <w:rPr>
          <w:w w:val="105"/>
        </w:rPr>
        <w:t>and</w:t>
      </w:r>
      <w:r>
        <w:rPr>
          <w:spacing w:val="21"/>
          <w:w w:val="105"/>
        </w:rPr>
        <w:t> </w:t>
      </w:r>
      <w:r>
        <w:rPr>
          <w:w w:val="105"/>
        </w:rPr>
        <w:t>Section</w:t>
      </w:r>
      <w:r>
        <w:rPr>
          <w:spacing w:val="21"/>
          <w:w w:val="105"/>
        </w:rPr>
        <w:t> </w:t>
      </w:r>
      <w:r>
        <w:rPr>
          <w:w w:val="105"/>
        </w:rPr>
        <w:t>409A</w:t>
      </w:r>
      <w:r>
        <w:rPr>
          <w:spacing w:val="7"/>
          <w:w w:val="105"/>
        </w:rPr>
        <w:t> </w:t>
      </w:r>
      <w:r>
        <w:rPr>
          <w:w w:val="105"/>
        </w:rPr>
        <w:t>of</w:t>
      </w:r>
      <w:r>
        <w:rPr>
          <w:spacing w:val="21"/>
          <w:w w:val="105"/>
        </w:rPr>
        <w:t> </w:t>
      </w:r>
      <w:r>
        <w:rPr>
          <w:w w:val="105"/>
        </w:rPr>
        <w:t>the</w:t>
      </w:r>
      <w:r>
        <w:rPr>
          <w:spacing w:val="21"/>
          <w:w w:val="105"/>
        </w:rPr>
        <w:t> </w:t>
      </w:r>
      <w:r>
        <w:rPr>
          <w:w w:val="105"/>
        </w:rPr>
        <w:t>Code</w:t>
      </w:r>
      <w:r>
        <w:rPr>
          <w:spacing w:val="21"/>
          <w:w w:val="105"/>
        </w:rPr>
        <w:t> </w:t>
      </w:r>
      <w:r>
        <w:rPr>
          <w:w w:val="105"/>
        </w:rPr>
        <w:t>permit.</w:t>
      </w:r>
      <w:r>
        <w:rPr>
          <w:spacing w:val="21"/>
          <w:w w:val="105"/>
        </w:rPr>
        <w:t> </w:t>
      </w:r>
      <w:r>
        <w:rPr>
          <w:w w:val="105"/>
        </w:rPr>
        <w:t>In</w:t>
      </w:r>
      <w:r>
        <w:rPr>
          <w:spacing w:val="21"/>
          <w:w w:val="105"/>
        </w:rPr>
        <w:t> </w:t>
      </w:r>
      <w:r>
        <w:rPr>
          <w:w w:val="105"/>
        </w:rPr>
        <w:t>the</w:t>
      </w:r>
      <w:r>
        <w:rPr>
          <w:w w:val="105"/>
        </w:rPr>
        <w:t> case</w:t>
      </w:r>
      <w:r>
        <w:rPr>
          <w:spacing w:val="11"/>
          <w:w w:val="105"/>
        </w:rPr>
        <w:t> </w:t>
      </w:r>
      <w:r>
        <w:rPr>
          <w:w w:val="105"/>
        </w:rPr>
        <w:t>of</w:t>
      </w:r>
      <w:r>
        <w:rPr>
          <w:spacing w:val="11"/>
          <w:w w:val="105"/>
        </w:rPr>
        <w:t> </w:t>
      </w:r>
      <w:r>
        <w:rPr>
          <w:w w:val="105"/>
        </w:rPr>
        <w:t>the</w:t>
      </w:r>
      <w:r>
        <w:rPr>
          <w:spacing w:val="11"/>
          <w:w w:val="105"/>
        </w:rPr>
        <w:t> </w:t>
      </w:r>
      <w:r>
        <w:rPr>
          <w:w w:val="105"/>
        </w:rPr>
        <w:t>Frozen</w:t>
      </w:r>
      <w:r>
        <w:rPr>
          <w:spacing w:val="11"/>
          <w:w w:val="105"/>
        </w:rPr>
        <w:t> </w:t>
      </w:r>
      <w:r>
        <w:rPr>
          <w:w w:val="105"/>
        </w:rPr>
        <w:t>DCP,</w:t>
      </w:r>
      <w:r>
        <w:rPr>
          <w:spacing w:val="11"/>
          <w:w w:val="105"/>
        </w:rPr>
        <w:t> </w:t>
      </w:r>
      <w:r>
        <w:rPr>
          <w:w w:val="105"/>
        </w:rPr>
        <w:t>upon</w:t>
      </w:r>
      <w:r>
        <w:rPr>
          <w:spacing w:val="11"/>
          <w:w w:val="105"/>
        </w:rPr>
        <w:t> </w:t>
      </w:r>
      <w:r>
        <w:rPr>
          <w:w w:val="105"/>
        </w:rPr>
        <w:t>termination,</w:t>
      </w:r>
      <w:r>
        <w:rPr>
          <w:spacing w:val="11"/>
          <w:w w:val="105"/>
        </w:rPr>
        <w:t> </w:t>
      </w:r>
      <w:r>
        <w:rPr>
          <w:w w:val="105"/>
        </w:rPr>
        <w:t>payments</w:t>
      </w:r>
      <w:r>
        <w:rPr>
          <w:spacing w:val="11"/>
          <w:w w:val="105"/>
        </w:rPr>
        <w:t> </w:t>
      </w:r>
      <w:r>
        <w:rPr>
          <w:w w:val="105"/>
        </w:rPr>
        <w:t>will</w:t>
      </w:r>
      <w:r>
        <w:rPr>
          <w:spacing w:val="11"/>
          <w:w w:val="105"/>
        </w:rPr>
        <w:t> </w:t>
      </w:r>
      <w:r>
        <w:rPr>
          <w:w w:val="105"/>
        </w:rPr>
        <w:t>generally</w:t>
      </w:r>
      <w:r>
        <w:rPr>
          <w:spacing w:val="11"/>
          <w:w w:val="105"/>
        </w:rPr>
        <w:t> </w:t>
      </w:r>
      <w:r>
        <w:rPr>
          <w:w w:val="105"/>
        </w:rPr>
        <w:t>be</w:t>
      </w:r>
      <w:r>
        <w:rPr>
          <w:spacing w:val="11"/>
          <w:w w:val="105"/>
        </w:rPr>
        <w:t> </w:t>
      </w:r>
      <w:r>
        <w:rPr>
          <w:w w:val="105"/>
        </w:rPr>
        <w:t>made</w:t>
      </w:r>
      <w:r>
        <w:rPr>
          <w:spacing w:val="11"/>
          <w:w w:val="105"/>
        </w:rPr>
        <w:t> </w:t>
      </w:r>
      <w:r>
        <w:rPr>
          <w:w w:val="105"/>
        </w:rPr>
        <w:t>in</w:t>
      </w:r>
      <w:r>
        <w:rPr>
          <w:spacing w:val="11"/>
          <w:w w:val="105"/>
        </w:rPr>
        <w:t> </w:t>
      </w:r>
      <w:r>
        <w:rPr>
          <w:w w:val="105"/>
        </w:rPr>
        <w:t>a</w:t>
      </w:r>
      <w:r>
        <w:rPr>
          <w:spacing w:val="11"/>
          <w:w w:val="105"/>
        </w:rPr>
        <w:t> </w:t>
      </w:r>
      <w:r>
        <w:rPr>
          <w:w w:val="105"/>
        </w:rPr>
        <w:t>lump</w:t>
      </w:r>
      <w:r>
        <w:rPr>
          <w:spacing w:val="11"/>
          <w:w w:val="105"/>
        </w:rPr>
        <w:t> </w:t>
      </w:r>
      <w:r>
        <w:rPr>
          <w:w w:val="105"/>
        </w:rPr>
        <w:t>sum</w:t>
      </w:r>
      <w:r>
        <w:rPr>
          <w:spacing w:val="11"/>
          <w:w w:val="105"/>
        </w:rPr>
        <w:t> </w:t>
      </w:r>
      <w:r>
        <w:rPr>
          <w:w w:val="105"/>
        </w:rPr>
        <w:t>but</w:t>
      </w:r>
      <w:r>
        <w:rPr>
          <w:spacing w:val="11"/>
          <w:w w:val="105"/>
        </w:rPr>
        <w:t> </w:t>
      </w:r>
      <w:r>
        <w:rPr>
          <w:w w:val="105"/>
        </w:rPr>
        <w:t>may</w:t>
      </w:r>
      <w:r>
        <w:rPr>
          <w:spacing w:val="11"/>
          <w:w w:val="105"/>
        </w:rPr>
        <w:t> </w:t>
      </w:r>
      <w:r>
        <w:rPr>
          <w:w w:val="105"/>
        </w:rPr>
        <w:t>be</w:t>
      </w:r>
      <w:r>
        <w:rPr>
          <w:spacing w:val="11"/>
          <w:w w:val="105"/>
        </w:rPr>
        <w:t> </w:t>
      </w:r>
      <w:r>
        <w:rPr>
          <w:w w:val="105"/>
        </w:rPr>
        <w:t>made in</w:t>
      </w:r>
      <w:r>
        <w:rPr>
          <w:spacing w:val="15"/>
          <w:w w:val="105"/>
        </w:rPr>
        <w:t> </w:t>
      </w:r>
      <w:r>
        <w:rPr>
          <w:w w:val="105"/>
        </w:rPr>
        <w:t>annual</w:t>
      </w:r>
      <w:r>
        <w:rPr>
          <w:spacing w:val="15"/>
          <w:w w:val="105"/>
        </w:rPr>
        <w:t> </w:t>
      </w:r>
      <w:r>
        <w:rPr>
          <w:w w:val="105"/>
        </w:rPr>
        <w:t>installments</w:t>
      </w:r>
      <w:r>
        <w:rPr>
          <w:spacing w:val="15"/>
          <w:w w:val="105"/>
        </w:rPr>
        <w:t> </w:t>
      </w:r>
      <w:r>
        <w:rPr>
          <w:w w:val="105"/>
        </w:rPr>
        <w:t>of</w:t>
      </w:r>
      <w:r>
        <w:rPr>
          <w:spacing w:val="15"/>
          <w:w w:val="105"/>
        </w:rPr>
        <w:t> </w:t>
      </w:r>
      <w:r>
        <w:rPr>
          <w:w w:val="105"/>
        </w:rPr>
        <w:t>up</w:t>
      </w:r>
      <w:r>
        <w:rPr>
          <w:spacing w:val="15"/>
          <w:w w:val="105"/>
        </w:rPr>
        <w:t> </w:t>
      </w:r>
      <w:r>
        <w:rPr>
          <w:w w:val="105"/>
        </w:rPr>
        <w:t>to</w:t>
      </w:r>
      <w:r>
        <w:rPr>
          <w:spacing w:val="15"/>
          <w:w w:val="105"/>
        </w:rPr>
        <w:t> </w:t>
      </w:r>
      <w:r>
        <w:rPr>
          <w:w w:val="105"/>
        </w:rPr>
        <w:t>fifteen</w:t>
      </w:r>
      <w:r>
        <w:rPr>
          <w:spacing w:val="15"/>
          <w:w w:val="105"/>
        </w:rPr>
        <w:t> </w:t>
      </w:r>
      <w:r>
        <w:rPr>
          <w:w w:val="105"/>
        </w:rPr>
        <w:t>years</w:t>
      </w:r>
      <w:r>
        <w:rPr>
          <w:spacing w:val="15"/>
          <w:w w:val="105"/>
        </w:rPr>
        <w:t> </w:t>
      </w:r>
      <w:r>
        <w:rPr>
          <w:w w:val="105"/>
        </w:rPr>
        <w:t>for</w:t>
      </w:r>
      <w:r>
        <w:rPr>
          <w:spacing w:val="15"/>
          <w:w w:val="105"/>
        </w:rPr>
        <w:t> </w:t>
      </w:r>
      <w:r>
        <w:rPr>
          <w:w w:val="105"/>
        </w:rPr>
        <w:t>plan</w:t>
      </w:r>
      <w:r>
        <w:rPr>
          <w:spacing w:val="15"/>
          <w:w w:val="105"/>
        </w:rPr>
        <w:t> </w:t>
      </w:r>
      <w:r>
        <w:rPr>
          <w:w w:val="105"/>
        </w:rPr>
        <w:t>terminations</w:t>
      </w:r>
      <w:r>
        <w:rPr>
          <w:spacing w:val="15"/>
          <w:w w:val="105"/>
        </w:rPr>
        <w:t> </w:t>
      </w:r>
      <w:r>
        <w:rPr>
          <w:w w:val="105"/>
        </w:rPr>
        <w:t>covering</w:t>
      </w:r>
      <w:r>
        <w:rPr>
          <w:spacing w:val="15"/>
          <w:w w:val="105"/>
        </w:rPr>
        <w:t> </w:t>
      </w:r>
      <w:r>
        <w:rPr>
          <w:w w:val="105"/>
        </w:rPr>
        <w:t>all</w:t>
      </w:r>
      <w:r>
        <w:rPr>
          <w:spacing w:val="15"/>
          <w:w w:val="105"/>
        </w:rPr>
        <w:t> </w:t>
      </w:r>
      <w:r>
        <w:rPr>
          <w:w w:val="105"/>
        </w:rPr>
        <w:t>participants</w:t>
      </w:r>
      <w:r>
        <w:rPr>
          <w:spacing w:val="15"/>
          <w:w w:val="105"/>
        </w:rPr>
        <w:t> </w:t>
      </w:r>
      <w:r>
        <w:rPr>
          <w:w w:val="105"/>
        </w:rPr>
        <w:t>that</w:t>
      </w:r>
      <w:r>
        <w:rPr>
          <w:spacing w:val="15"/>
          <w:w w:val="105"/>
        </w:rPr>
        <w:t> </w:t>
      </w:r>
      <w:r>
        <w:rPr>
          <w:w w:val="105"/>
        </w:rPr>
        <w:t>occur</w:t>
      </w:r>
      <w:r>
        <w:rPr>
          <w:spacing w:val="15"/>
          <w:w w:val="105"/>
        </w:rPr>
        <w:t> </w:t>
      </w:r>
      <w:r>
        <w:rPr>
          <w:w w:val="105"/>
        </w:rPr>
        <w:t>prior</w:t>
      </w:r>
      <w:r>
        <w:rPr>
          <w:spacing w:val="15"/>
          <w:w w:val="105"/>
        </w:rPr>
        <w:t> </w:t>
      </w:r>
      <w:r>
        <w:rPr>
          <w:w w:val="105"/>
        </w:rPr>
        <w:t>to a</w:t>
      </w:r>
      <w:r>
        <w:rPr>
          <w:spacing w:val="17"/>
          <w:w w:val="105"/>
        </w:rPr>
        <w:t> </w:t>
      </w:r>
      <w:r>
        <w:rPr>
          <w:w w:val="105"/>
        </w:rPr>
        <w:t>change</w:t>
      </w:r>
      <w:r>
        <w:rPr>
          <w:spacing w:val="17"/>
          <w:w w:val="105"/>
        </w:rPr>
        <w:t> </w:t>
      </w:r>
      <w:r>
        <w:rPr>
          <w:w w:val="105"/>
        </w:rPr>
        <w:t>in</w:t>
      </w:r>
      <w:r>
        <w:rPr>
          <w:spacing w:val="17"/>
          <w:w w:val="105"/>
        </w:rPr>
        <w:t> </w:t>
      </w:r>
      <w:r>
        <w:rPr>
          <w:w w:val="105"/>
        </w:rPr>
        <w:t>control,</w:t>
      </w:r>
      <w:r>
        <w:rPr>
          <w:spacing w:val="17"/>
          <w:w w:val="105"/>
        </w:rPr>
        <w:t> </w:t>
      </w:r>
      <w:r>
        <w:rPr>
          <w:w w:val="105"/>
        </w:rPr>
        <w:t>in</w:t>
      </w:r>
      <w:r>
        <w:rPr>
          <w:spacing w:val="17"/>
          <w:w w:val="105"/>
        </w:rPr>
        <w:t> </w:t>
      </w:r>
      <w:r>
        <w:rPr>
          <w:w w:val="105"/>
        </w:rPr>
        <w:t>each</w:t>
      </w:r>
      <w:r>
        <w:rPr>
          <w:spacing w:val="17"/>
          <w:w w:val="105"/>
        </w:rPr>
        <w:t> </w:t>
      </w:r>
      <w:r>
        <w:rPr>
          <w:w w:val="105"/>
        </w:rPr>
        <w:t>case,</w:t>
      </w:r>
      <w:r>
        <w:rPr>
          <w:spacing w:val="17"/>
          <w:w w:val="105"/>
        </w:rPr>
        <w:t> </w:t>
      </w:r>
      <w:r>
        <w:rPr>
          <w:w w:val="105"/>
        </w:rPr>
        <w:t>except</w:t>
      </w:r>
      <w:r>
        <w:rPr>
          <w:spacing w:val="17"/>
          <w:w w:val="105"/>
        </w:rPr>
        <w:t> </w:t>
      </w:r>
      <w:r>
        <w:rPr>
          <w:w w:val="105"/>
        </w:rPr>
        <w:t>as</w:t>
      </w:r>
      <w:r>
        <w:rPr>
          <w:spacing w:val="17"/>
          <w:w w:val="105"/>
        </w:rPr>
        <w:t> </w:t>
      </w:r>
      <w:r>
        <w:rPr>
          <w:w w:val="105"/>
        </w:rPr>
        <w:t>would</w:t>
      </w:r>
      <w:r>
        <w:rPr>
          <w:spacing w:val="17"/>
          <w:w w:val="105"/>
        </w:rPr>
        <w:t> </w:t>
      </w:r>
      <w:r>
        <w:rPr>
          <w:w w:val="105"/>
        </w:rPr>
        <w:t>cause</w:t>
      </w:r>
      <w:r>
        <w:rPr>
          <w:spacing w:val="17"/>
          <w:w w:val="105"/>
        </w:rPr>
        <w:t> </w:t>
      </w:r>
      <w:r>
        <w:rPr>
          <w:w w:val="105"/>
        </w:rPr>
        <w:t>plan</w:t>
      </w:r>
      <w:r>
        <w:rPr>
          <w:spacing w:val="17"/>
          <w:w w:val="105"/>
        </w:rPr>
        <w:t> </w:t>
      </w:r>
      <w:r>
        <w:rPr>
          <w:w w:val="105"/>
        </w:rPr>
        <w:t>benefits</w:t>
      </w:r>
      <w:r>
        <w:rPr>
          <w:spacing w:val="17"/>
          <w:w w:val="105"/>
        </w:rPr>
        <w:t> </w:t>
      </w:r>
      <w:r>
        <w:rPr>
          <w:w w:val="105"/>
        </w:rPr>
        <w:t>to</w:t>
      </w:r>
      <w:r>
        <w:rPr>
          <w:spacing w:val="17"/>
          <w:w w:val="105"/>
        </w:rPr>
        <w:t> </w:t>
      </w:r>
      <w:r>
        <w:rPr>
          <w:w w:val="105"/>
        </w:rPr>
        <w:t>become</w:t>
      </w:r>
      <w:r>
        <w:rPr>
          <w:spacing w:val="17"/>
          <w:w w:val="105"/>
        </w:rPr>
        <w:t> </w:t>
      </w:r>
      <w:r>
        <w:rPr>
          <w:w w:val="105"/>
        </w:rPr>
        <w:t>subject</w:t>
      </w:r>
      <w:r>
        <w:rPr>
          <w:spacing w:val="17"/>
          <w:w w:val="105"/>
        </w:rPr>
        <w:t> </w:t>
      </w:r>
      <w:r>
        <w:rPr>
          <w:w w:val="105"/>
        </w:rPr>
        <w:t>to</w:t>
      </w:r>
      <w:r>
        <w:rPr>
          <w:spacing w:val="17"/>
          <w:w w:val="105"/>
        </w:rPr>
        <w:t> </w:t>
      </w:r>
      <w:r>
        <w:rPr>
          <w:w w:val="105"/>
        </w:rPr>
        <w:t>Section</w:t>
      </w:r>
      <w:r>
        <w:rPr>
          <w:spacing w:val="17"/>
          <w:w w:val="105"/>
        </w:rPr>
        <w:t> </w:t>
      </w:r>
      <w:r>
        <w:rPr>
          <w:w w:val="105"/>
        </w:rPr>
        <w:t>409A of the Code.</w:t>
      </w:r>
    </w:p>
    <w:p>
      <w:pPr>
        <w:pStyle w:val="BodyText"/>
        <w:rPr>
          <w:sz w:val="19"/>
        </w:rPr>
      </w:pPr>
    </w:p>
    <w:p>
      <w:pPr>
        <w:pStyle w:val="Heading2"/>
      </w:pPr>
      <w:bookmarkStart w:name="_TOC_250005" w:id="38"/>
      <w:r>
        <w:rPr>
          <w:spacing w:val="-2"/>
        </w:rPr>
        <w:t>Potential</w:t>
      </w:r>
      <w:r>
        <w:rPr>
          <w:spacing w:val="-1"/>
        </w:rPr>
        <w:t> </w:t>
      </w:r>
      <w:r>
        <w:rPr>
          <w:spacing w:val="-2"/>
        </w:rPr>
        <w:t>Payments</w:t>
      </w:r>
      <w:r>
        <w:rPr/>
        <w:t> </w:t>
      </w:r>
      <w:r>
        <w:rPr>
          <w:spacing w:val="-2"/>
        </w:rPr>
        <w:t>upon</w:t>
      </w:r>
      <w:r>
        <w:rPr>
          <w:spacing w:val="-5"/>
        </w:rPr>
        <w:t> </w:t>
      </w:r>
      <w:r>
        <w:rPr>
          <w:spacing w:val="-2"/>
        </w:rPr>
        <w:t>Termination</w:t>
      </w:r>
      <w:r>
        <w:rPr>
          <w:spacing w:val="-1"/>
        </w:rPr>
        <w:t> </w:t>
      </w:r>
      <w:r>
        <w:rPr>
          <w:spacing w:val="-2"/>
        </w:rPr>
        <w:t>or</w:t>
      </w:r>
      <w:r>
        <w:rPr>
          <w:spacing w:val="-4"/>
        </w:rPr>
        <w:t> </w:t>
      </w:r>
      <w:r>
        <w:rPr>
          <w:spacing w:val="-2"/>
        </w:rPr>
        <w:t>Change</w:t>
      </w:r>
      <w:r>
        <w:rPr>
          <w:spacing w:val="-1"/>
        </w:rPr>
        <w:t> </w:t>
      </w:r>
      <w:r>
        <w:rPr>
          <w:spacing w:val="-2"/>
        </w:rPr>
        <w:t>in</w:t>
      </w:r>
      <w:r>
        <w:rPr/>
        <w:t> </w:t>
      </w:r>
      <w:bookmarkEnd w:id="38"/>
      <w:r>
        <w:rPr>
          <w:spacing w:val="-2"/>
        </w:rPr>
        <w:t>Control</w:t>
      </w:r>
    </w:p>
    <w:p>
      <w:pPr>
        <w:pStyle w:val="BodyText"/>
        <w:spacing w:line="259" w:lineRule="auto" w:before="171"/>
        <w:ind w:left="1400" w:right="1680" w:firstLine="372"/>
      </w:pPr>
      <w:r>
        <w:rPr>
          <w:w w:val="105"/>
        </w:rPr>
        <w:t>Each of our NEOs have entered into a Change in Control Agreement (“</w:t>
      </w:r>
      <w:r>
        <w:rPr>
          <w:b/>
          <w:w w:val="105"/>
        </w:rPr>
        <w:t>CIC</w:t>
      </w:r>
      <w:r>
        <w:rPr>
          <w:b/>
          <w:spacing w:val="-14"/>
          <w:w w:val="105"/>
        </w:rPr>
        <w:t> </w:t>
      </w:r>
      <w:r>
        <w:rPr>
          <w:b/>
          <w:w w:val="105"/>
        </w:rPr>
        <w:t>Agreement</w:t>
      </w:r>
      <w:r>
        <w:rPr>
          <w:w w:val="105"/>
        </w:rPr>
        <w:t>”) that was approved by our Board. Under the CIC Agreements, if we terminate the NEO’s employment other than by reason</w:t>
      </w:r>
      <w:r>
        <w:rPr>
          <w:spacing w:val="23"/>
          <w:w w:val="105"/>
        </w:rPr>
        <w:t> </w:t>
      </w:r>
      <w:r>
        <w:rPr>
          <w:w w:val="105"/>
        </w:rPr>
        <w:t>of</w:t>
      </w:r>
      <w:r>
        <w:rPr>
          <w:spacing w:val="23"/>
          <w:w w:val="105"/>
        </w:rPr>
        <w:t> </w:t>
      </w:r>
      <w:r>
        <w:rPr>
          <w:w w:val="105"/>
        </w:rPr>
        <w:t>death,</w:t>
      </w:r>
      <w:r>
        <w:rPr>
          <w:spacing w:val="23"/>
          <w:w w:val="105"/>
        </w:rPr>
        <w:t> </w:t>
      </w:r>
      <w:r>
        <w:rPr>
          <w:w w:val="105"/>
        </w:rPr>
        <w:t>disability,</w:t>
      </w:r>
      <w:r>
        <w:rPr>
          <w:spacing w:val="23"/>
          <w:w w:val="105"/>
        </w:rPr>
        <w:t> </w:t>
      </w:r>
      <w:r>
        <w:rPr>
          <w:w w:val="105"/>
        </w:rPr>
        <w:t>or</w:t>
      </w:r>
      <w:r>
        <w:rPr>
          <w:spacing w:val="23"/>
          <w:w w:val="105"/>
        </w:rPr>
        <w:t> </w:t>
      </w:r>
      <w:r>
        <w:rPr>
          <w:w w:val="105"/>
        </w:rPr>
        <w:t>“cause”,</w:t>
      </w:r>
      <w:r>
        <w:rPr>
          <w:spacing w:val="23"/>
          <w:w w:val="105"/>
        </w:rPr>
        <w:t> </w:t>
      </w:r>
      <w:r>
        <w:rPr>
          <w:w w:val="105"/>
        </w:rPr>
        <w:t>or</w:t>
      </w:r>
      <w:r>
        <w:rPr>
          <w:spacing w:val="23"/>
          <w:w w:val="105"/>
        </w:rPr>
        <w:t> </w:t>
      </w:r>
      <w:r>
        <w:rPr>
          <w:w w:val="105"/>
        </w:rPr>
        <w:t>if</w:t>
      </w:r>
      <w:r>
        <w:rPr>
          <w:spacing w:val="23"/>
          <w:w w:val="105"/>
        </w:rPr>
        <w:t> </w:t>
      </w:r>
      <w:r>
        <w:rPr>
          <w:w w:val="105"/>
        </w:rPr>
        <w:t>the</w:t>
      </w:r>
      <w:r>
        <w:rPr>
          <w:spacing w:val="23"/>
          <w:w w:val="105"/>
        </w:rPr>
        <w:t> </w:t>
      </w:r>
      <w:r>
        <w:rPr>
          <w:w w:val="105"/>
        </w:rPr>
        <w:t>NEO</w:t>
      </w:r>
      <w:r>
        <w:rPr>
          <w:spacing w:val="23"/>
          <w:w w:val="105"/>
        </w:rPr>
        <w:t> </w:t>
      </w:r>
      <w:r>
        <w:rPr>
          <w:w w:val="105"/>
        </w:rPr>
        <w:t>voluntarily</w:t>
      </w:r>
      <w:r>
        <w:rPr>
          <w:spacing w:val="23"/>
          <w:w w:val="105"/>
        </w:rPr>
        <w:t> </w:t>
      </w:r>
      <w:r>
        <w:rPr>
          <w:w w:val="105"/>
        </w:rPr>
        <w:t>terminates</w:t>
      </w:r>
      <w:r>
        <w:rPr>
          <w:spacing w:val="23"/>
          <w:w w:val="105"/>
        </w:rPr>
        <w:t> </w:t>
      </w:r>
      <w:r>
        <w:rPr>
          <w:w w:val="105"/>
        </w:rPr>
        <w:t>for</w:t>
      </w:r>
      <w:r>
        <w:rPr>
          <w:spacing w:val="23"/>
          <w:w w:val="105"/>
        </w:rPr>
        <w:t> </w:t>
      </w:r>
      <w:r>
        <w:rPr>
          <w:w w:val="105"/>
        </w:rPr>
        <w:t>“good</w:t>
      </w:r>
      <w:r>
        <w:rPr>
          <w:spacing w:val="23"/>
          <w:w w:val="105"/>
        </w:rPr>
        <w:t> </w:t>
      </w:r>
      <w:r>
        <w:rPr>
          <w:w w:val="105"/>
        </w:rPr>
        <w:t>reason”,</w:t>
      </w:r>
      <w:r>
        <w:rPr>
          <w:spacing w:val="23"/>
          <w:w w:val="105"/>
        </w:rPr>
        <w:t> </w:t>
      </w:r>
      <w:r>
        <w:rPr>
          <w:w w:val="105"/>
        </w:rPr>
        <w:t>in</w:t>
      </w:r>
      <w:r>
        <w:rPr>
          <w:spacing w:val="23"/>
          <w:w w:val="105"/>
        </w:rPr>
        <w:t> </w:t>
      </w:r>
      <w:r>
        <w:rPr>
          <w:w w:val="105"/>
        </w:rPr>
        <w:t>either case, within 60 days prior to, or 18 months following, a change in control of the Company, then the NEO</w:t>
      </w:r>
      <w:r>
        <w:rPr>
          <w:spacing w:val="40"/>
          <w:w w:val="105"/>
        </w:rPr>
        <w:t> </w:t>
      </w:r>
      <w:r>
        <w:rPr>
          <w:w w:val="105"/>
        </w:rPr>
        <w:t>will be entitled to:</w:t>
      </w:r>
    </w:p>
    <w:p>
      <w:pPr>
        <w:pStyle w:val="ListParagraph"/>
        <w:numPr>
          <w:ilvl w:val="1"/>
          <w:numId w:val="33"/>
        </w:numPr>
        <w:tabs>
          <w:tab w:pos="2146" w:val="left" w:leader="none"/>
        </w:tabs>
        <w:spacing w:line="240" w:lineRule="auto" w:before="140" w:after="0"/>
        <w:ind w:left="2145" w:right="0" w:hanging="374"/>
        <w:jc w:val="left"/>
        <w:rPr>
          <w:sz w:val="18"/>
        </w:rPr>
      </w:pPr>
      <w:r>
        <w:rPr>
          <w:w w:val="105"/>
          <w:sz w:val="18"/>
        </w:rPr>
        <w:t>a</w:t>
      </w:r>
      <w:r>
        <w:rPr>
          <w:spacing w:val="9"/>
          <w:w w:val="105"/>
          <w:sz w:val="18"/>
        </w:rPr>
        <w:t> </w:t>
      </w:r>
      <w:r>
        <w:rPr>
          <w:w w:val="105"/>
          <w:sz w:val="18"/>
        </w:rPr>
        <w:t>lump</w:t>
      </w:r>
      <w:r>
        <w:rPr>
          <w:spacing w:val="9"/>
          <w:w w:val="105"/>
          <w:sz w:val="18"/>
        </w:rPr>
        <w:t> </w:t>
      </w:r>
      <w:r>
        <w:rPr>
          <w:w w:val="105"/>
          <w:sz w:val="18"/>
        </w:rPr>
        <w:t>sum</w:t>
      </w:r>
      <w:r>
        <w:rPr>
          <w:spacing w:val="9"/>
          <w:w w:val="105"/>
          <w:sz w:val="18"/>
        </w:rPr>
        <w:t> </w:t>
      </w:r>
      <w:r>
        <w:rPr>
          <w:w w:val="105"/>
          <w:sz w:val="18"/>
        </w:rPr>
        <w:t>severance</w:t>
      </w:r>
      <w:r>
        <w:rPr>
          <w:spacing w:val="9"/>
          <w:w w:val="105"/>
          <w:sz w:val="18"/>
        </w:rPr>
        <w:t> </w:t>
      </w:r>
      <w:r>
        <w:rPr>
          <w:spacing w:val="-2"/>
          <w:w w:val="105"/>
          <w:sz w:val="18"/>
        </w:rPr>
        <w:t>payment,</w:t>
      </w:r>
    </w:p>
    <w:p>
      <w:pPr>
        <w:pStyle w:val="ListParagraph"/>
        <w:numPr>
          <w:ilvl w:val="1"/>
          <w:numId w:val="33"/>
        </w:numPr>
        <w:tabs>
          <w:tab w:pos="2146" w:val="left" w:leader="none"/>
        </w:tabs>
        <w:spacing w:line="259" w:lineRule="auto" w:before="170" w:after="0"/>
        <w:ind w:left="2145" w:right="1991" w:hanging="373"/>
        <w:jc w:val="left"/>
        <w:rPr>
          <w:sz w:val="18"/>
        </w:rPr>
      </w:pPr>
      <w:r>
        <w:rPr>
          <w:w w:val="105"/>
          <w:sz w:val="18"/>
        </w:rPr>
        <w:t>a lump sum payment equal to a pro rata portion of the NEO’s target bonus under our annual incentive plan,</w:t>
      </w:r>
    </w:p>
    <w:p>
      <w:pPr>
        <w:pStyle w:val="ListParagraph"/>
        <w:numPr>
          <w:ilvl w:val="1"/>
          <w:numId w:val="33"/>
        </w:numPr>
        <w:tabs>
          <w:tab w:pos="2146" w:val="left" w:leader="none"/>
        </w:tabs>
        <w:spacing w:line="240" w:lineRule="auto" w:before="155" w:after="0"/>
        <w:ind w:left="2145" w:right="0" w:hanging="374"/>
        <w:jc w:val="left"/>
        <w:rPr>
          <w:sz w:val="18"/>
        </w:rPr>
      </w:pPr>
      <w:r>
        <w:rPr>
          <w:w w:val="105"/>
          <w:sz w:val="18"/>
        </w:rPr>
        <w:t>full</w:t>
      </w:r>
      <w:r>
        <w:rPr>
          <w:spacing w:val="11"/>
          <w:w w:val="105"/>
          <w:sz w:val="18"/>
        </w:rPr>
        <w:t> </w:t>
      </w:r>
      <w:r>
        <w:rPr>
          <w:w w:val="105"/>
          <w:sz w:val="18"/>
        </w:rPr>
        <w:t>vesting</w:t>
      </w:r>
      <w:r>
        <w:rPr>
          <w:spacing w:val="12"/>
          <w:w w:val="105"/>
          <w:sz w:val="18"/>
        </w:rPr>
        <w:t> </w:t>
      </w:r>
      <w:r>
        <w:rPr>
          <w:w w:val="105"/>
          <w:sz w:val="18"/>
        </w:rPr>
        <w:t>of</w:t>
      </w:r>
      <w:r>
        <w:rPr>
          <w:spacing w:val="12"/>
          <w:w w:val="105"/>
          <w:sz w:val="18"/>
        </w:rPr>
        <w:t> </w:t>
      </w:r>
      <w:r>
        <w:rPr>
          <w:w w:val="105"/>
          <w:sz w:val="18"/>
        </w:rPr>
        <w:t>all</w:t>
      </w:r>
      <w:r>
        <w:rPr>
          <w:spacing w:val="12"/>
          <w:w w:val="105"/>
          <w:sz w:val="18"/>
        </w:rPr>
        <w:t> </w:t>
      </w:r>
      <w:r>
        <w:rPr>
          <w:w w:val="105"/>
          <w:sz w:val="18"/>
        </w:rPr>
        <w:t>outstanding</w:t>
      </w:r>
      <w:r>
        <w:rPr>
          <w:spacing w:val="12"/>
          <w:w w:val="105"/>
          <w:sz w:val="18"/>
        </w:rPr>
        <w:t> </w:t>
      </w:r>
      <w:r>
        <w:rPr>
          <w:w w:val="105"/>
          <w:sz w:val="18"/>
        </w:rPr>
        <w:t>stock</w:t>
      </w:r>
      <w:r>
        <w:rPr>
          <w:spacing w:val="12"/>
          <w:w w:val="105"/>
          <w:sz w:val="18"/>
        </w:rPr>
        <w:t> </w:t>
      </w:r>
      <w:r>
        <w:rPr>
          <w:w w:val="105"/>
          <w:sz w:val="18"/>
        </w:rPr>
        <w:t>options</w:t>
      </w:r>
      <w:r>
        <w:rPr>
          <w:spacing w:val="12"/>
          <w:w w:val="105"/>
          <w:sz w:val="18"/>
        </w:rPr>
        <w:t> </w:t>
      </w:r>
      <w:r>
        <w:rPr>
          <w:w w:val="105"/>
          <w:sz w:val="18"/>
        </w:rPr>
        <w:t>and</w:t>
      </w:r>
      <w:r>
        <w:rPr>
          <w:spacing w:val="11"/>
          <w:w w:val="105"/>
          <w:sz w:val="18"/>
        </w:rPr>
        <w:t> </w:t>
      </w:r>
      <w:r>
        <w:rPr>
          <w:w w:val="105"/>
          <w:sz w:val="18"/>
        </w:rPr>
        <w:t>stock</w:t>
      </w:r>
      <w:r>
        <w:rPr>
          <w:spacing w:val="12"/>
          <w:w w:val="105"/>
          <w:sz w:val="18"/>
        </w:rPr>
        <w:t> </w:t>
      </w:r>
      <w:r>
        <w:rPr>
          <w:w w:val="105"/>
          <w:sz w:val="18"/>
        </w:rPr>
        <w:t>awards,</w:t>
      </w:r>
      <w:r>
        <w:rPr>
          <w:spacing w:val="12"/>
          <w:w w:val="105"/>
          <w:sz w:val="18"/>
        </w:rPr>
        <w:t> </w:t>
      </w:r>
      <w:r>
        <w:rPr>
          <w:spacing w:val="-5"/>
          <w:w w:val="105"/>
          <w:sz w:val="18"/>
        </w:rPr>
        <w:t>and</w:t>
      </w:r>
    </w:p>
    <w:p>
      <w:pPr>
        <w:pStyle w:val="ListParagraph"/>
        <w:numPr>
          <w:ilvl w:val="1"/>
          <w:numId w:val="33"/>
        </w:numPr>
        <w:tabs>
          <w:tab w:pos="2146" w:val="left" w:leader="none"/>
        </w:tabs>
        <w:spacing w:line="259" w:lineRule="auto" w:before="156" w:after="0"/>
        <w:ind w:left="2145" w:right="1427" w:hanging="373"/>
        <w:jc w:val="left"/>
        <w:rPr>
          <w:sz w:val="18"/>
        </w:rPr>
      </w:pPr>
      <w:r>
        <w:rPr>
          <w:w w:val="105"/>
          <w:sz w:val="18"/>
        </w:rPr>
        <w:t>up to 18 months of Company paid COBRA premiums; provided, however, that if the payment of COBRA premiums is not permitted by applicable law, the NEO will instead receive a taxable lump sum payment equal to 18 months of COBRA premiums.</w:t>
      </w:r>
    </w:p>
    <w:p>
      <w:pPr>
        <w:pStyle w:val="BodyText"/>
        <w:spacing w:line="259" w:lineRule="auto" w:before="154"/>
        <w:ind w:left="1400" w:right="1551" w:firstLine="372"/>
      </w:pPr>
      <w:r>
        <w:rPr>
          <w:w w:val="105"/>
        </w:rPr>
        <w:t>The amount of the lump sum severance payment in the case of each of the NEOs will be equal to a multiple of the sum of: (A) the NEO’s base salary and (B) the greater of (x) the NEO’s most recently established</w:t>
      </w:r>
      <w:r>
        <w:rPr>
          <w:spacing w:val="24"/>
          <w:w w:val="105"/>
        </w:rPr>
        <w:t> </w:t>
      </w:r>
      <w:r>
        <w:rPr>
          <w:w w:val="105"/>
        </w:rPr>
        <w:t>target</w:t>
      </w:r>
      <w:r>
        <w:rPr>
          <w:spacing w:val="24"/>
          <w:w w:val="105"/>
        </w:rPr>
        <w:t> </w:t>
      </w:r>
      <w:r>
        <w:rPr>
          <w:w w:val="105"/>
        </w:rPr>
        <w:t>annual</w:t>
      </w:r>
      <w:r>
        <w:rPr>
          <w:spacing w:val="24"/>
          <w:w w:val="105"/>
        </w:rPr>
        <w:t> </w:t>
      </w:r>
      <w:r>
        <w:rPr>
          <w:w w:val="105"/>
        </w:rPr>
        <w:t>bonus</w:t>
      </w:r>
      <w:r>
        <w:rPr>
          <w:spacing w:val="24"/>
          <w:w w:val="105"/>
        </w:rPr>
        <w:t> </w:t>
      </w:r>
      <w:r>
        <w:rPr>
          <w:w w:val="105"/>
        </w:rPr>
        <w:t>under</w:t>
      </w:r>
      <w:r>
        <w:rPr>
          <w:spacing w:val="24"/>
          <w:w w:val="105"/>
        </w:rPr>
        <w:t> </w:t>
      </w:r>
      <w:r>
        <w:rPr>
          <w:w w:val="105"/>
        </w:rPr>
        <w:t>our</w:t>
      </w:r>
      <w:r>
        <w:rPr>
          <w:spacing w:val="24"/>
          <w:w w:val="105"/>
        </w:rPr>
        <w:t> </w:t>
      </w:r>
      <w:r>
        <w:rPr>
          <w:w w:val="105"/>
        </w:rPr>
        <w:t>annual</w:t>
      </w:r>
      <w:r>
        <w:rPr>
          <w:spacing w:val="24"/>
          <w:w w:val="105"/>
        </w:rPr>
        <w:t> </w:t>
      </w:r>
      <w:r>
        <w:rPr>
          <w:w w:val="105"/>
        </w:rPr>
        <w:t>cash</w:t>
      </w:r>
      <w:r>
        <w:rPr>
          <w:spacing w:val="24"/>
          <w:w w:val="105"/>
        </w:rPr>
        <w:t> </w:t>
      </w:r>
      <w:r>
        <w:rPr>
          <w:w w:val="105"/>
        </w:rPr>
        <w:t>incentive</w:t>
      </w:r>
      <w:r>
        <w:rPr>
          <w:spacing w:val="24"/>
          <w:w w:val="105"/>
        </w:rPr>
        <w:t> </w:t>
      </w:r>
      <w:r>
        <w:rPr>
          <w:w w:val="105"/>
        </w:rPr>
        <w:t>plan</w:t>
      </w:r>
      <w:r>
        <w:rPr>
          <w:spacing w:val="24"/>
          <w:w w:val="105"/>
        </w:rPr>
        <w:t> </w:t>
      </w:r>
      <w:r>
        <w:rPr>
          <w:w w:val="105"/>
        </w:rPr>
        <w:t>and</w:t>
      </w:r>
      <w:r>
        <w:rPr>
          <w:spacing w:val="24"/>
          <w:w w:val="105"/>
        </w:rPr>
        <w:t> </w:t>
      </w:r>
      <w:r>
        <w:rPr>
          <w:w w:val="105"/>
        </w:rPr>
        <w:t>(y)</w:t>
      </w:r>
      <w:r>
        <w:rPr>
          <w:spacing w:val="24"/>
          <w:w w:val="105"/>
        </w:rPr>
        <w:t> </w:t>
      </w:r>
      <w:r>
        <w:rPr>
          <w:w w:val="105"/>
        </w:rPr>
        <w:t>the</w:t>
      </w:r>
      <w:r>
        <w:rPr>
          <w:spacing w:val="24"/>
          <w:w w:val="105"/>
        </w:rPr>
        <w:t> </w:t>
      </w:r>
      <w:r>
        <w:rPr>
          <w:w w:val="105"/>
        </w:rPr>
        <w:t>average</w:t>
      </w:r>
      <w:r>
        <w:rPr>
          <w:spacing w:val="24"/>
          <w:w w:val="105"/>
        </w:rPr>
        <w:t> </w:t>
      </w:r>
      <w:r>
        <w:rPr>
          <w:w w:val="105"/>
        </w:rPr>
        <w:t>annual</w:t>
      </w:r>
      <w:r>
        <w:rPr>
          <w:spacing w:val="24"/>
          <w:w w:val="105"/>
        </w:rPr>
        <w:t> </w:t>
      </w:r>
      <w:r>
        <w:rPr>
          <w:w w:val="105"/>
        </w:rPr>
        <w:t>cash incentive that was paid to the NEO in the three fiscal years ending prior to the date of termination under our</w:t>
      </w:r>
      <w:r>
        <w:rPr>
          <w:spacing w:val="40"/>
          <w:w w:val="105"/>
        </w:rPr>
        <w:t> </w:t>
      </w:r>
      <w:r>
        <w:rPr>
          <w:spacing w:val="-2"/>
          <w:w w:val="105"/>
        </w:rPr>
        <w:t>annual</w:t>
      </w:r>
    </w:p>
    <w:p>
      <w:pPr>
        <w:spacing w:after="0" w:line="259" w:lineRule="auto"/>
        <w:sectPr>
          <w:headerReference w:type="default" r:id="rId151"/>
          <w:footerReference w:type="default" r:id="rId152"/>
          <w:pgSz w:w="12240" w:h="15840"/>
          <w:pgMar w:header="529" w:footer="1246" w:top="720" w:bottom="1440" w:left="480" w:right="460"/>
        </w:sectPr>
      </w:pPr>
    </w:p>
    <w:p>
      <w:pPr>
        <w:pStyle w:val="BodyText"/>
        <w:rPr>
          <w:sz w:val="20"/>
        </w:rPr>
      </w:pPr>
      <w:r>
        <w:rPr/>
        <w:pict>
          <v:group style="position:absolute;margin-left:28.999998pt;margin-top:736.378052pt;width:555pt;height:1.4pt;mso-position-horizontal-relative:page;mso-position-vertical-relative:page;z-index:15796736" id="docshapegroup448" coordorigin="580,14728" coordsize="11100,28">
            <v:rect style="position:absolute;left:580;top:14727;width:11100;height:14" id="docshape449" filled="true" fillcolor="#999999" stroked="false">
              <v:fill type="solid"/>
            </v:rect>
            <v:shape style="position:absolute;left:579;top:14727;width:11100;height:28" id="docshape450" coordorigin="580,14728" coordsize="11100,28" path="m11680,14728l11666,14742,580,14742,580,14756,11666,14756,11680,14756,11680,14742,11680,14728xe" filled="true" fillcolor="#ededed" stroked="false">
              <v:path arrowok="t"/>
              <v:fill type="solid"/>
            </v:shape>
            <v:shape style="position:absolute;left:580;top:14727;width:14;height:28" id="docshape451" coordorigin="580,14728" coordsize="14,28" path="m580,14756l580,14728,594,14728,594,14742,580,14756xe" filled="true" fillcolor="#999999" stroked="false">
              <v:path arrowok="t"/>
              <v:fill type="solid"/>
            </v:shape>
            <w10:wrap type="none"/>
          </v:group>
        </w:pict>
      </w:r>
    </w:p>
    <w:p>
      <w:pPr>
        <w:pStyle w:val="BodyText"/>
        <w:rPr>
          <w:sz w:val="20"/>
        </w:rPr>
      </w:pPr>
    </w:p>
    <w:p>
      <w:pPr>
        <w:pStyle w:val="BodyText"/>
        <w:spacing w:before="2"/>
        <w:rPr>
          <w:sz w:val="27"/>
        </w:rPr>
      </w:pPr>
    </w:p>
    <w:p>
      <w:pPr>
        <w:pStyle w:val="BodyText"/>
        <w:spacing w:line="259" w:lineRule="auto" w:before="98"/>
        <w:ind w:left="1400" w:right="1418"/>
      </w:pPr>
      <w:r>
        <w:rPr>
          <w:w w:val="105"/>
        </w:rPr>
        <w:t>cash incentive plan or Varian’s annual cash incentive plan. The severance multiple for Mr. Sanyal is 2.5. The severance</w:t>
      </w:r>
      <w:r>
        <w:rPr>
          <w:spacing w:val="23"/>
          <w:w w:val="105"/>
        </w:rPr>
        <w:t> </w:t>
      </w:r>
      <w:r>
        <w:rPr>
          <w:w w:val="105"/>
        </w:rPr>
        <w:t>multiple</w:t>
      </w:r>
      <w:r>
        <w:rPr>
          <w:spacing w:val="23"/>
          <w:w w:val="105"/>
        </w:rPr>
        <w:t> </w:t>
      </w:r>
      <w:r>
        <w:rPr>
          <w:w w:val="105"/>
        </w:rPr>
        <w:t>for</w:t>
      </w:r>
      <w:r>
        <w:rPr>
          <w:spacing w:val="23"/>
          <w:w w:val="105"/>
        </w:rPr>
        <w:t> </w:t>
      </w:r>
      <w:r>
        <w:rPr>
          <w:w w:val="105"/>
        </w:rPr>
        <w:t>Messrs.</w:t>
      </w:r>
      <w:r>
        <w:rPr>
          <w:spacing w:val="23"/>
          <w:w w:val="105"/>
        </w:rPr>
        <w:t> </w:t>
      </w:r>
      <w:r>
        <w:rPr>
          <w:w w:val="105"/>
        </w:rPr>
        <w:t>Giambattista,</w:t>
      </w:r>
      <w:r>
        <w:rPr>
          <w:spacing w:val="23"/>
          <w:w w:val="105"/>
        </w:rPr>
        <w:t> </w:t>
      </w:r>
      <w:r>
        <w:rPr>
          <w:w w:val="105"/>
        </w:rPr>
        <w:t>Hartmann,</w:t>
      </w:r>
      <w:r>
        <w:rPr>
          <w:spacing w:val="23"/>
          <w:w w:val="105"/>
        </w:rPr>
        <w:t> </w:t>
      </w:r>
      <w:r>
        <w:rPr>
          <w:w w:val="105"/>
        </w:rPr>
        <w:t>Maheshwari,</w:t>
      </w:r>
      <w:r>
        <w:rPr>
          <w:spacing w:val="23"/>
          <w:w w:val="105"/>
        </w:rPr>
        <w:t> </w:t>
      </w:r>
      <w:r>
        <w:rPr>
          <w:w w:val="105"/>
        </w:rPr>
        <w:t>and</w:t>
      </w:r>
      <w:r>
        <w:rPr>
          <w:spacing w:val="23"/>
          <w:w w:val="105"/>
        </w:rPr>
        <w:t> </w:t>
      </w:r>
      <w:r>
        <w:rPr>
          <w:w w:val="105"/>
        </w:rPr>
        <w:t>Ms.</w:t>
      </w:r>
      <w:r>
        <w:rPr>
          <w:spacing w:val="23"/>
          <w:w w:val="105"/>
        </w:rPr>
        <w:t> </w:t>
      </w:r>
      <w:r>
        <w:rPr>
          <w:w w:val="105"/>
        </w:rPr>
        <w:t>Honeysett</w:t>
      </w:r>
      <w:r>
        <w:rPr>
          <w:spacing w:val="23"/>
          <w:w w:val="105"/>
        </w:rPr>
        <w:t> </w:t>
      </w:r>
      <w:r>
        <w:rPr>
          <w:w w:val="105"/>
        </w:rPr>
        <w:t>is</w:t>
      </w:r>
      <w:r>
        <w:rPr>
          <w:spacing w:val="23"/>
          <w:w w:val="105"/>
        </w:rPr>
        <w:t> </w:t>
      </w:r>
      <w:r>
        <w:rPr>
          <w:w w:val="105"/>
        </w:rPr>
        <w:t>2.0.</w:t>
      </w:r>
      <w:r>
        <w:rPr>
          <w:spacing w:val="23"/>
          <w:w w:val="105"/>
        </w:rPr>
        <w:t> </w:t>
      </w:r>
      <w:r>
        <w:rPr>
          <w:w w:val="105"/>
        </w:rPr>
        <w:t>If</w:t>
      </w:r>
      <w:r>
        <w:rPr>
          <w:spacing w:val="23"/>
          <w:w w:val="105"/>
        </w:rPr>
        <w:t> </w:t>
      </w:r>
      <w:r>
        <w:rPr>
          <w:w w:val="105"/>
        </w:rPr>
        <w:t>the</w:t>
      </w:r>
      <w:r>
        <w:rPr>
          <w:spacing w:val="23"/>
          <w:w w:val="105"/>
        </w:rPr>
        <w:t> </w:t>
      </w:r>
      <w:r>
        <w:rPr>
          <w:w w:val="105"/>
        </w:rPr>
        <w:t>NEO has not completed at least three full fiscal years of service with the Company prior to the NEO’s termination</w:t>
      </w:r>
      <w:r>
        <w:rPr>
          <w:spacing w:val="40"/>
          <w:w w:val="105"/>
        </w:rPr>
        <w:t> </w:t>
      </w:r>
      <w:r>
        <w:rPr>
          <w:w w:val="105"/>
        </w:rPr>
        <w:t>date, then the amount determined in (y) above will be based on the average annual cash incentive for the</w:t>
      </w:r>
      <w:r>
        <w:rPr>
          <w:spacing w:val="40"/>
          <w:w w:val="105"/>
        </w:rPr>
        <w:t> </w:t>
      </w:r>
      <w:r>
        <w:rPr>
          <w:w w:val="105"/>
        </w:rPr>
        <w:t>number of full fiscal years that the NEO has completed.</w:t>
      </w:r>
    </w:p>
    <w:p>
      <w:pPr>
        <w:pStyle w:val="BodyText"/>
        <w:spacing w:line="259" w:lineRule="auto" w:before="155"/>
        <w:ind w:left="1400" w:right="1551" w:firstLine="372"/>
      </w:pPr>
      <w:r>
        <w:rPr>
          <w:w w:val="105"/>
        </w:rPr>
        <w:t>As a condition to receiving such severance benefits, an NEO must execute a release of all of his or her</w:t>
      </w:r>
      <w:r>
        <w:rPr>
          <w:spacing w:val="40"/>
          <w:w w:val="105"/>
        </w:rPr>
        <w:t> </w:t>
      </w:r>
      <w:r>
        <w:rPr>
          <w:w w:val="105"/>
        </w:rPr>
        <w:t>rights and claims relating to his or her employment and comply with certain post-termination restrictions,</w:t>
      </w:r>
      <w:r>
        <w:rPr>
          <w:spacing w:val="40"/>
          <w:w w:val="105"/>
        </w:rPr>
        <w:t> </w:t>
      </w:r>
      <w:r>
        <w:rPr>
          <w:w w:val="105"/>
        </w:rPr>
        <w:t>including,</w:t>
      </w:r>
      <w:r>
        <w:rPr>
          <w:spacing w:val="25"/>
          <w:w w:val="105"/>
        </w:rPr>
        <w:t> </w:t>
      </w:r>
      <w:r>
        <w:rPr>
          <w:w w:val="105"/>
        </w:rPr>
        <w:t>among</w:t>
      </w:r>
      <w:r>
        <w:rPr>
          <w:spacing w:val="25"/>
          <w:w w:val="105"/>
        </w:rPr>
        <w:t> </w:t>
      </w:r>
      <w:r>
        <w:rPr>
          <w:w w:val="105"/>
        </w:rPr>
        <w:t>other</w:t>
      </w:r>
      <w:r>
        <w:rPr>
          <w:spacing w:val="25"/>
          <w:w w:val="105"/>
        </w:rPr>
        <w:t> </w:t>
      </w:r>
      <w:r>
        <w:rPr>
          <w:w w:val="105"/>
        </w:rPr>
        <w:t>things,</w:t>
      </w:r>
      <w:r>
        <w:rPr>
          <w:spacing w:val="25"/>
          <w:w w:val="105"/>
        </w:rPr>
        <w:t> </w:t>
      </w:r>
      <w:r>
        <w:rPr>
          <w:w w:val="105"/>
        </w:rPr>
        <w:t>continuing</w:t>
      </w:r>
      <w:r>
        <w:rPr>
          <w:spacing w:val="25"/>
          <w:w w:val="105"/>
        </w:rPr>
        <w:t> </w:t>
      </w:r>
      <w:r>
        <w:rPr>
          <w:w w:val="105"/>
        </w:rPr>
        <w:t>to</w:t>
      </w:r>
      <w:r>
        <w:rPr>
          <w:spacing w:val="25"/>
          <w:w w:val="105"/>
        </w:rPr>
        <w:t> </w:t>
      </w:r>
      <w:r>
        <w:rPr>
          <w:w w:val="105"/>
        </w:rPr>
        <w:t>comply</w:t>
      </w:r>
      <w:r>
        <w:rPr>
          <w:spacing w:val="25"/>
          <w:w w:val="105"/>
        </w:rPr>
        <w:t> </w:t>
      </w:r>
      <w:r>
        <w:rPr>
          <w:w w:val="105"/>
        </w:rPr>
        <w:t>with</w:t>
      </w:r>
      <w:r>
        <w:rPr>
          <w:spacing w:val="25"/>
          <w:w w:val="105"/>
        </w:rPr>
        <w:t> </w:t>
      </w:r>
      <w:r>
        <w:rPr>
          <w:w w:val="105"/>
        </w:rPr>
        <w:t>the</w:t>
      </w:r>
      <w:r>
        <w:rPr>
          <w:spacing w:val="25"/>
          <w:w w:val="105"/>
        </w:rPr>
        <w:t> </w:t>
      </w:r>
      <w:r>
        <w:rPr>
          <w:w w:val="105"/>
        </w:rPr>
        <w:t>terms</w:t>
      </w:r>
      <w:r>
        <w:rPr>
          <w:spacing w:val="25"/>
          <w:w w:val="105"/>
        </w:rPr>
        <w:t> </w:t>
      </w:r>
      <w:r>
        <w:rPr>
          <w:w w:val="105"/>
        </w:rPr>
        <w:t>of</w:t>
      </w:r>
      <w:r>
        <w:rPr>
          <w:spacing w:val="25"/>
          <w:w w:val="105"/>
        </w:rPr>
        <w:t> </w:t>
      </w:r>
      <w:r>
        <w:rPr>
          <w:w w:val="105"/>
        </w:rPr>
        <w:t>his</w:t>
      </w:r>
      <w:r>
        <w:rPr>
          <w:spacing w:val="25"/>
          <w:w w:val="105"/>
        </w:rPr>
        <w:t> </w:t>
      </w:r>
      <w:r>
        <w:rPr>
          <w:w w:val="105"/>
        </w:rPr>
        <w:t>or</w:t>
      </w:r>
      <w:r>
        <w:rPr>
          <w:spacing w:val="25"/>
          <w:w w:val="105"/>
        </w:rPr>
        <w:t> </w:t>
      </w:r>
      <w:r>
        <w:rPr>
          <w:w w:val="105"/>
        </w:rPr>
        <w:t>her</w:t>
      </w:r>
      <w:r>
        <w:rPr>
          <w:spacing w:val="25"/>
          <w:w w:val="105"/>
        </w:rPr>
        <w:t> </w:t>
      </w:r>
      <w:r>
        <w:rPr>
          <w:w w:val="105"/>
        </w:rPr>
        <w:t>proprietary</w:t>
      </w:r>
      <w:r>
        <w:rPr>
          <w:spacing w:val="25"/>
          <w:w w:val="105"/>
        </w:rPr>
        <w:t> </w:t>
      </w:r>
      <w:r>
        <w:rPr>
          <w:w w:val="105"/>
        </w:rPr>
        <w:t>information and non-disclosure agreement, and for a period of 12 months, complying with certain non-solicitation and</w:t>
      </w:r>
      <w:r>
        <w:rPr>
          <w:spacing w:val="40"/>
          <w:w w:val="105"/>
        </w:rPr>
        <w:t> </w:t>
      </w:r>
      <w:r>
        <w:rPr>
          <w:w w:val="105"/>
        </w:rPr>
        <w:t>noncompetition provisions that are set forth in the NEO’s CIC Agreement.</w:t>
      </w:r>
    </w:p>
    <w:p>
      <w:pPr>
        <w:pStyle w:val="BodyText"/>
        <w:spacing w:line="259" w:lineRule="auto" w:before="154"/>
        <w:ind w:left="1400" w:right="1423" w:firstLine="372"/>
      </w:pPr>
      <w:r>
        <w:rPr>
          <w:w w:val="105"/>
        </w:rPr>
        <w:t>In addition, if within 18 months after a change in control, the NEO incurs a separation from service by</w:t>
      </w:r>
      <w:r>
        <w:rPr>
          <w:spacing w:val="40"/>
          <w:w w:val="105"/>
        </w:rPr>
        <w:t> </w:t>
      </w:r>
      <w:r>
        <w:rPr>
          <w:w w:val="105"/>
        </w:rPr>
        <w:t>reason</w:t>
      </w:r>
      <w:r>
        <w:rPr>
          <w:spacing w:val="11"/>
          <w:w w:val="105"/>
        </w:rPr>
        <w:t> </w:t>
      </w:r>
      <w:r>
        <w:rPr>
          <w:w w:val="105"/>
        </w:rPr>
        <w:t>of</w:t>
      </w:r>
      <w:r>
        <w:rPr>
          <w:spacing w:val="11"/>
          <w:w w:val="105"/>
        </w:rPr>
        <w:t> </w:t>
      </w:r>
      <w:r>
        <w:rPr>
          <w:w w:val="105"/>
        </w:rPr>
        <w:t>the</w:t>
      </w:r>
      <w:r>
        <w:rPr>
          <w:spacing w:val="11"/>
          <w:w w:val="105"/>
        </w:rPr>
        <w:t> </w:t>
      </w:r>
      <w:r>
        <w:rPr>
          <w:w w:val="105"/>
        </w:rPr>
        <w:t>NEO’s</w:t>
      </w:r>
      <w:r>
        <w:rPr>
          <w:spacing w:val="11"/>
          <w:w w:val="105"/>
        </w:rPr>
        <w:t> </w:t>
      </w:r>
      <w:r>
        <w:rPr>
          <w:w w:val="105"/>
        </w:rPr>
        <w:t>death</w:t>
      </w:r>
      <w:r>
        <w:rPr>
          <w:spacing w:val="11"/>
          <w:w w:val="105"/>
        </w:rPr>
        <w:t> </w:t>
      </w:r>
      <w:r>
        <w:rPr>
          <w:w w:val="105"/>
        </w:rPr>
        <w:t>or</w:t>
      </w:r>
      <w:r>
        <w:rPr>
          <w:spacing w:val="11"/>
          <w:w w:val="105"/>
        </w:rPr>
        <w:t> </w:t>
      </w:r>
      <w:r>
        <w:rPr>
          <w:w w:val="105"/>
        </w:rPr>
        <w:t>disability,</w:t>
      </w:r>
      <w:r>
        <w:rPr>
          <w:spacing w:val="11"/>
          <w:w w:val="105"/>
        </w:rPr>
        <w:t> </w:t>
      </w:r>
      <w:r>
        <w:rPr>
          <w:w w:val="105"/>
        </w:rPr>
        <w:t>the</w:t>
      </w:r>
      <w:r>
        <w:rPr>
          <w:spacing w:val="11"/>
          <w:w w:val="105"/>
        </w:rPr>
        <w:t> </w:t>
      </w:r>
      <w:r>
        <w:rPr>
          <w:w w:val="105"/>
        </w:rPr>
        <w:t>NEO</w:t>
      </w:r>
      <w:r>
        <w:rPr>
          <w:spacing w:val="11"/>
          <w:w w:val="105"/>
        </w:rPr>
        <w:t> </w:t>
      </w:r>
      <w:r>
        <w:rPr>
          <w:w w:val="105"/>
        </w:rPr>
        <w:t>or,</w:t>
      </w:r>
      <w:r>
        <w:rPr>
          <w:spacing w:val="11"/>
          <w:w w:val="105"/>
        </w:rPr>
        <w:t> </w:t>
      </w:r>
      <w:r>
        <w:rPr>
          <w:w w:val="105"/>
        </w:rPr>
        <w:t>if</w:t>
      </w:r>
      <w:r>
        <w:rPr>
          <w:spacing w:val="11"/>
          <w:w w:val="105"/>
        </w:rPr>
        <w:t> </w:t>
      </w:r>
      <w:r>
        <w:rPr>
          <w:w w:val="105"/>
        </w:rPr>
        <w:t>applicable,</w:t>
      </w:r>
      <w:r>
        <w:rPr>
          <w:spacing w:val="11"/>
          <w:w w:val="105"/>
        </w:rPr>
        <w:t> </w:t>
      </w:r>
      <w:r>
        <w:rPr>
          <w:w w:val="105"/>
        </w:rPr>
        <w:t>the</w:t>
      </w:r>
      <w:r>
        <w:rPr>
          <w:spacing w:val="11"/>
          <w:w w:val="105"/>
        </w:rPr>
        <w:t> </w:t>
      </w:r>
      <w:r>
        <w:rPr>
          <w:w w:val="105"/>
        </w:rPr>
        <w:t>NEO’s</w:t>
      </w:r>
      <w:r>
        <w:rPr>
          <w:spacing w:val="11"/>
          <w:w w:val="105"/>
        </w:rPr>
        <w:t> </w:t>
      </w:r>
      <w:r>
        <w:rPr>
          <w:w w:val="105"/>
        </w:rPr>
        <w:t>estate</w:t>
      </w:r>
      <w:r>
        <w:rPr>
          <w:spacing w:val="11"/>
          <w:w w:val="105"/>
        </w:rPr>
        <w:t> </w:t>
      </w:r>
      <w:r>
        <w:rPr>
          <w:w w:val="105"/>
        </w:rPr>
        <w:t>will</w:t>
      </w:r>
      <w:r>
        <w:rPr>
          <w:spacing w:val="11"/>
          <w:w w:val="105"/>
        </w:rPr>
        <w:t> </w:t>
      </w:r>
      <w:r>
        <w:rPr>
          <w:w w:val="105"/>
        </w:rPr>
        <w:t>be</w:t>
      </w:r>
      <w:r>
        <w:rPr>
          <w:spacing w:val="11"/>
          <w:w w:val="105"/>
        </w:rPr>
        <w:t> </w:t>
      </w:r>
      <w:r>
        <w:rPr>
          <w:w w:val="105"/>
        </w:rPr>
        <w:t>entitled</w:t>
      </w:r>
      <w:r>
        <w:rPr>
          <w:spacing w:val="11"/>
          <w:w w:val="105"/>
        </w:rPr>
        <w:t> </w:t>
      </w:r>
      <w:r>
        <w:rPr>
          <w:w w:val="105"/>
        </w:rPr>
        <w:t>to</w:t>
      </w:r>
      <w:r>
        <w:rPr>
          <w:spacing w:val="11"/>
          <w:w w:val="105"/>
        </w:rPr>
        <w:t> </w:t>
      </w:r>
      <w:r>
        <w:rPr>
          <w:w w:val="105"/>
        </w:rPr>
        <w:t>death or</w:t>
      </w:r>
      <w:r>
        <w:rPr>
          <w:spacing w:val="25"/>
          <w:w w:val="105"/>
        </w:rPr>
        <w:t> </w:t>
      </w:r>
      <w:r>
        <w:rPr>
          <w:w w:val="105"/>
        </w:rPr>
        <w:t>long-term</w:t>
      </w:r>
      <w:r>
        <w:rPr>
          <w:spacing w:val="25"/>
          <w:w w:val="105"/>
        </w:rPr>
        <w:t> </w:t>
      </w:r>
      <w:r>
        <w:rPr>
          <w:w w:val="105"/>
        </w:rPr>
        <w:t>disability</w:t>
      </w:r>
      <w:r>
        <w:rPr>
          <w:spacing w:val="25"/>
          <w:w w:val="105"/>
        </w:rPr>
        <w:t> </w:t>
      </w:r>
      <w:r>
        <w:rPr>
          <w:w w:val="105"/>
        </w:rPr>
        <w:t>benefits</w:t>
      </w:r>
      <w:r>
        <w:rPr>
          <w:spacing w:val="25"/>
          <w:w w:val="105"/>
        </w:rPr>
        <w:t> </w:t>
      </w:r>
      <w:r>
        <w:rPr>
          <w:w w:val="105"/>
        </w:rPr>
        <w:t>from</w:t>
      </w:r>
      <w:r>
        <w:rPr>
          <w:spacing w:val="25"/>
          <w:w w:val="105"/>
        </w:rPr>
        <w:t> </w:t>
      </w:r>
      <w:r>
        <w:rPr>
          <w:w w:val="105"/>
        </w:rPr>
        <w:t>the</w:t>
      </w:r>
      <w:r>
        <w:rPr>
          <w:spacing w:val="25"/>
          <w:w w:val="105"/>
        </w:rPr>
        <w:t> </w:t>
      </w:r>
      <w:r>
        <w:rPr>
          <w:w w:val="105"/>
        </w:rPr>
        <w:t>Company</w:t>
      </w:r>
      <w:r>
        <w:rPr>
          <w:spacing w:val="25"/>
          <w:w w:val="105"/>
        </w:rPr>
        <w:t> </w:t>
      </w:r>
      <w:r>
        <w:rPr>
          <w:w w:val="105"/>
        </w:rPr>
        <w:t>no</w:t>
      </w:r>
      <w:r>
        <w:rPr>
          <w:spacing w:val="25"/>
          <w:w w:val="105"/>
        </w:rPr>
        <w:t> </w:t>
      </w:r>
      <w:r>
        <w:rPr>
          <w:w w:val="105"/>
        </w:rPr>
        <w:t>less</w:t>
      </w:r>
      <w:r>
        <w:rPr>
          <w:spacing w:val="25"/>
          <w:w w:val="105"/>
        </w:rPr>
        <w:t> </w:t>
      </w:r>
      <w:r>
        <w:rPr>
          <w:w w:val="105"/>
        </w:rPr>
        <w:t>favorable</w:t>
      </w:r>
      <w:r>
        <w:rPr>
          <w:spacing w:val="25"/>
          <w:w w:val="105"/>
        </w:rPr>
        <w:t> </w:t>
      </w:r>
      <w:r>
        <w:rPr>
          <w:w w:val="105"/>
        </w:rPr>
        <w:t>than</w:t>
      </w:r>
      <w:r>
        <w:rPr>
          <w:spacing w:val="25"/>
          <w:w w:val="105"/>
        </w:rPr>
        <w:t> </w:t>
      </w:r>
      <w:r>
        <w:rPr>
          <w:w w:val="105"/>
        </w:rPr>
        <w:t>the</w:t>
      </w:r>
      <w:r>
        <w:rPr>
          <w:spacing w:val="25"/>
          <w:w w:val="105"/>
        </w:rPr>
        <w:t> </w:t>
      </w:r>
      <w:r>
        <w:rPr>
          <w:w w:val="105"/>
        </w:rPr>
        <w:t>most</w:t>
      </w:r>
      <w:r>
        <w:rPr>
          <w:spacing w:val="25"/>
          <w:w w:val="105"/>
        </w:rPr>
        <w:t> </w:t>
      </w:r>
      <w:r>
        <w:rPr>
          <w:w w:val="105"/>
        </w:rPr>
        <w:t>favorable</w:t>
      </w:r>
      <w:r>
        <w:rPr>
          <w:spacing w:val="25"/>
          <w:w w:val="105"/>
        </w:rPr>
        <w:t> </w:t>
      </w:r>
      <w:r>
        <w:rPr>
          <w:w w:val="105"/>
        </w:rPr>
        <w:t>benefits</w:t>
      </w:r>
      <w:r>
        <w:rPr>
          <w:spacing w:val="25"/>
          <w:w w:val="105"/>
        </w:rPr>
        <w:t> </w:t>
      </w:r>
      <w:r>
        <w:rPr>
          <w:w w:val="105"/>
        </w:rPr>
        <w:t>to which the NEO would have been entitled had the death or disability occurred at any time during the period</w:t>
      </w:r>
      <w:r>
        <w:rPr>
          <w:spacing w:val="40"/>
          <w:w w:val="105"/>
        </w:rPr>
        <w:t> </w:t>
      </w:r>
      <w:r>
        <w:rPr>
          <w:w w:val="105"/>
        </w:rPr>
        <w:t>commencing one year prior to the change in control under the plans of the Company.</w:t>
      </w:r>
    </w:p>
    <w:p>
      <w:pPr>
        <w:pStyle w:val="BodyText"/>
        <w:spacing w:line="259" w:lineRule="auto" w:before="141"/>
        <w:ind w:left="1400" w:right="1680" w:firstLine="372"/>
      </w:pPr>
      <w:r>
        <w:rPr>
          <w:w w:val="105"/>
        </w:rPr>
        <w:t>The</w:t>
      </w:r>
      <w:r>
        <w:rPr>
          <w:spacing w:val="21"/>
          <w:w w:val="105"/>
        </w:rPr>
        <w:t> </w:t>
      </w:r>
      <w:r>
        <w:rPr>
          <w:w w:val="105"/>
        </w:rPr>
        <w:t>CIC Agreements</w:t>
      </w:r>
      <w:r>
        <w:rPr>
          <w:spacing w:val="21"/>
          <w:w w:val="105"/>
        </w:rPr>
        <w:t> </w:t>
      </w:r>
      <w:r>
        <w:rPr>
          <w:w w:val="105"/>
        </w:rPr>
        <w:t>with</w:t>
      </w:r>
      <w:r>
        <w:rPr>
          <w:spacing w:val="21"/>
          <w:w w:val="105"/>
        </w:rPr>
        <w:t> </w:t>
      </w:r>
      <w:r>
        <w:rPr>
          <w:w w:val="105"/>
        </w:rPr>
        <w:t>the</w:t>
      </w:r>
      <w:r>
        <w:rPr>
          <w:spacing w:val="21"/>
          <w:w w:val="105"/>
        </w:rPr>
        <w:t> </w:t>
      </w:r>
      <w:r>
        <w:rPr>
          <w:w w:val="105"/>
        </w:rPr>
        <w:t>NEOs</w:t>
      </w:r>
      <w:r>
        <w:rPr>
          <w:spacing w:val="21"/>
          <w:w w:val="105"/>
        </w:rPr>
        <w:t> </w:t>
      </w:r>
      <w:r>
        <w:rPr>
          <w:w w:val="105"/>
        </w:rPr>
        <w:t>do</w:t>
      </w:r>
      <w:r>
        <w:rPr>
          <w:spacing w:val="21"/>
          <w:w w:val="105"/>
        </w:rPr>
        <w:t> </w:t>
      </w:r>
      <w:r>
        <w:rPr>
          <w:w w:val="105"/>
        </w:rPr>
        <w:t>not</w:t>
      </w:r>
      <w:r>
        <w:rPr>
          <w:spacing w:val="21"/>
          <w:w w:val="105"/>
        </w:rPr>
        <w:t> </w:t>
      </w:r>
      <w:r>
        <w:rPr>
          <w:w w:val="105"/>
        </w:rPr>
        <w:t>provide</w:t>
      </w:r>
      <w:r>
        <w:rPr>
          <w:spacing w:val="21"/>
          <w:w w:val="105"/>
        </w:rPr>
        <w:t> </w:t>
      </w:r>
      <w:r>
        <w:rPr>
          <w:w w:val="105"/>
        </w:rPr>
        <w:t>for</w:t>
      </w:r>
      <w:r>
        <w:rPr>
          <w:spacing w:val="21"/>
          <w:w w:val="105"/>
        </w:rPr>
        <w:t> </w:t>
      </w:r>
      <w:r>
        <w:rPr>
          <w:w w:val="105"/>
        </w:rPr>
        <w:t>tax</w:t>
      </w:r>
      <w:r>
        <w:rPr>
          <w:spacing w:val="21"/>
          <w:w w:val="105"/>
        </w:rPr>
        <w:t> </w:t>
      </w:r>
      <w:r>
        <w:rPr>
          <w:w w:val="105"/>
        </w:rPr>
        <w:t>gross</w:t>
      </w:r>
      <w:r>
        <w:rPr>
          <w:spacing w:val="21"/>
          <w:w w:val="105"/>
        </w:rPr>
        <w:t> </w:t>
      </w:r>
      <w:r>
        <w:rPr>
          <w:w w:val="105"/>
        </w:rPr>
        <w:t>ups</w:t>
      </w:r>
      <w:r>
        <w:rPr>
          <w:spacing w:val="21"/>
          <w:w w:val="105"/>
        </w:rPr>
        <w:t> </w:t>
      </w:r>
      <w:r>
        <w:rPr>
          <w:w w:val="105"/>
        </w:rPr>
        <w:t>of</w:t>
      </w:r>
      <w:r>
        <w:rPr>
          <w:spacing w:val="21"/>
          <w:w w:val="105"/>
        </w:rPr>
        <w:t> </w:t>
      </w:r>
      <w:r>
        <w:rPr>
          <w:w w:val="105"/>
        </w:rPr>
        <w:t>payments</w:t>
      </w:r>
      <w:r>
        <w:rPr>
          <w:spacing w:val="21"/>
          <w:w w:val="105"/>
        </w:rPr>
        <w:t> </w:t>
      </w:r>
      <w:r>
        <w:rPr>
          <w:w w:val="105"/>
        </w:rPr>
        <w:t>subject</w:t>
      </w:r>
      <w:r>
        <w:rPr>
          <w:spacing w:val="21"/>
          <w:w w:val="105"/>
        </w:rPr>
        <w:t> </w:t>
      </w:r>
      <w:r>
        <w:rPr>
          <w:w w:val="105"/>
        </w:rPr>
        <w:t>to</w:t>
      </w:r>
      <w:r>
        <w:rPr>
          <w:spacing w:val="21"/>
          <w:w w:val="105"/>
        </w:rPr>
        <w:t> </w:t>
      </w:r>
      <w:r>
        <w:rPr>
          <w:w w:val="105"/>
        </w:rPr>
        <w:t>the “golden parachute” excise tax under Section 4999 of the Code. Each CIC Agreement instead contains a “better after tax” provision, which provides that if any of the payments to the NEO constitutes a parachute</w:t>
      </w:r>
      <w:r>
        <w:rPr>
          <w:spacing w:val="40"/>
          <w:w w:val="105"/>
        </w:rPr>
        <w:t> </w:t>
      </w:r>
      <w:r>
        <w:rPr>
          <w:w w:val="105"/>
        </w:rPr>
        <w:t>payment under Section 280G of the Code, the payments will either be (i) reduced or (ii) provided in full to</w:t>
      </w:r>
      <w:r>
        <w:rPr>
          <w:spacing w:val="80"/>
          <w:w w:val="105"/>
        </w:rPr>
        <w:t> </w:t>
      </w:r>
      <w:r>
        <w:rPr>
          <w:w w:val="105"/>
        </w:rPr>
        <w:t>the NEO, whichever results in the NEO receiving the greater amount after taking into consideration the</w:t>
      </w:r>
      <w:r>
        <w:rPr>
          <w:spacing w:val="40"/>
          <w:w w:val="105"/>
        </w:rPr>
        <w:t> </w:t>
      </w:r>
      <w:r>
        <w:rPr>
          <w:w w:val="105"/>
        </w:rPr>
        <w:t>payment of all taxes, including the excise tax under Section 4999 of the Code.</w:t>
      </w:r>
    </w:p>
    <w:p>
      <w:pPr>
        <w:pStyle w:val="BodyText"/>
        <w:spacing w:line="259" w:lineRule="auto" w:before="154"/>
        <w:ind w:left="1400" w:right="1584" w:firstLine="372"/>
      </w:pPr>
      <w:r>
        <w:rPr>
          <w:w w:val="105"/>
        </w:rPr>
        <w:t>Under</w:t>
      </w:r>
      <w:r>
        <w:rPr>
          <w:spacing w:val="22"/>
          <w:w w:val="105"/>
        </w:rPr>
        <w:t> </w:t>
      </w:r>
      <w:r>
        <w:rPr>
          <w:w w:val="105"/>
        </w:rPr>
        <w:t>the</w:t>
      </w:r>
      <w:r>
        <w:rPr>
          <w:spacing w:val="22"/>
          <w:w w:val="105"/>
        </w:rPr>
        <w:t> </w:t>
      </w:r>
      <w:r>
        <w:rPr>
          <w:w w:val="105"/>
        </w:rPr>
        <w:t>Company’s</w:t>
      </w:r>
      <w:r>
        <w:rPr>
          <w:spacing w:val="22"/>
          <w:w w:val="105"/>
        </w:rPr>
        <w:t> </w:t>
      </w:r>
      <w:r>
        <w:rPr>
          <w:w w:val="105"/>
        </w:rPr>
        <w:t>2017</w:t>
      </w:r>
      <w:r>
        <w:rPr>
          <w:spacing w:val="22"/>
          <w:w w:val="105"/>
        </w:rPr>
        <w:t> </w:t>
      </w:r>
      <w:r>
        <w:rPr>
          <w:w w:val="105"/>
        </w:rPr>
        <w:t>Stock</w:t>
      </w:r>
      <w:r>
        <w:rPr>
          <w:spacing w:val="22"/>
          <w:w w:val="105"/>
        </w:rPr>
        <w:t> </w:t>
      </w:r>
      <w:r>
        <w:rPr>
          <w:w w:val="105"/>
        </w:rPr>
        <w:t>Plan</w:t>
      </w:r>
      <w:r>
        <w:rPr>
          <w:spacing w:val="22"/>
          <w:w w:val="105"/>
        </w:rPr>
        <w:t> </w:t>
      </w:r>
      <w:r>
        <w:rPr>
          <w:w w:val="105"/>
        </w:rPr>
        <w:t>and</w:t>
      </w:r>
      <w:r>
        <w:rPr>
          <w:spacing w:val="22"/>
          <w:w w:val="105"/>
        </w:rPr>
        <w:t> </w:t>
      </w:r>
      <w:r>
        <w:rPr>
          <w:w w:val="105"/>
        </w:rPr>
        <w:t>2020</w:t>
      </w:r>
      <w:r>
        <w:rPr>
          <w:spacing w:val="22"/>
          <w:w w:val="105"/>
        </w:rPr>
        <w:t> </w:t>
      </w:r>
      <w:r>
        <w:rPr>
          <w:w w:val="105"/>
        </w:rPr>
        <w:t>Stock</w:t>
      </w:r>
      <w:r>
        <w:rPr>
          <w:spacing w:val="22"/>
          <w:w w:val="105"/>
        </w:rPr>
        <w:t> </w:t>
      </w:r>
      <w:r>
        <w:rPr>
          <w:w w:val="105"/>
        </w:rPr>
        <w:t>Plan,</w:t>
      </w:r>
      <w:r>
        <w:rPr>
          <w:spacing w:val="22"/>
          <w:w w:val="105"/>
        </w:rPr>
        <w:t> </w:t>
      </w:r>
      <w:r>
        <w:rPr>
          <w:w w:val="105"/>
        </w:rPr>
        <w:t>except</w:t>
      </w:r>
      <w:r>
        <w:rPr>
          <w:spacing w:val="22"/>
          <w:w w:val="105"/>
        </w:rPr>
        <w:t> </w:t>
      </w:r>
      <w:r>
        <w:rPr>
          <w:w w:val="105"/>
        </w:rPr>
        <w:t>as</w:t>
      </w:r>
      <w:r>
        <w:rPr>
          <w:spacing w:val="22"/>
          <w:w w:val="105"/>
        </w:rPr>
        <w:t> </w:t>
      </w:r>
      <w:r>
        <w:rPr>
          <w:w w:val="105"/>
        </w:rPr>
        <w:t>otherwise</w:t>
      </w:r>
      <w:r>
        <w:rPr>
          <w:spacing w:val="22"/>
          <w:w w:val="105"/>
        </w:rPr>
        <w:t> </w:t>
      </w:r>
      <w:r>
        <w:rPr>
          <w:w w:val="105"/>
        </w:rPr>
        <w:t>provided</w:t>
      </w:r>
      <w:r>
        <w:rPr>
          <w:spacing w:val="22"/>
          <w:w w:val="105"/>
        </w:rPr>
        <w:t> </w:t>
      </w:r>
      <w:r>
        <w:rPr>
          <w:w w:val="105"/>
        </w:rPr>
        <w:t>in</w:t>
      </w:r>
      <w:r>
        <w:rPr>
          <w:spacing w:val="22"/>
          <w:w w:val="105"/>
        </w:rPr>
        <w:t> </w:t>
      </w:r>
      <w:r>
        <w:rPr>
          <w:w w:val="105"/>
        </w:rPr>
        <w:t>the NEOs’ equity</w:t>
      </w:r>
      <w:r>
        <w:rPr>
          <w:spacing w:val="28"/>
          <w:w w:val="105"/>
        </w:rPr>
        <w:t> </w:t>
      </w:r>
      <w:r>
        <w:rPr>
          <w:w w:val="105"/>
        </w:rPr>
        <w:t>agreements,</w:t>
      </w:r>
      <w:r>
        <w:rPr>
          <w:spacing w:val="28"/>
          <w:w w:val="105"/>
        </w:rPr>
        <w:t> </w:t>
      </w:r>
      <w:r>
        <w:rPr>
          <w:w w:val="105"/>
        </w:rPr>
        <w:t>in</w:t>
      </w:r>
      <w:r>
        <w:rPr>
          <w:spacing w:val="28"/>
          <w:w w:val="105"/>
        </w:rPr>
        <w:t> </w:t>
      </w:r>
      <w:r>
        <w:rPr>
          <w:w w:val="105"/>
        </w:rPr>
        <w:t>the</w:t>
      </w:r>
      <w:r>
        <w:rPr>
          <w:spacing w:val="28"/>
          <w:w w:val="105"/>
        </w:rPr>
        <w:t> </w:t>
      </w:r>
      <w:r>
        <w:rPr>
          <w:w w:val="105"/>
        </w:rPr>
        <w:t>event</w:t>
      </w:r>
      <w:r>
        <w:rPr>
          <w:spacing w:val="28"/>
          <w:w w:val="105"/>
        </w:rPr>
        <w:t> </w:t>
      </w:r>
      <w:r>
        <w:rPr>
          <w:w w:val="105"/>
        </w:rPr>
        <w:t>of</w:t>
      </w:r>
      <w:r>
        <w:rPr>
          <w:spacing w:val="28"/>
          <w:w w:val="105"/>
        </w:rPr>
        <w:t> </w:t>
      </w:r>
      <w:r>
        <w:rPr>
          <w:w w:val="105"/>
        </w:rPr>
        <w:t>certain</w:t>
      </w:r>
      <w:r>
        <w:rPr>
          <w:spacing w:val="28"/>
          <w:w w:val="105"/>
        </w:rPr>
        <w:t> </w:t>
      </w:r>
      <w:r>
        <w:rPr>
          <w:w w:val="105"/>
        </w:rPr>
        <w:t>corporate</w:t>
      </w:r>
      <w:r>
        <w:rPr>
          <w:spacing w:val="28"/>
          <w:w w:val="105"/>
        </w:rPr>
        <w:t> </w:t>
      </w:r>
      <w:r>
        <w:rPr>
          <w:w w:val="105"/>
        </w:rPr>
        <w:t>transactions,</w:t>
      </w:r>
      <w:r>
        <w:rPr>
          <w:spacing w:val="28"/>
          <w:w w:val="105"/>
        </w:rPr>
        <w:t> </w:t>
      </w:r>
      <w:r>
        <w:rPr>
          <w:w w:val="105"/>
        </w:rPr>
        <w:t>if</w:t>
      </w:r>
      <w:r>
        <w:rPr>
          <w:spacing w:val="28"/>
          <w:w w:val="105"/>
        </w:rPr>
        <w:t> </w:t>
      </w:r>
      <w:r>
        <w:rPr>
          <w:w w:val="105"/>
        </w:rPr>
        <w:t>the</w:t>
      </w:r>
      <w:r>
        <w:rPr>
          <w:spacing w:val="28"/>
          <w:w w:val="105"/>
        </w:rPr>
        <w:t> </w:t>
      </w:r>
      <w:r>
        <w:rPr>
          <w:w w:val="105"/>
        </w:rPr>
        <w:t>Compensation</w:t>
      </w:r>
      <w:r>
        <w:rPr>
          <w:spacing w:val="28"/>
          <w:w w:val="105"/>
        </w:rPr>
        <w:t> </w:t>
      </w:r>
      <w:r>
        <w:rPr>
          <w:w w:val="105"/>
        </w:rPr>
        <w:t>Committee does</w:t>
      </w:r>
      <w:r>
        <w:rPr>
          <w:spacing w:val="25"/>
          <w:w w:val="105"/>
        </w:rPr>
        <w:t> </w:t>
      </w:r>
      <w:r>
        <w:rPr>
          <w:w w:val="105"/>
        </w:rPr>
        <w:t>not</w:t>
      </w:r>
      <w:r>
        <w:rPr>
          <w:spacing w:val="25"/>
          <w:w w:val="105"/>
        </w:rPr>
        <w:t> </w:t>
      </w:r>
      <w:r>
        <w:rPr>
          <w:w w:val="105"/>
        </w:rPr>
        <w:t>provide</w:t>
      </w:r>
      <w:r>
        <w:rPr>
          <w:spacing w:val="25"/>
          <w:w w:val="105"/>
        </w:rPr>
        <w:t> </w:t>
      </w:r>
      <w:r>
        <w:rPr>
          <w:w w:val="105"/>
        </w:rPr>
        <w:t>for</w:t>
      </w:r>
      <w:r>
        <w:rPr>
          <w:spacing w:val="25"/>
          <w:w w:val="105"/>
        </w:rPr>
        <w:t> </w:t>
      </w:r>
      <w:r>
        <w:rPr>
          <w:w w:val="105"/>
        </w:rPr>
        <w:t>the</w:t>
      </w:r>
      <w:r>
        <w:rPr>
          <w:spacing w:val="25"/>
          <w:w w:val="105"/>
        </w:rPr>
        <w:t> </w:t>
      </w:r>
      <w:r>
        <w:rPr>
          <w:w w:val="105"/>
        </w:rPr>
        <w:t>assumption,</w:t>
      </w:r>
      <w:r>
        <w:rPr>
          <w:spacing w:val="25"/>
          <w:w w:val="105"/>
        </w:rPr>
        <w:t> </w:t>
      </w:r>
      <w:r>
        <w:rPr>
          <w:w w:val="105"/>
        </w:rPr>
        <w:t>continuation</w:t>
      </w:r>
      <w:r>
        <w:rPr>
          <w:spacing w:val="25"/>
          <w:w w:val="105"/>
        </w:rPr>
        <w:t> </w:t>
      </w:r>
      <w:r>
        <w:rPr>
          <w:w w:val="105"/>
        </w:rPr>
        <w:t>or</w:t>
      </w:r>
      <w:r>
        <w:rPr>
          <w:spacing w:val="25"/>
          <w:w w:val="105"/>
        </w:rPr>
        <w:t> </w:t>
      </w:r>
      <w:r>
        <w:rPr>
          <w:w w:val="105"/>
        </w:rPr>
        <w:t>substitution</w:t>
      </w:r>
      <w:r>
        <w:rPr>
          <w:spacing w:val="25"/>
          <w:w w:val="105"/>
        </w:rPr>
        <w:t> </w:t>
      </w:r>
      <w:r>
        <w:rPr>
          <w:w w:val="105"/>
        </w:rPr>
        <w:t>of</w:t>
      </w:r>
      <w:r>
        <w:rPr>
          <w:spacing w:val="25"/>
          <w:w w:val="105"/>
        </w:rPr>
        <w:t> </w:t>
      </w:r>
      <w:r>
        <w:rPr>
          <w:w w:val="105"/>
        </w:rPr>
        <w:t>stock</w:t>
      </w:r>
      <w:r>
        <w:rPr>
          <w:spacing w:val="25"/>
          <w:w w:val="105"/>
        </w:rPr>
        <w:t> </w:t>
      </w:r>
      <w:r>
        <w:rPr>
          <w:w w:val="105"/>
        </w:rPr>
        <w:t>awards,</w:t>
      </w:r>
      <w:r>
        <w:rPr>
          <w:spacing w:val="25"/>
          <w:w w:val="105"/>
        </w:rPr>
        <w:t> </w:t>
      </w:r>
      <w:r>
        <w:rPr>
          <w:w w:val="105"/>
        </w:rPr>
        <w:t>each</w:t>
      </w:r>
      <w:r>
        <w:rPr>
          <w:spacing w:val="25"/>
          <w:w w:val="105"/>
        </w:rPr>
        <w:t> </w:t>
      </w:r>
      <w:r>
        <w:rPr>
          <w:w w:val="105"/>
        </w:rPr>
        <w:t>stock</w:t>
      </w:r>
      <w:r>
        <w:rPr>
          <w:spacing w:val="25"/>
          <w:w w:val="105"/>
        </w:rPr>
        <w:t> </w:t>
      </w:r>
      <w:r>
        <w:rPr>
          <w:w w:val="105"/>
        </w:rPr>
        <w:t>award</w:t>
      </w:r>
      <w:r>
        <w:rPr>
          <w:spacing w:val="25"/>
          <w:w w:val="105"/>
        </w:rPr>
        <w:t> </w:t>
      </w:r>
      <w:r>
        <w:rPr>
          <w:w w:val="105"/>
        </w:rPr>
        <w:t>will fully vest and terminate upon the consummation of the transaction. In these instances, stock option holders</w:t>
      </w:r>
      <w:r>
        <w:rPr>
          <w:spacing w:val="40"/>
          <w:w w:val="105"/>
        </w:rPr>
        <w:t> </w:t>
      </w:r>
      <w:r>
        <w:rPr>
          <w:w w:val="105"/>
        </w:rPr>
        <w:t>will be given reasonable advance notice of the impending termination and a reasonable opportunity to</w:t>
      </w:r>
      <w:r>
        <w:rPr>
          <w:spacing w:val="40"/>
          <w:w w:val="105"/>
        </w:rPr>
        <w:t> </w:t>
      </w:r>
      <w:r>
        <w:rPr>
          <w:w w:val="105"/>
        </w:rPr>
        <w:t>exercise their outstanding vested stock options before the termination of such awards.</w:t>
      </w:r>
    </w:p>
    <w:p>
      <w:pPr>
        <w:pStyle w:val="BodyText"/>
        <w:spacing w:line="259" w:lineRule="auto" w:before="155"/>
        <w:ind w:left="1400" w:right="1551" w:firstLine="372"/>
      </w:pPr>
      <w:r>
        <w:rPr>
          <w:w w:val="105"/>
        </w:rPr>
        <w:t>The NEOs’</w:t>
      </w:r>
      <w:r>
        <w:rPr>
          <w:spacing w:val="-2"/>
          <w:w w:val="105"/>
        </w:rPr>
        <w:t> </w:t>
      </w:r>
      <w:r>
        <w:rPr>
          <w:w w:val="105"/>
        </w:rPr>
        <w:t>equity agreements provide that if the applicable NEO’s employment terminates due to death</w:t>
      </w:r>
      <w:r>
        <w:rPr>
          <w:spacing w:val="80"/>
          <w:w w:val="105"/>
        </w:rPr>
        <w:t> </w:t>
      </w:r>
      <w:r>
        <w:rPr>
          <w:w w:val="105"/>
        </w:rPr>
        <w:t>or disability, his or her unvested stock option and RSU awards will fully vest upon such termination. Vested stock</w:t>
      </w:r>
      <w:r>
        <w:rPr>
          <w:spacing w:val="20"/>
          <w:w w:val="105"/>
        </w:rPr>
        <w:t> </w:t>
      </w:r>
      <w:r>
        <w:rPr>
          <w:w w:val="105"/>
        </w:rPr>
        <w:t>options</w:t>
      </w:r>
      <w:r>
        <w:rPr>
          <w:spacing w:val="20"/>
          <w:w w:val="105"/>
        </w:rPr>
        <w:t> </w:t>
      </w:r>
      <w:r>
        <w:rPr>
          <w:w w:val="105"/>
        </w:rPr>
        <w:t>granted</w:t>
      </w:r>
      <w:r>
        <w:rPr>
          <w:spacing w:val="20"/>
          <w:w w:val="105"/>
        </w:rPr>
        <w:t> </w:t>
      </w:r>
      <w:r>
        <w:rPr>
          <w:w w:val="105"/>
        </w:rPr>
        <w:t>in</w:t>
      </w:r>
      <w:r>
        <w:rPr>
          <w:spacing w:val="20"/>
          <w:w w:val="105"/>
        </w:rPr>
        <w:t> </w:t>
      </w:r>
      <w:r>
        <w:rPr>
          <w:w w:val="105"/>
        </w:rPr>
        <w:t>2017-19</w:t>
      </w:r>
      <w:r>
        <w:rPr>
          <w:spacing w:val="20"/>
          <w:w w:val="105"/>
        </w:rPr>
        <w:t> </w:t>
      </w:r>
      <w:r>
        <w:rPr>
          <w:w w:val="105"/>
        </w:rPr>
        <w:t>may</w:t>
      </w:r>
      <w:r>
        <w:rPr>
          <w:spacing w:val="20"/>
          <w:w w:val="105"/>
        </w:rPr>
        <w:t> </w:t>
      </w:r>
      <w:r>
        <w:rPr>
          <w:w w:val="105"/>
        </w:rPr>
        <w:t>be</w:t>
      </w:r>
      <w:r>
        <w:rPr>
          <w:spacing w:val="20"/>
          <w:w w:val="105"/>
        </w:rPr>
        <w:t> </w:t>
      </w:r>
      <w:r>
        <w:rPr>
          <w:w w:val="105"/>
        </w:rPr>
        <w:t>exercisable</w:t>
      </w:r>
      <w:r>
        <w:rPr>
          <w:spacing w:val="20"/>
          <w:w w:val="105"/>
        </w:rPr>
        <w:t> </w:t>
      </w:r>
      <w:r>
        <w:rPr>
          <w:w w:val="105"/>
        </w:rPr>
        <w:t>for</w:t>
      </w:r>
      <w:r>
        <w:rPr>
          <w:spacing w:val="20"/>
          <w:w w:val="105"/>
        </w:rPr>
        <w:t> </w:t>
      </w:r>
      <w:r>
        <w:rPr>
          <w:w w:val="105"/>
        </w:rPr>
        <w:t>up</w:t>
      </w:r>
      <w:r>
        <w:rPr>
          <w:spacing w:val="20"/>
          <w:w w:val="105"/>
        </w:rPr>
        <w:t> </w:t>
      </w:r>
      <w:r>
        <w:rPr>
          <w:w w:val="105"/>
        </w:rPr>
        <w:t>to</w:t>
      </w:r>
      <w:r>
        <w:rPr>
          <w:spacing w:val="20"/>
          <w:w w:val="105"/>
        </w:rPr>
        <w:t> </w:t>
      </w:r>
      <w:r>
        <w:rPr>
          <w:w w:val="105"/>
        </w:rPr>
        <w:t>three</w:t>
      </w:r>
      <w:r>
        <w:rPr>
          <w:spacing w:val="20"/>
          <w:w w:val="105"/>
        </w:rPr>
        <w:t> </w:t>
      </w:r>
      <w:r>
        <w:rPr>
          <w:w w:val="105"/>
        </w:rPr>
        <w:t>years</w:t>
      </w:r>
      <w:r>
        <w:rPr>
          <w:spacing w:val="20"/>
          <w:w w:val="105"/>
        </w:rPr>
        <w:t> </w:t>
      </w:r>
      <w:r>
        <w:rPr>
          <w:w w:val="105"/>
        </w:rPr>
        <w:t>from</w:t>
      </w:r>
      <w:r>
        <w:rPr>
          <w:spacing w:val="20"/>
          <w:w w:val="105"/>
        </w:rPr>
        <w:t> </w:t>
      </w:r>
      <w:r>
        <w:rPr>
          <w:w w:val="105"/>
        </w:rPr>
        <w:t>the</w:t>
      </w:r>
      <w:r>
        <w:rPr>
          <w:spacing w:val="20"/>
          <w:w w:val="105"/>
        </w:rPr>
        <w:t> </w:t>
      </w:r>
      <w:r>
        <w:rPr>
          <w:w w:val="105"/>
        </w:rPr>
        <w:t>date</w:t>
      </w:r>
      <w:r>
        <w:rPr>
          <w:spacing w:val="20"/>
          <w:w w:val="105"/>
        </w:rPr>
        <w:t> </w:t>
      </w:r>
      <w:r>
        <w:rPr>
          <w:w w:val="105"/>
        </w:rPr>
        <w:t>his</w:t>
      </w:r>
      <w:r>
        <w:rPr>
          <w:spacing w:val="20"/>
          <w:w w:val="105"/>
        </w:rPr>
        <w:t> </w:t>
      </w:r>
      <w:r>
        <w:rPr>
          <w:w w:val="105"/>
        </w:rPr>
        <w:t>or</w:t>
      </w:r>
      <w:r>
        <w:rPr>
          <w:spacing w:val="20"/>
          <w:w w:val="105"/>
        </w:rPr>
        <w:t> </w:t>
      </w:r>
      <w:r>
        <w:rPr>
          <w:w w:val="105"/>
        </w:rPr>
        <w:t>her employment terminates due to death and one year from the date his or her employment terminates due to</w:t>
      </w:r>
      <w:r>
        <w:rPr>
          <w:spacing w:val="40"/>
          <w:w w:val="105"/>
        </w:rPr>
        <w:t> </w:t>
      </w:r>
      <w:r>
        <w:rPr>
          <w:w w:val="105"/>
        </w:rPr>
        <w:t>disability,</w:t>
      </w:r>
      <w:r>
        <w:rPr>
          <w:spacing w:val="22"/>
          <w:w w:val="105"/>
        </w:rPr>
        <w:t> </w:t>
      </w:r>
      <w:r>
        <w:rPr>
          <w:w w:val="105"/>
        </w:rPr>
        <w:t>unless</w:t>
      </w:r>
      <w:r>
        <w:rPr>
          <w:spacing w:val="22"/>
          <w:w w:val="105"/>
        </w:rPr>
        <w:t> </w:t>
      </w:r>
      <w:r>
        <w:rPr>
          <w:w w:val="105"/>
        </w:rPr>
        <w:t>in</w:t>
      </w:r>
      <w:r>
        <w:rPr>
          <w:spacing w:val="22"/>
          <w:w w:val="105"/>
        </w:rPr>
        <w:t> </w:t>
      </w:r>
      <w:r>
        <w:rPr>
          <w:w w:val="105"/>
        </w:rPr>
        <w:t>each</w:t>
      </w:r>
      <w:r>
        <w:rPr>
          <w:spacing w:val="22"/>
          <w:w w:val="105"/>
        </w:rPr>
        <w:t> </w:t>
      </w:r>
      <w:r>
        <w:rPr>
          <w:w w:val="105"/>
        </w:rPr>
        <w:t>case</w:t>
      </w:r>
      <w:r>
        <w:rPr>
          <w:spacing w:val="22"/>
          <w:w w:val="105"/>
        </w:rPr>
        <w:t> </w:t>
      </w:r>
      <w:r>
        <w:rPr>
          <w:w w:val="105"/>
        </w:rPr>
        <w:t>the</w:t>
      </w:r>
      <w:r>
        <w:rPr>
          <w:spacing w:val="22"/>
          <w:w w:val="105"/>
        </w:rPr>
        <w:t> </w:t>
      </w:r>
      <w:r>
        <w:rPr>
          <w:w w:val="105"/>
        </w:rPr>
        <w:t>stock</w:t>
      </w:r>
      <w:r>
        <w:rPr>
          <w:spacing w:val="22"/>
          <w:w w:val="105"/>
        </w:rPr>
        <w:t> </w:t>
      </w:r>
      <w:r>
        <w:rPr>
          <w:w w:val="105"/>
        </w:rPr>
        <w:t>option</w:t>
      </w:r>
      <w:r>
        <w:rPr>
          <w:spacing w:val="22"/>
          <w:w w:val="105"/>
        </w:rPr>
        <w:t> </w:t>
      </w:r>
      <w:r>
        <w:rPr>
          <w:w w:val="105"/>
        </w:rPr>
        <w:t>term</w:t>
      </w:r>
      <w:r>
        <w:rPr>
          <w:spacing w:val="22"/>
          <w:w w:val="105"/>
        </w:rPr>
        <w:t> </w:t>
      </w:r>
      <w:r>
        <w:rPr>
          <w:w w:val="105"/>
        </w:rPr>
        <w:t>expires</w:t>
      </w:r>
      <w:r>
        <w:rPr>
          <w:spacing w:val="22"/>
          <w:w w:val="105"/>
        </w:rPr>
        <w:t> </w:t>
      </w:r>
      <w:r>
        <w:rPr>
          <w:w w:val="105"/>
        </w:rPr>
        <w:t>earlier.</w:t>
      </w:r>
      <w:r>
        <w:rPr>
          <w:spacing w:val="22"/>
          <w:w w:val="105"/>
        </w:rPr>
        <w:t> </w:t>
      </w:r>
      <w:r>
        <w:rPr>
          <w:w w:val="105"/>
        </w:rPr>
        <w:t>Stock</w:t>
      </w:r>
      <w:r>
        <w:rPr>
          <w:spacing w:val="22"/>
          <w:w w:val="105"/>
        </w:rPr>
        <w:t> </w:t>
      </w:r>
      <w:r>
        <w:rPr>
          <w:w w:val="105"/>
        </w:rPr>
        <w:t>options</w:t>
      </w:r>
      <w:r>
        <w:rPr>
          <w:spacing w:val="22"/>
          <w:w w:val="105"/>
        </w:rPr>
        <w:t> </w:t>
      </w:r>
      <w:r>
        <w:rPr>
          <w:w w:val="105"/>
        </w:rPr>
        <w:t>granted</w:t>
      </w:r>
      <w:r>
        <w:rPr>
          <w:spacing w:val="22"/>
          <w:w w:val="105"/>
        </w:rPr>
        <w:t> </w:t>
      </w:r>
      <w:r>
        <w:rPr>
          <w:w w:val="105"/>
        </w:rPr>
        <w:t>under</w:t>
      </w:r>
      <w:r>
        <w:rPr>
          <w:spacing w:val="22"/>
          <w:w w:val="105"/>
        </w:rPr>
        <w:t> </w:t>
      </w:r>
      <w:r>
        <w:rPr>
          <w:w w:val="105"/>
        </w:rPr>
        <w:t>the</w:t>
      </w:r>
      <w:r>
        <w:rPr>
          <w:spacing w:val="22"/>
          <w:w w:val="105"/>
        </w:rPr>
        <w:t> </w:t>
      </w:r>
      <w:r>
        <w:rPr>
          <w:w w:val="105"/>
        </w:rPr>
        <w:t>2020 Stock Plan, once vested, remain exercisable for up to one year upon a disability and for the remainder of the</w:t>
      </w:r>
      <w:r>
        <w:rPr>
          <w:spacing w:val="40"/>
          <w:w w:val="105"/>
        </w:rPr>
        <w:t> </w:t>
      </w:r>
      <w:r>
        <w:rPr>
          <w:w w:val="105"/>
        </w:rPr>
        <w:t>option term in the instance of a retirement or death.</w:t>
      </w:r>
    </w:p>
    <w:p>
      <w:pPr>
        <w:pStyle w:val="BodyText"/>
        <w:spacing w:before="141"/>
        <w:ind w:left="1400"/>
      </w:pPr>
      <w:r>
        <w:rPr/>
        <w:pict>
          <v:rect style="position:absolute;margin-left:144.020004pt;margin-top:16.151114pt;width:48.871858pt;height:.698992pt;mso-position-horizontal-relative:page;mso-position-vertical-relative:paragraph;z-index:15797248" id="docshape452" filled="true" fillcolor="#000000" stroked="false">
            <v:fill type="solid"/>
            <w10:wrap type="none"/>
          </v:rect>
        </w:pict>
      </w:r>
      <w:r>
        <w:rPr>
          <w:w w:val="105"/>
          <w:u w:val="single"/>
        </w:rPr>
        <w:t>Potential</w:t>
      </w:r>
      <w:r>
        <w:rPr>
          <w:spacing w:val="16"/>
          <w:w w:val="105"/>
          <w:u w:val="single"/>
        </w:rPr>
        <w:t> </w:t>
      </w:r>
      <w:r>
        <w:rPr>
          <w:w w:val="105"/>
          <w:u w:val="single"/>
        </w:rPr>
        <w:t>Pa</w:t>
      </w:r>
      <w:r>
        <w:rPr>
          <w:w w:val="105"/>
        </w:rPr>
        <w:t>yments</w:t>
      </w:r>
      <w:r>
        <w:rPr>
          <w:spacing w:val="11"/>
          <w:w w:val="105"/>
        </w:rPr>
        <w:t> </w:t>
      </w:r>
      <w:r>
        <w:rPr>
          <w:spacing w:val="-2"/>
          <w:w w:val="105"/>
        </w:rPr>
        <w:t>Table</w:t>
      </w:r>
    </w:p>
    <w:p>
      <w:pPr>
        <w:pStyle w:val="BodyText"/>
        <w:spacing w:line="259" w:lineRule="auto" w:before="170"/>
        <w:ind w:left="1400" w:right="1434" w:firstLine="372"/>
      </w:pPr>
      <w:r>
        <w:rPr>
          <w:w w:val="105"/>
        </w:rPr>
        <w:t>The</w:t>
      </w:r>
      <w:r>
        <w:rPr>
          <w:spacing w:val="20"/>
          <w:w w:val="105"/>
        </w:rPr>
        <w:t> </w:t>
      </w:r>
      <w:r>
        <w:rPr>
          <w:w w:val="105"/>
        </w:rPr>
        <w:t>table</w:t>
      </w:r>
      <w:r>
        <w:rPr>
          <w:spacing w:val="20"/>
          <w:w w:val="105"/>
        </w:rPr>
        <w:t> </w:t>
      </w:r>
      <w:r>
        <w:rPr>
          <w:w w:val="105"/>
        </w:rPr>
        <w:t>below</w:t>
      </w:r>
      <w:r>
        <w:rPr>
          <w:spacing w:val="20"/>
          <w:w w:val="105"/>
        </w:rPr>
        <w:t> </w:t>
      </w:r>
      <w:r>
        <w:rPr>
          <w:w w:val="105"/>
        </w:rPr>
        <w:t>reflects</w:t>
      </w:r>
      <w:r>
        <w:rPr>
          <w:spacing w:val="20"/>
          <w:w w:val="105"/>
        </w:rPr>
        <w:t> </w:t>
      </w:r>
      <w:r>
        <w:rPr>
          <w:w w:val="105"/>
        </w:rPr>
        <w:t>the</w:t>
      </w:r>
      <w:r>
        <w:rPr>
          <w:spacing w:val="20"/>
          <w:w w:val="105"/>
        </w:rPr>
        <w:t> </w:t>
      </w:r>
      <w:r>
        <w:rPr>
          <w:w w:val="105"/>
        </w:rPr>
        <w:t>value</w:t>
      </w:r>
      <w:r>
        <w:rPr>
          <w:spacing w:val="20"/>
          <w:w w:val="105"/>
        </w:rPr>
        <w:t> </w:t>
      </w:r>
      <w:r>
        <w:rPr>
          <w:w w:val="105"/>
        </w:rPr>
        <w:t>of</w:t>
      </w:r>
      <w:r>
        <w:rPr>
          <w:spacing w:val="20"/>
          <w:w w:val="105"/>
        </w:rPr>
        <w:t> </w:t>
      </w:r>
      <w:r>
        <w:rPr>
          <w:w w:val="105"/>
        </w:rPr>
        <w:t>compensation</w:t>
      </w:r>
      <w:r>
        <w:rPr>
          <w:spacing w:val="20"/>
          <w:w w:val="105"/>
        </w:rPr>
        <w:t> </w:t>
      </w:r>
      <w:r>
        <w:rPr>
          <w:w w:val="105"/>
        </w:rPr>
        <w:t>and</w:t>
      </w:r>
      <w:r>
        <w:rPr>
          <w:spacing w:val="20"/>
          <w:w w:val="105"/>
        </w:rPr>
        <w:t> </w:t>
      </w:r>
      <w:r>
        <w:rPr>
          <w:w w:val="105"/>
        </w:rPr>
        <w:t>benefits</w:t>
      </w:r>
      <w:r>
        <w:rPr>
          <w:spacing w:val="20"/>
          <w:w w:val="105"/>
        </w:rPr>
        <w:t> </w:t>
      </w:r>
      <w:r>
        <w:rPr>
          <w:w w:val="105"/>
        </w:rPr>
        <w:t>that</w:t>
      </w:r>
      <w:r>
        <w:rPr>
          <w:spacing w:val="20"/>
          <w:w w:val="105"/>
        </w:rPr>
        <w:t> </w:t>
      </w:r>
      <w:r>
        <w:rPr>
          <w:w w:val="105"/>
        </w:rPr>
        <w:t>would</w:t>
      </w:r>
      <w:r>
        <w:rPr>
          <w:spacing w:val="20"/>
          <w:w w:val="105"/>
        </w:rPr>
        <w:t> </w:t>
      </w:r>
      <w:r>
        <w:rPr>
          <w:w w:val="105"/>
        </w:rPr>
        <w:t>become</w:t>
      </w:r>
      <w:r>
        <w:rPr>
          <w:spacing w:val="20"/>
          <w:w w:val="105"/>
        </w:rPr>
        <w:t> </w:t>
      </w:r>
      <w:r>
        <w:rPr>
          <w:w w:val="105"/>
        </w:rPr>
        <w:t>payable</w:t>
      </w:r>
      <w:r>
        <w:rPr>
          <w:spacing w:val="20"/>
          <w:w w:val="105"/>
        </w:rPr>
        <w:t> </w:t>
      </w:r>
      <w:r>
        <w:rPr>
          <w:w w:val="105"/>
        </w:rPr>
        <w:t>to</w:t>
      </w:r>
      <w:r>
        <w:rPr>
          <w:spacing w:val="20"/>
          <w:w w:val="105"/>
        </w:rPr>
        <w:t> </w:t>
      </w:r>
      <w:r>
        <w:rPr>
          <w:w w:val="105"/>
        </w:rPr>
        <w:t>each</w:t>
      </w:r>
      <w:r>
        <w:rPr>
          <w:spacing w:val="20"/>
          <w:w w:val="105"/>
        </w:rPr>
        <w:t> </w:t>
      </w:r>
      <w:r>
        <w:rPr>
          <w:w w:val="105"/>
        </w:rPr>
        <w:t>of the NEOs if (i) a change in control occurred on September 30, 2022 and the NEO experienced a qualifying</w:t>
      </w:r>
      <w:r>
        <w:rPr>
          <w:spacing w:val="40"/>
          <w:w w:val="105"/>
        </w:rPr>
        <w:t> </w:t>
      </w:r>
      <w:r>
        <w:rPr>
          <w:w w:val="105"/>
        </w:rPr>
        <w:t>termination of employment on that date, (ii) a corporate transaction occurred on September 30, 2022 and the</w:t>
      </w:r>
      <w:r>
        <w:rPr>
          <w:spacing w:val="40"/>
          <w:w w:val="105"/>
        </w:rPr>
        <w:t> </w:t>
      </w:r>
      <w:r>
        <w:rPr>
          <w:w w:val="105"/>
        </w:rPr>
        <w:t>NEO’s equity awards are not assumed, continued, or substituted, or (iii) the NEO died or experienced a qualifying disability on September 30, 2022. These amounts are based upon the NEO’s compensation as of</w:t>
      </w:r>
      <w:r>
        <w:rPr>
          <w:spacing w:val="40"/>
          <w:w w:val="105"/>
        </w:rPr>
        <w:t> </w:t>
      </w:r>
      <w:r>
        <w:rPr>
          <w:w w:val="105"/>
        </w:rPr>
        <w:t>such date and on the Company’s closing stock price of $21.14 on September 30, 2022 and do not take into</w:t>
      </w:r>
      <w:r>
        <w:rPr>
          <w:spacing w:val="40"/>
          <w:w w:val="105"/>
        </w:rPr>
        <w:t> </w:t>
      </w:r>
      <w:r>
        <w:rPr>
          <w:w w:val="105"/>
        </w:rPr>
        <w:t>account the “better after tax” provision in the CIC Agreements.</w:t>
      </w:r>
    </w:p>
    <w:p>
      <w:pPr>
        <w:pStyle w:val="BodyText"/>
        <w:spacing w:line="259" w:lineRule="auto" w:before="155"/>
        <w:ind w:left="1400" w:right="1464" w:firstLine="372"/>
      </w:pPr>
      <w:r>
        <w:rPr>
          <w:w w:val="105"/>
        </w:rPr>
        <w:t>These</w:t>
      </w:r>
      <w:r>
        <w:rPr>
          <w:spacing w:val="25"/>
          <w:w w:val="105"/>
        </w:rPr>
        <w:t> </w:t>
      </w:r>
      <w:r>
        <w:rPr>
          <w:w w:val="105"/>
        </w:rPr>
        <w:t>benefits</w:t>
      </w:r>
      <w:r>
        <w:rPr>
          <w:spacing w:val="25"/>
          <w:w w:val="105"/>
        </w:rPr>
        <w:t> </w:t>
      </w:r>
      <w:r>
        <w:rPr>
          <w:w w:val="105"/>
        </w:rPr>
        <w:t>are</w:t>
      </w:r>
      <w:r>
        <w:rPr>
          <w:spacing w:val="25"/>
          <w:w w:val="105"/>
        </w:rPr>
        <w:t> </w:t>
      </w:r>
      <w:r>
        <w:rPr>
          <w:w w:val="105"/>
        </w:rPr>
        <w:t>in</w:t>
      </w:r>
      <w:r>
        <w:rPr>
          <w:spacing w:val="25"/>
          <w:w w:val="105"/>
        </w:rPr>
        <w:t> </w:t>
      </w:r>
      <w:r>
        <w:rPr>
          <w:w w:val="105"/>
        </w:rPr>
        <w:t>addition</w:t>
      </w:r>
      <w:r>
        <w:rPr>
          <w:spacing w:val="25"/>
          <w:w w:val="105"/>
        </w:rPr>
        <w:t> </w:t>
      </w:r>
      <w:r>
        <w:rPr>
          <w:w w:val="105"/>
        </w:rPr>
        <w:t>to</w:t>
      </w:r>
      <w:r>
        <w:rPr>
          <w:spacing w:val="25"/>
          <w:w w:val="105"/>
        </w:rPr>
        <w:t> </w:t>
      </w:r>
      <w:r>
        <w:rPr>
          <w:w w:val="105"/>
        </w:rPr>
        <w:t>the</w:t>
      </w:r>
      <w:r>
        <w:rPr>
          <w:spacing w:val="25"/>
          <w:w w:val="105"/>
        </w:rPr>
        <w:t> </w:t>
      </w:r>
      <w:r>
        <w:rPr>
          <w:w w:val="105"/>
        </w:rPr>
        <w:t>benefits</w:t>
      </w:r>
      <w:r>
        <w:rPr>
          <w:spacing w:val="25"/>
          <w:w w:val="105"/>
        </w:rPr>
        <w:t> </w:t>
      </w:r>
      <w:r>
        <w:rPr>
          <w:w w:val="105"/>
        </w:rPr>
        <w:t>under</w:t>
      </w:r>
      <w:r>
        <w:rPr>
          <w:spacing w:val="25"/>
          <w:w w:val="105"/>
        </w:rPr>
        <w:t> </w:t>
      </w:r>
      <w:r>
        <w:rPr>
          <w:w w:val="105"/>
        </w:rPr>
        <w:t>then</w:t>
      </w:r>
      <w:r>
        <w:rPr>
          <w:spacing w:val="25"/>
          <w:w w:val="105"/>
        </w:rPr>
        <w:t> </w:t>
      </w:r>
      <w:r>
        <w:rPr>
          <w:w w:val="105"/>
        </w:rPr>
        <w:t>exercisable</w:t>
      </w:r>
      <w:r>
        <w:rPr>
          <w:spacing w:val="25"/>
          <w:w w:val="105"/>
        </w:rPr>
        <w:t> </w:t>
      </w:r>
      <w:r>
        <w:rPr>
          <w:w w:val="105"/>
        </w:rPr>
        <w:t>stock</w:t>
      </w:r>
      <w:r>
        <w:rPr>
          <w:spacing w:val="25"/>
          <w:w w:val="105"/>
        </w:rPr>
        <w:t> </w:t>
      </w:r>
      <w:r>
        <w:rPr>
          <w:w w:val="105"/>
        </w:rPr>
        <w:t>options,</w:t>
      </w:r>
      <w:r>
        <w:rPr>
          <w:spacing w:val="25"/>
          <w:w w:val="105"/>
        </w:rPr>
        <w:t> </w:t>
      </w:r>
      <w:r>
        <w:rPr>
          <w:w w:val="105"/>
        </w:rPr>
        <w:t>the</w:t>
      </w:r>
      <w:r>
        <w:rPr>
          <w:spacing w:val="25"/>
          <w:w w:val="105"/>
        </w:rPr>
        <w:t> </w:t>
      </w:r>
      <w:r>
        <w:rPr>
          <w:w w:val="105"/>
        </w:rPr>
        <w:t>benefits</w:t>
      </w:r>
      <w:r>
        <w:rPr>
          <w:spacing w:val="25"/>
          <w:w w:val="105"/>
        </w:rPr>
        <w:t> </w:t>
      </w:r>
      <w:r>
        <w:rPr>
          <w:w w:val="105"/>
        </w:rPr>
        <w:t>under the</w:t>
      </w:r>
      <w:r>
        <w:rPr>
          <w:spacing w:val="13"/>
          <w:w w:val="105"/>
        </w:rPr>
        <w:t> </w:t>
      </w:r>
      <w:r>
        <w:rPr>
          <w:w w:val="105"/>
        </w:rPr>
        <w:t>DCP which</w:t>
      </w:r>
      <w:r>
        <w:rPr>
          <w:spacing w:val="13"/>
          <w:w w:val="105"/>
        </w:rPr>
        <w:t> </w:t>
      </w:r>
      <w:r>
        <w:rPr>
          <w:w w:val="105"/>
        </w:rPr>
        <w:t>the</w:t>
      </w:r>
      <w:r>
        <w:rPr>
          <w:spacing w:val="13"/>
          <w:w w:val="105"/>
        </w:rPr>
        <w:t> </w:t>
      </w:r>
      <w:r>
        <w:rPr>
          <w:w w:val="105"/>
        </w:rPr>
        <w:t>NEO</w:t>
      </w:r>
      <w:r>
        <w:rPr>
          <w:spacing w:val="13"/>
          <w:w w:val="105"/>
        </w:rPr>
        <w:t> </w:t>
      </w:r>
      <w:r>
        <w:rPr>
          <w:w w:val="105"/>
        </w:rPr>
        <w:t>would</w:t>
      </w:r>
      <w:r>
        <w:rPr>
          <w:spacing w:val="13"/>
          <w:w w:val="105"/>
        </w:rPr>
        <w:t> </w:t>
      </w:r>
      <w:r>
        <w:rPr>
          <w:w w:val="105"/>
        </w:rPr>
        <w:t>receive</w:t>
      </w:r>
      <w:r>
        <w:rPr>
          <w:spacing w:val="13"/>
          <w:w w:val="105"/>
        </w:rPr>
        <w:t> </w:t>
      </w:r>
      <w:r>
        <w:rPr>
          <w:w w:val="105"/>
        </w:rPr>
        <w:t>in</w:t>
      </w:r>
      <w:r>
        <w:rPr>
          <w:spacing w:val="13"/>
          <w:w w:val="105"/>
        </w:rPr>
        <w:t> </w:t>
      </w:r>
      <w:r>
        <w:rPr>
          <w:w w:val="105"/>
        </w:rPr>
        <w:t>the</w:t>
      </w:r>
      <w:r>
        <w:rPr>
          <w:spacing w:val="13"/>
          <w:w w:val="105"/>
        </w:rPr>
        <w:t> </w:t>
      </w:r>
      <w:r>
        <w:rPr>
          <w:w w:val="105"/>
        </w:rPr>
        <w:t>event</w:t>
      </w:r>
      <w:r>
        <w:rPr>
          <w:spacing w:val="13"/>
          <w:w w:val="105"/>
        </w:rPr>
        <w:t> </w:t>
      </w:r>
      <w:r>
        <w:rPr>
          <w:w w:val="105"/>
        </w:rPr>
        <w:t>of</w:t>
      </w:r>
      <w:r>
        <w:rPr>
          <w:spacing w:val="13"/>
          <w:w w:val="105"/>
        </w:rPr>
        <w:t> </w:t>
      </w:r>
      <w:r>
        <w:rPr>
          <w:w w:val="105"/>
        </w:rPr>
        <w:t>any</w:t>
      </w:r>
      <w:r>
        <w:rPr>
          <w:spacing w:val="13"/>
          <w:w w:val="105"/>
        </w:rPr>
        <w:t> </w:t>
      </w:r>
      <w:r>
        <w:rPr>
          <w:w w:val="105"/>
        </w:rPr>
        <w:t>termination,</w:t>
      </w:r>
      <w:r>
        <w:rPr>
          <w:spacing w:val="13"/>
          <w:w w:val="105"/>
        </w:rPr>
        <w:t> </w:t>
      </w:r>
      <w:r>
        <w:rPr>
          <w:w w:val="105"/>
        </w:rPr>
        <w:t>and</w:t>
      </w:r>
      <w:r>
        <w:rPr>
          <w:spacing w:val="13"/>
          <w:w w:val="105"/>
        </w:rPr>
        <w:t> </w:t>
      </w:r>
      <w:r>
        <w:rPr>
          <w:w w:val="105"/>
        </w:rPr>
        <w:t>the</w:t>
      </w:r>
      <w:r>
        <w:rPr>
          <w:spacing w:val="13"/>
          <w:w w:val="105"/>
        </w:rPr>
        <w:t> </w:t>
      </w:r>
      <w:r>
        <w:rPr>
          <w:w w:val="105"/>
        </w:rPr>
        <w:t>benefits</w:t>
      </w:r>
      <w:r>
        <w:rPr>
          <w:spacing w:val="13"/>
          <w:w w:val="105"/>
        </w:rPr>
        <w:t> </w:t>
      </w:r>
      <w:r>
        <w:rPr>
          <w:w w:val="105"/>
        </w:rPr>
        <w:t>available</w:t>
      </w:r>
      <w:r>
        <w:rPr>
          <w:spacing w:val="13"/>
          <w:w w:val="105"/>
        </w:rPr>
        <w:t> </w:t>
      </w:r>
      <w:r>
        <w:rPr>
          <w:w w:val="105"/>
        </w:rPr>
        <w:t>generally to salaried employees, such as distributions under our broad based 401(k) plan. No additional benefits are</w:t>
      </w:r>
      <w:r>
        <w:rPr>
          <w:spacing w:val="40"/>
          <w:w w:val="105"/>
        </w:rPr>
        <w:t> </w:t>
      </w:r>
      <w:r>
        <w:rPr>
          <w:w w:val="105"/>
        </w:rPr>
        <w:t>provided to NEOs upon retirement.</w:t>
      </w:r>
    </w:p>
    <w:p>
      <w:pPr>
        <w:pStyle w:val="BodyText"/>
        <w:spacing w:line="259" w:lineRule="auto" w:before="140"/>
        <w:ind w:left="1400" w:right="1423" w:firstLine="372"/>
      </w:pPr>
      <w:r>
        <w:rPr>
          <w:w w:val="105"/>
        </w:rPr>
        <w:t>The</w:t>
      </w:r>
      <w:r>
        <w:rPr>
          <w:spacing w:val="13"/>
          <w:w w:val="105"/>
        </w:rPr>
        <w:t> </w:t>
      </w:r>
      <w:r>
        <w:rPr>
          <w:w w:val="105"/>
        </w:rPr>
        <w:t>benefits</w:t>
      </w:r>
      <w:r>
        <w:rPr>
          <w:spacing w:val="13"/>
          <w:w w:val="105"/>
        </w:rPr>
        <w:t> </w:t>
      </w:r>
      <w:r>
        <w:rPr>
          <w:w w:val="105"/>
        </w:rPr>
        <w:t>payable</w:t>
      </w:r>
      <w:r>
        <w:rPr>
          <w:spacing w:val="13"/>
          <w:w w:val="105"/>
        </w:rPr>
        <w:t> </w:t>
      </w:r>
      <w:r>
        <w:rPr>
          <w:w w:val="105"/>
        </w:rPr>
        <w:t>as</w:t>
      </w:r>
      <w:r>
        <w:rPr>
          <w:spacing w:val="13"/>
          <w:w w:val="105"/>
        </w:rPr>
        <w:t> </w:t>
      </w:r>
      <w:r>
        <w:rPr>
          <w:w w:val="105"/>
        </w:rPr>
        <w:t>a</w:t>
      </w:r>
      <w:r>
        <w:rPr>
          <w:spacing w:val="13"/>
          <w:w w:val="105"/>
        </w:rPr>
        <w:t> </w:t>
      </w:r>
      <w:r>
        <w:rPr>
          <w:w w:val="105"/>
        </w:rPr>
        <w:t>result</w:t>
      </w:r>
      <w:r>
        <w:rPr>
          <w:spacing w:val="13"/>
          <w:w w:val="105"/>
        </w:rPr>
        <w:t> </w:t>
      </w:r>
      <w:r>
        <w:rPr>
          <w:w w:val="105"/>
        </w:rPr>
        <w:t>of</w:t>
      </w:r>
      <w:r>
        <w:rPr>
          <w:spacing w:val="13"/>
          <w:w w:val="105"/>
        </w:rPr>
        <w:t> </w:t>
      </w:r>
      <w:r>
        <w:rPr>
          <w:w w:val="105"/>
        </w:rPr>
        <w:t>a</w:t>
      </w:r>
      <w:r>
        <w:rPr>
          <w:spacing w:val="13"/>
          <w:w w:val="105"/>
        </w:rPr>
        <w:t> </w:t>
      </w:r>
      <w:r>
        <w:rPr>
          <w:w w:val="105"/>
        </w:rPr>
        <w:t>termination</w:t>
      </w:r>
      <w:r>
        <w:rPr>
          <w:spacing w:val="13"/>
          <w:w w:val="105"/>
        </w:rPr>
        <w:t> </w:t>
      </w:r>
      <w:r>
        <w:rPr>
          <w:w w:val="105"/>
        </w:rPr>
        <w:t>of</w:t>
      </w:r>
      <w:r>
        <w:rPr>
          <w:spacing w:val="13"/>
          <w:w w:val="105"/>
        </w:rPr>
        <w:t> </w:t>
      </w:r>
      <w:r>
        <w:rPr>
          <w:w w:val="105"/>
        </w:rPr>
        <w:t>employment</w:t>
      </w:r>
      <w:r>
        <w:rPr>
          <w:spacing w:val="13"/>
          <w:w w:val="105"/>
        </w:rPr>
        <w:t> </w:t>
      </w:r>
      <w:r>
        <w:rPr>
          <w:w w:val="105"/>
        </w:rPr>
        <w:t>in</w:t>
      </w:r>
      <w:r>
        <w:rPr>
          <w:spacing w:val="13"/>
          <w:w w:val="105"/>
        </w:rPr>
        <w:t> </w:t>
      </w:r>
      <w:r>
        <w:rPr>
          <w:w w:val="105"/>
        </w:rPr>
        <w:t>connection</w:t>
      </w:r>
      <w:r>
        <w:rPr>
          <w:spacing w:val="13"/>
          <w:w w:val="105"/>
        </w:rPr>
        <w:t> </w:t>
      </w:r>
      <w:r>
        <w:rPr>
          <w:w w:val="105"/>
        </w:rPr>
        <w:t>with</w:t>
      </w:r>
      <w:r>
        <w:rPr>
          <w:spacing w:val="13"/>
          <w:w w:val="105"/>
        </w:rPr>
        <w:t> </w:t>
      </w:r>
      <w:r>
        <w:rPr>
          <w:w w:val="105"/>
        </w:rPr>
        <w:t>a</w:t>
      </w:r>
      <w:r>
        <w:rPr>
          <w:spacing w:val="13"/>
          <w:w w:val="105"/>
        </w:rPr>
        <w:t> </w:t>
      </w:r>
      <w:r>
        <w:rPr>
          <w:w w:val="105"/>
        </w:rPr>
        <w:t>change</w:t>
      </w:r>
      <w:r>
        <w:rPr>
          <w:spacing w:val="13"/>
          <w:w w:val="105"/>
        </w:rPr>
        <w:t> </w:t>
      </w:r>
      <w:r>
        <w:rPr>
          <w:w w:val="105"/>
        </w:rPr>
        <w:t>in</w:t>
      </w:r>
      <w:r>
        <w:rPr>
          <w:spacing w:val="13"/>
          <w:w w:val="105"/>
        </w:rPr>
        <w:t> </w:t>
      </w:r>
      <w:r>
        <w:rPr>
          <w:w w:val="105"/>
        </w:rPr>
        <w:t>control as reported in the columns of this table are as follows:</w:t>
      </w:r>
    </w:p>
    <w:p>
      <w:pPr>
        <w:spacing w:after="0" w:line="259" w:lineRule="auto"/>
        <w:sectPr>
          <w:headerReference w:type="default" r:id="rId153"/>
          <w:footerReference w:type="default" r:id="rId154"/>
          <w:pgSz w:w="12240" w:h="15840"/>
          <w:pgMar w:header="529" w:footer="1540" w:top="720" w:bottom="1720" w:left="480" w:right="460"/>
        </w:sectPr>
      </w:pPr>
    </w:p>
    <w:p>
      <w:pPr>
        <w:pStyle w:val="BodyText"/>
        <w:rPr>
          <w:sz w:val="20"/>
        </w:rPr>
      </w:pPr>
    </w:p>
    <w:p>
      <w:pPr>
        <w:pStyle w:val="BodyText"/>
        <w:rPr>
          <w:sz w:val="20"/>
        </w:rPr>
      </w:pPr>
    </w:p>
    <w:p>
      <w:pPr>
        <w:pStyle w:val="BodyText"/>
        <w:spacing w:before="2"/>
        <w:rPr>
          <w:sz w:val="27"/>
        </w:rPr>
      </w:pPr>
    </w:p>
    <w:p>
      <w:pPr>
        <w:pStyle w:val="ListParagraph"/>
        <w:numPr>
          <w:ilvl w:val="0"/>
          <w:numId w:val="34"/>
        </w:numPr>
        <w:tabs>
          <w:tab w:pos="1960" w:val="left" w:leader="none"/>
        </w:tabs>
        <w:spacing w:line="240" w:lineRule="auto" w:before="98" w:after="0"/>
        <w:ind w:left="1959" w:right="0" w:hanging="188"/>
        <w:jc w:val="left"/>
        <w:rPr>
          <w:sz w:val="18"/>
        </w:rPr>
      </w:pPr>
      <w:r>
        <w:rPr>
          <w:i/>
          <w:w w:val="105"/>
          <w:sz w:val="18"/>
        </w:rPr>
        <w:t>Cash</w:t>
      </w:r>
      <w:r>
        <w:rPr>
          <w:i/>
          <w:spacing w:val="10"/>
          <w:w w:val="105"/>
          <w:sz w:val="18"/>
        </w:rPr>
        <w:t> </w:t>
      </w:r>
      <w:r>
        <w:rPr>
          <w:i/>
          <w:w w:val="105"/>
          <w:sz w:val="18"/>
        </w:rPr>
        <w:t>Severance</w:t>
      </w:r>
      <w:r>
        <w:rPr>
          <w:i/>
          <w:spacing w:val="11"/>
          <w:w w:val="105"/>
          <w:sz w:val="18"/>
        </w:rPr>
        <w:t> </w:t>
      </w:r>
      <w:r>
        <w:rPr>
          <w:i/>
          <w:w w:val="105"/>
          <w:sz w:val="18"/>
        </w:rPr>
        <w:t>Benefit:</w:t>
      </w:r>
      <w:r>
        <w:rPr>
          <w:i/>
          <w:spacing w:val="35"/>
          <w:w w:val="105"/>
          <w:sz w:val="18"/>
        </w:rPr>
        <w:t>  </w:t>
      </w:r>
      <w:r>
        <w:rPr>
          <w:w w:val="105"/>
          <w:sz w:val="18"/>
        </w:rPr>
        <w:t>Cash</w:t>
      </w:r>
      <w:r>
        <w:rPr>
          <w:spacing w:val="10"/>
          <w:w w:val="105"/>
          <w:sz w:val="18"/>
        </w:rPr>
        <w:t> </w:t>
      </w:r>
      <w:r>
        <w:rPr>
          <w:w w:val="105"/>
          <w:sz w:val="18"/>
        </w:rPr>
        <w:t>severance</w:t>
      </w:r>
      <w:r>
        <w:rPr>
          <w:spacing w:val="11"/>
          <w:w w:val="105"/>
          <w:sz w:val="18"/>
        </w:rPr>
        <w:t> </w:t>
      </w:r>
      <w:r>
        <w:rPr>
          <w:w w:val="105"/>
          <w:sz w:val="18"/>
        </w:rPr>
        <w:t>equal</w:t>
      </w:r>
      <w:r>
        <w:rPr>
          <w:spacing w:val="10"/>
          <w:w w:val="105"/>
          <w:sz w:val="18"/>
        </w:rPr>
        <w:t> </w:t>
      </w:r>
      <w:r>
        <w:rPr>
          <w:w w:val="105"/>
          <w:sz w:val="18"/>
        </w:rPr>
        <w:t>to</w:t>
      </w:r>
      <w:r>
        <w:rPr>
          <w:spacing w:val="11"/>
          <w:w w:val="105"/>
          <w:sz w:val="18"/>
        </w:rPr>
        <w:t> </w:t>
      </w:r>
      <w:r>
        <w:rPr>
          <w:w w:val="105"/>
          <w:sz w:val="18"/>
        </w:rPr>
        <w:t>2.5</w:t>
      </w:r>
      <w:r>
        <w:rPr>
          <w:spacing w:val="10"/>
          <w:w w:val="105"/>
          <w:sz w:val="18"/>
        </w:rPr>
        <w:t> </w:t>
      </w:r>
      <w:r>
        <w:rPr>
          <w:w w:val="105"/>
          <w:sz w:val="18"/>
        </w:rPr>
        <w:t>times</w:t>
      </w:r>
      <w:r>
        <w:rPr>
          <w:spacing w:val="11"/>
          <w:w w:val="105"/>
          <w:sz w:val="18"/>
        </w:rPr>
        <w:t> </w:t>
      </w:r>
      <w:r>
        <w:rPr>
          <w:w w:val="105"/>
          <w:sz w:val="18"/>
        </w:rPr>
        <w:t>(Sanyal)</w:t>
      </w:r>
      <w:r>
        <w:rPr>
          <w:spacing w:val="10"/>
          <w:w w:val="105"/>
          <w:sz w:val="18"/>
        </w:rPr>
        <w:t> </w:t>
      </w:r>
      <w:r>
        <w:rPr>
          <w:w w:val="105"/>
          <w:sz w:val="18"/>
        </w:rPr>
        <w:t>and</w:t>
      </w:r>
      <w:r>
        <w:rPr>
          <w:spacing w:val="11"/>
          <w:w w:val="105"/>
          <w:sz w:val="18"/>
        </w:rPr>
        <w:t> </w:t>
      </w:r>
      <w:r>
        <w:rPr>
          <w:w w:val="105"/>
          <w:sz w:val="18"/>
        </w:rPr>
        <w:t>2.0</w:t>
      </w:r>
      <w:r>
        <w:rPr>
          <w:spacing w:val="10"/>
          <w:w w:val="105"/>
          <w:sz w:val="18"/>
        </w:rPr>
        <w:t> </w:t>
      </w:r>
      <w:r>
        <w:rPr>
          <w:w w:val="105"/>
          <w:sz w:val="18"/>
        </w:rPr>
        <w:t>(all</w:t>
      </w:r>
      <w:r>
        <w:rPr>
          <w:spacing w:val="11"/>
          <w:w w:val="105"/>
          <w:sz w:val="18"/>
        </w:rPr>
        <w:t> </w:t>
      </w:r>
      <w:r>
        <w:rPr>
          <w:w w:val="105"/>
          <w:sz w:val="18"/>
        </w:rPr>
        <w:t>others)</w:t>
      </w:r>
      <w:r>
        <w:rPr>
          <w:spacing w:val="10"/>
          <w:w w:val="105"/>
          <w:sz w:val="18"/>
        </w:rPr>
        <w:t> </w:t>
      </w:r>
      <w:r>
        <w:rPr>
          <w:w w:val="105"/>
          <w:sz w:val="18"/>
        </w:rPr>
        <w:t>the</w:t>
      </w:r>
      <w:r>
        <w:rPr>
          <w:spacing w:val="11"/>
          <w:w w:val="105"/>
          <w:sz w:val="18"/>
        </w:rPr>
        <w:t> </w:t>
      </w:r>
      <w:r>
        <w:rPr>
          <w:w w:val="105"/>
          <w:sz w:val="18"/>
        </w:rPr>
        <w:t>sum</w:t>
      </w:r>
      <w:r>
        <w:rPr>
          <w:spacing w:val="10"/>
          <w:w w:val="105"/>
          <w:sz w:val="18"/>
        </w:rPr>
        <w:t> </w:t>
      </w:r>
      <w:r>
        <w:rPr>
          <w:spacing w:val="-5"/>
          <w:w w:val="105"/>
          <w:sz w:val="18"/>
        </w:rPr>
        <w:t>of</w:t>
      </w:r>
    </w:p>
    <w:p>
      <w:pPr>
        <w:pStyle w:val="BodyText"/>
        <w:spacing w:before="17"/>
        <w:ind w:left="1959"/>
      </w:pPr>
      <w:r>
        <w:rPr>
          <w:w w:val="105"/>
        </w:rPr>
        <w:t>(i)</w:t>
      </w:r>
      <w:r>
        <w:rPr>
          <w:spacing w:val="11"/>
          <w:w w:val="105"/>
        </w:rPr>
        <w:t> </w:t>
      </w:r>
      <w:r>
        <w:rPr>
          <w:w w:val="105"/>
        </w:rPr>
        <w:t>annual</w:t>
      </w:r>
      <w:r>
        <w:rPr>
          <w:spacing w:val="11"/>
          <w:w w:val="105"/>
        </w:rPr>
        <w:t> </w:t>
      </w:r>
      <w:r>
        <w:rPr>
          <w:w w:val="105"/>
        </w:rPr>
        <w:t>base</w:t>
      </w:r>
      <w:r>
        <w:rPr>
          <w:spacing w:val="11"/>
          <w:w w:val="105"/>
        </w:rPr>
        <w:t> </w:t>
      </w:r>
      <w:r>
        <w:rPr>
          <w:w w:val="105"/>
        </w:rPr>
        <w:t>salary</w:t>
      </w:r>
      <w:r>
        <w:rPr>
          <w:spacing w:val="11"/>
          <w:w w:val="105"/>
        </w:rPr>
        <w:t> </w:t>
      </w:r>
      <w:r>
        <w:rPr>
          <w:w w:val="105"/>
        </w:rPr>
        <w:t>rate</w:t>
      </w:r>
      <w:r>
        <w:rPr>
          <w:spacing w:val="11"/>
          <w:w w:val="105"/>
        </w:rPr>
        <w:t> </w:t>
      </w:r>
      <w:r>
        <w:rPr>
          <w:w w:val="105"/>
        </w:rPr>
        <w:t>plus</w:t>
      </w:r>
      <w:r>
        <w:rPr>
          <w:spacing w:val="11"/>
          <w:w w:val="105"/>
        </w:rPr>
        <w:t> </w:t>
      </w:r>
      <w:r>
        <w:rPr>
          <w:w w:val="105"/>
        </w:rPr>
        <w:t>(ii)</w:t>
      </w:r>
      <w:r>
        <w:rPr>
          <w:spacing w:val="11"/>
          <w:w w:val="105"/>
        </w:rPr>
        <w:t> </w:t>
      </w:r>
      <w:r>
        <w:rPr>
          <w:w w:val="105"/>
        </w:rPr>
        <w:t>the</w:t>
      </w:r>
      <w:r>
        <w:rPr>
          <w:spacing w:val="11"/>
          <w:w w:val="105"/>
        </w:rPr>
        <w:t> </w:t>
      </w:r>
      <w:r>
        <w:rPr>
          <w:w w:val="105"/>
        </w:rPr>
        <w:t>greater</w:t>
      </w:r>
      <w:r>
        <w:rPr>
          <w:spacing w:val="11"/>
          <w:w w:val="105"/>
        </w:rPr>
        <w:t> </w:t>
      </w:r>
      <w:r>
        <w:rPr>
          <w:w w:val="105"/>
        </w:rPr>
        <w:t>of</w:t>
      </w:r>
      <w:r>
        <w:rPr>
          <w:spacing w:val="12"/>
          <w:w w:val="105"/>
        </w:rPr>
        <w:t> </w:t>
      </w:r>
      <w:r>
        <w:rPr>
          <w:w w:val="105"/>
        </w:rPr>
        <w:t>(a)</w:t>
      </w:r>
      <w:r>
        <w:rPr>
          <w:spacing w:val="11"/>
          <w:w w:val="105"/>
        </w:rPr>
        <w:t> </w:t>
      </w:r>
      <w:r>
        <w:rPr>
          <w:w w:val="105"/>
        </w:rPr>
        <w:t>the</w:t>
      </w:r>
      <w:r>
        <w:rPr>
          <w:spacing w:val="11"/>
          <w:w w:val="105"/>
        </w:rPr>
        <w:t> </w:t>
      </w:r>
      <w:r>
        <w:rPr>
          <w:w w:val="105"/>
        </w:rPr>
        <w:t>most</w:t>
      </w:r>
      <w:r>
        <w:rPr>
          <w:spacing w:val="11"/>
          <w:w w:val="105"/>
        </w:rPr>
        <w:t> </w:t>
      </w:r>
      <w:r>
        <w:rPr>
          <w:w w:val="105"/>
        </w:rPr>
        <w:t>recently</w:t>
      </w:r>
      <w:r>
        <w:rPr>
          <w:spacing w:val="11"/>
          <w:w w:val="105"/>
        </w:rPr>
        <w:t> </w:t>
      </w:r>
      <w:r>
        <w:rPr>
          <w:w w:val="105"/>
        </w:rPr>
        <w:t>established</w:t>
      </w:r>
      <w:r>
        <w:rPr>
          <w:spacing w:val="11"/>
          <w:w w:val="105"/>
        </w:rPr>
        <w:t> </w:t>
      </w:r>
      <w:r>
        <w:rPr>
          <w:w w:val="105"/>
        </w:rPr>
        <w:t>target</w:t>
      </w:r>
      <w:r>
        <w:rPr>
          <w:spacing w:val="11"/>
          <w:w w:val="105"/>
        </w:rPr>
        <w:t> </w:t>
      </w:r>
      <w:r>
        <w:rPr>
          <w:w w:val="105"/>
        </w:rPr>
        <w:t>bonus</w:t>
      </w:r>
      <w:r>
        <w:rPr>
          <w:spacing w:val="11"/>
          <w:w w:val="105"/>
        </w:rPr>
        <w:t> </w:t>
      </w:r>
      <w:r>
        <w:rPr>
          <w:spacing w:val="-5"/>
          <w:w w:val="105"/>
        </w:rPr>
        <w:t>or</w:t>
      </w:r>
    </w:p>
    <w:p>
      <w:pPr>
        <w:pStyle w:val="BodyText"/>
        <w:spacing w:before="17"/>
        <w:ind w:left="1959"/>
      </w:pPr>
      <w:r>
        <w:rPr>
          <w:w w:val="105"/>
        </w:rPr>
        <w:t>(b)</w:t>
      </w:r>
      <w:r>
        <w:rPr>
          <w:spacing w:val="11"/>
          <w:w w:val="105"/>
        </w:rPr>
        <w:t> </w:t>
      </w:r>
      <w:r>
        <w:rPr>
          <w:w w:val="105"/>
        </w:rPr>
        <w:t>average</w:t>
      </w:r>
      <w:r>
        <w:rPr>
          <w:spacing w:val="11"/>
          <w:w w:val="105"/>
        </w:rPr>
        <w:t> </w:t>
      </w:r>
      <w:r>
        <w:rPr>
          <w:w w:val="105"/>
        </w:rPr>
        <w:t>annual</w:t>
      </w:r>
      <w:r>
        <w:rPr>
          <w:spacing w:val="11"/>
          <w:w w:val="105"/>
        </w:rPr>
        <w:t> </w:t>
      </w:r>
      <w:r>
        <w:rPr>
          <w:w w:val="105"/>
        </w:rPr>
        <w:t>bonus</w:t>
      </w:r>
      <w:r>
        <w:rPr>
          <w:spacing w:val="11"/>
          <w:w w:val="105"/>
        </w:rPr>
        <w:t> </w:t>
      </w:r>
      <w:r>
        <w:rPr>
          <w:w w:val="105"/>
        </w:rPr>
        <w:t>paid</w:t>
      </w:r>
      <w:r>
        <w:rPr>
          <w:spacing w:val="11"/>
          <w:w w:val="105"/>
        </w:rPr>
        <w:t> </w:t>
      </w:r>
      <w:r>
        <w:rPr>
          <w:w w:val="105"/>
        </w:rPr>
        <w:t>over</w:t>
      </w:r>
      <w:r>
        <w:rPr>
          <w:spacing w:val="12"/>
          <w:w w:val="105"/>
        </w:rPr>
        <w:t> </w:t>
      </w:r>
      <w:r>
        <w:rPr>
          <w:w w:val="105"/>
        </w:rPr>
        <w:t>prior</w:t>
      </w:r>
      <w:r>
        <w:rPr>
          <w:spacing w:val="11"/>
          <w:w w:val="105"/>
        </w:rPr>
        <w:t> </w:t>
      </w:r>
      <w:r>
        <w:rPr>
          <w:w w:val="105"/>
        </w:rPr>
        <w:t>three</w:t>
      </w:r>
      <w:r>
        <w:rPr>
          <w:spacing w:val="11"/>
          <w:w w:val="105"/>
        </w:rPr>
        <w:t> </w:t>
      </w:r>
      <w:r>
        <w:rPr>
          <w:w w:val="105"/>
        </w:rPr>
        <w:t>fiscal</w:t>
      </w:r>
      <w:r>
        <w:rPr>
          <w:spacing w:val="11"/>
          <w:w w:val="105"/>
        </w:rPr>
        <w:t> </w:t>
      </w:r>
      <w:r>
        <w:rPr>
          <w:spacing w:val="-2"/>
          <w:w w:val="105"/>
        </w:rPr>
        <w:t>years.</w:t>
      </w:r>
    </w:p>
    <w:p>
      <w:pPr>
        <w:pStyle w:val="ListParagraph"/>
        <w:numPr>
          <w:ilvl w:val="0"/>
          <w:numId w:val="34"/>
        </w:numPr>
        <w:tabs>
          <w:tab w:pos="1960" w:val="left" w:leader="none"/>
        </w:tabs>
        <w:spacing w:line="259" w:lineRule="auto" w:before="142" w:after="0"/>
        <w:ind w:left="1959" w:right="1765" w:hanging="187"/>
        <w:jc w:val="left"/>
        <w:rPr>
          <w:sz w:val="18"/>
        </w:rPr>
      </w:pPr>
      <w:r>
        <w:rPr>
          <w:i/>
          <w:w w:val="105"/>
          <w:sz w:val="18"/>
        </w:rPr>
        <w:t>Annual Bonus:</w:t>
      </w:r>
      <w:r>
        <w:rPr>
          <w:i/>
          <w:spacing w:val="80"/>
          <w:w w:val="105"/>
          <w:sz w:val="18"/>
        </w:rPr>
        <w:t> </w:t>
      </w:r>
      <w:r>
        <w:rPr>
          <w:w w:val="105"/>
          <w:sz w:val="18"/>
        </w:rPr>
        <w:t>A lump sum pro rata bonus at target for the applicable performance period when termination occurs.</w:t>
      </w:r>
    </w:p>
    <w:p>
      <w:pPr>
        <w:pStyle w:val="ListParagraph"/>
        <w:numPr>
          <w:ilvl w:val="0"/>
          <w:numId w:val="34"/>
        </w:numPr>
        <w:tabs>
          <w:tab w:pos="1960" w:val="left" w:leader="none"/>
        </w:tabs>
        <w:spacing w:line="259" w:lineRule="auto" w:before="112" w:after="0"/>
        <w:ind w:left="1959" w:right="1632" w:hanging="187"/>
        <w:jc w:val="left"/>
        <w:rPr>
          <w:sz w:val="18"/>
        </w:rPr>
      </w:pPr>
      <w:r>
        <w:rPr>
          <w:i/>
          <w:w w:val="105"/>
          <w:sz w:val="18"/>
        </w:rPr>
        <w:t>Benefits Continuation:</w:t>
      </w:r>
      <w:r>
        <w:rPr>
          <w:i/>
          <w:spacing w:val="80"/>
          <w:w w:val="105"/>
          <w:sz w:val="18"/>
        </w:rPr>
        <w:t> </w:t>
      </w:r>
      <w:r>
        <w:rPr>
          <w:w w:val="105"/>
          <w:sz w:val="18"/>
        </w:rPr>
        <w:t>Costs for benefits continued for 18 months including: Medical, dental and</w:t>
      </w:r>
      <w:r>
        <w:rPr>
          <w:spacing w:val="40"/>
          <w:w w:val="105"/>
          <w:sz w:val="18"/>
        </w:rPr>
        <w:t> </w:t>
      </w:r>
      <w:r>
        <w:rPr>
          <w:w w:val="105"/>
          <w:sz w:val="18"/>
        </w:rPr>
        <w:t>vision insurance.</w:t>
      </w:r>
    </w:p>
    <w:p>
      <w:pPr>
        <w:pStyle w:val="ListParagraph"/>
        <w:numPr>
          <w:ilvl w:val="0"/>
          <w:numId w:val="34"/>
        </w:numPr>
        <w:tabs>
          <w:tab w:pos="1960" w:val="left" w:leader="none"/>
        </w:tabs>
        <w:spacing w:line="240" w:lineRule="auto" w:before="113" w:after="0"/>
        <w:ind w:left="1959" w:right="0" w:hanging="188"/>
        <w:jc w:val="left"/>
        <w:rPr>
          <w:sz w:val="18"/>
        </w:rPr>
      </w:pPr>
      <w:r>
        <w:rPr>
          <w:i/>
          <w:w w:val="105"/>
          <w:sz w:val="18"/>
        </w:rPr>
        <w:t>Equity</w:t>
      </w:r>
      <w:r>
        <w:rPr>
          <w:i/>
          <w:spacing w:val="5"/>
          <w:w w:val="105"/>
          <w:sz w:val="18"/>
        </w:rPr>
        <w:t> </w:t>
      </w:r>
      <w:r>
        <w:rPr>
          <w:i/>
          <w:w w:val="105"/>
          <w:sz w:val="18"/>
        </w:rPr>
        <w:t>Awards:</w:t>
      </w:r>
      <w:r>
        <w:rPr>
          <w:i/>
          <w:spacing w:val="35"/>
          <w:w w:val="105"/>
          <w:sz w:val="18"/>
        </w:rPr>
        <w:t>  </w:t>
      </w:r>
      <w:r>
        <w:rPr>
          <w:w w:val="105"/>
          <w:sz w:val="18"/>
        </w:rPr>
        <w:t>Each</w:t>
      </w:r>
      <w:r>
        <w:rPr>
          <w:spacing w:val="10"/>
          <w:w w:val="105"/>
          <w:sz w:val="18"/>
        </w:rPr>
        <w:t> </w:t>
      </w:r>
      <w:r>
        <w:rPr>
          <w:w w:val="105"/>
          <w:sz w:val="18"/>
        </w:rPr>
        <w:t>outstanding</w:t>
      </w:r>
      <w:r>
        <w:rPr>
          <w:spacing w:val="10"/>
          <w:w w:val="105"/>
          <w:sz w:val="18"/>
        </w:rPr>
        <w:t> </w:t>
      </w:r>
      <w:r>
        <w:rPr>
          <w:w w:val="105"/>
          <w:sz w:val="18"/>
        </w:rPr>
        <w:t>equity</w:t>
      </w:r>
      <w:r>
        <w:rPr>
          <w:spacing w:val="10"/>
          <w:w w:val="105"/>
          <w:sz w:val="18"/>
        </w:rPr>
        <w:t> </w:t>
      </w:r>
      <w:r>
        <w:rPr>
          <w:w w:val="105"/>
          <w:sz w:val="18"/>
        </w:rPr>
        <w:t>award</w:t>
      </w:r>
      <w:r>
        <w:rPr>
          <w:spacing w:val="10"/>
          <w:w w:val="105"/>
          <w:sz w:val="18"/>
        </w:rPr>
        <w:t> </w:t>
      </w:r>
      <w:r>
        <w:rPr>
          <w:w w:val="105"/>
          <w:sz w:val="18"/>
        </w:rPr>
        <w:t>that</w:t>
      </w:r>
      <w:r>
        <w:rPr>
          <w:spacing w:val="10"/>
          <w:w w:val="105"/>
          <w:sz w:val="18"/>
        </w:rPr>
        <w:t> </w:t>
      </w:r>
      <w:r>
        <w:rPr>
          <w:w w:val="105"/>
          <w:sz w:val="18"/>
        </w:rPr>
        <w:t>is</w:t>
      </w:r>
      <w:r>
        <w:rPr>
          <w:spacing w:val="11"/>
          <w:w w:val="105"/>
          <w:sz w:val="18"/>
        </w:rPr>
        <w:t> </w:t>
      </w:r>
      <w:r>
        <w:rPr>
          <w:w w:val="105"/>
          <w:sz w:val="18"/>
        </w:rPr>
        <w:t>subject</w:t>
      </w:r>
      <w:r>
        <w:rPr>
          <w:spacing w:val="10"/>
          <w:w w:val="105"/>
          <w:sz w:val="18"/>
        </w:rPr>
        <w:t> </w:t>
      </w:r>
      <w:r>
        <w:rPr>
          <w:w w:val="105"/>
          <w:sz w:val="18"/>
        </w:rPr>
        <w:t>to</w:t>
      </w:r>
      <w:r>
        <w:rPr>
          <w:spacing w:val="10"/>
          <w:w w:val="105"/>
          <w:sz w:val="18"/>
        </w:rPr>
        <w:t> </w:t>
      </w:r>
      <w:r>
        <w:rPr>
          <w:w w:val="105"/>
          <w:sz w:val="18"/>
        </w:rPr>
        <w:t>vesting</w:t>
      </w:r>
      <w:r>
        <w:rPr>
          <w:spacing w:val="10"/>
          <w:w w:val="105"/>
          <w:sz w:val="18"/>
        </w:rPr>
        <w:t> </w:t>
      </w:r>
      <w:r>
        <w:rPr>
          <w:w w:val="105"/>
          <w:sz w:val="18"/>
        </w:rPr>
        <w:t>provisions</w:t>
      </w:r>
      <w:r>
        <w:rPr>
          <w:spacing w:val="10"/>
          <w:w w:val="105"/>
          <w:sz w:val="18"/>
        </w:rPr>
        <w:t> </w:t>
      </w:r>
      <w:r>
        <w:rPr>
          <w:w w:val="105"/>
          <w:sz w:val="18"/>
        </w:rPr>
        <w:t>will</w:t>
      </w:r>
      <w:r>
        <w:rPr>
          <w:spacing w:val="10"/>
          <w:w w:val="105"/>
          <w:sz w:val="18"/>
        </w:rPr>
        <w:t> </w:t>
      </w:r>
      <w:r>
        <w:rPr>
          <w:w w:val="105"/>
          <w:sz w:val="18"/>
        </w:rPr>
        <w:t>vest</w:t>
      </w:r>
      <w:r>
        <w:rPr>
          <w:spacing w:val="11"/>
          <w:w w:val="105"/>
          <w:sz w:val="18"/>
        </w:rPr>
        <w:t> </w:t>
      </w:r>
      <w:r>
        <w:rPr>
          <w:w w:val="105"/>
          <w:sz w:val="18"/>
        </w:rPr>
        <w:t>in</w:t>
      </w:r>
      <w:r>
        <w:rPr>
          <w:spacing w:val="10"/>
          <w:w w:val="105"/>
          <w:sz w:val="18"/>
        </w:rPr>
        <w:t> </w:t>
      </w:r>
      <w:r>
        <w:rPr>
          <w:spacing w:val="-2"/>
          <w:w w:val="105"/>
          <w:sz w:val="18"/>
        </w:rPr>
        <w:t>full.</w:t>
      </w:r>
    </w:p>
    <w:p>
      <w:pPr>
        <w:pStyle w:val="ListParagraph"/>
        <w:numPr>
          <w:ilvl w:val="0"/>
          <w:numId w:val="34"/>
        </w:numPr>
        <w:tabs>
          <w:tab w:pos="1960" w:val="left" w:leader="none"/>
        </w:tabs>
        <w:spacing w:line="259" w:lineRule="auto" w:before="142" w:after="0"/>
        <w:ind w:left="1959" w:right="1927" w:hanging="187"/>
        <w:jc w:val="left"/>
        <w:rPr>
          <w:sz w:val="18"/>
        </w:rPr>
      </w:pPr>
      <w:r>
        <w:rPr>
          <w:i/>
          <w:w w:val="105"/>
          <w:sz w:val="18"/>
        </w:rPr>
        <w:t>Excise Tax:</w:t>
      </w:r>
      <w:r>
        <w:rPr>
          <w:i/>
          <w:spacing w:val="80"/>
          <w:w w:val="105"/>
          <w:sz w:val="18"/>
        </w:rPr>
        <w:t> </w:t>
      </w:r>
      <w:r>
        <w:rPr>
          <w:w w:val="105"/>
          <w:sz w:val="18"/>
        </w:rPr>
        <w:t>Each change in control agreement contains a “better after-tax” provision, which provides that if any of the payments to the executive constitutes a parachute payment under Section 280G of the Code, the payments will either be (i) reduced or (ii) provided in full to the</w:t>
      </w:r>
      <w:r>
        <w:rPr>
          <w:spacing w:val="40"/>
          <w:w w:val="105"/>
          <w:sz w:val="18"/>
        </w:rPr>
        <w:t> </w:t>
      </w:r>
      <w:r>
        <w:rPr>
          <w:w w:val="105"/>
          <w:sz w:val="18"/>
        </w:rPr>
        <w:t>executive, whichever results in the executive receiving the greater amount after taking into</w:t>
      </w:r>
    </w:p>
    <w:p>
      <w:pPr>
        <w:pStyle w:val="BodyText"/>
        <w:spacing w:line="259" w:lineRule="auto" w:before="1"/>
        <w:ind w:left="1959" w:right="1551"/>
      </w:pPr>
      <w:r>
        <w:rPr>
          <w:w w:val="105"/>
        </w:rPr>
        <w:t>consideration the payment of all taxes, including the excise tax under Section 4999 of the Code. The</w:t>
      </w:r>
      <w:r>
        <w:rPr>
          <w:spacing w:val="40"/>
          <w:w w:val="105"/>
        </w:rPr>
        <w:t> </w:t>
      </w:r>
      <w:r>
        <w:rPr>
          <w:w w:val="105"/>
        </w:rPr>
        <w:t>cash severance amount in the table below does not contain any reduction in cash severance under this</w:t>
      </w:r>
      <w:r>
        <w:rPr>
          <w:spacing w:val="40"/>
          <w:w w:val="105"/>
        </w:rPr>
        <w:t> </w:t>
      </w:r>
      <w:r>
        <w:rPr>
          <w:spacing w:val="-2"/>
          <w:w w:val="105"/>
        </w:rPr>
        <w:t>provision.</w:t>
      </w:r>
    </w:p>
    <w:p>
      <w:pPr>
        <w:pStyle w:val="BodyText"/>
        <w:spacing w:line="259" w:lineRule="auto" w:before="154"/>
        <w:ind w:left="1400" w:right="1551" w:firstLine="372"/>
      </w:pPr>
      <w:r>
        <w:rPr>
          <w:w w:val="105"/>
        </w:rPr>
        <w:t>The actual amounts that would be paid in such circumstances can be determined only at the time of any</w:t>
      </w:r>
      <w:r>
        <w:rPr>
          <w:spacing w:val="40"/>
          <w:w w:val="105"/>
        </w:rPr>
        <w:t> </w:t>
      </w:r>
      <w:r>
        <w:rPr>
          <w:w w:val="105"/>
        </w:rPr>
        <w:t>such event. Due to several factors that affect the nature and amount of any benefits provided upon such an</w:t>
      </w:r>
      <w:r>
        <w:rPr>
          <w:spacing w:val="40"/>
          <w:w w:val="105"/>
        </w:rPr>
        <w:t> </w:t>
      </w:r>
      <w:r>
        <w:rPr>
          <w:w w:val="105"/>
        </w:rPr>
        <w:t>event, any actual amounts paid or distributed may be higher or lower than reported below. Factors that could</w:t>
      </w:r>
      <w:r>
        <w:rPr>
          <w:spacing w:val="40"/>
          <w:w w:val="105"/>
        </w:rPr>
        <w:t> </w:t>
      </w:r>
      <w:r>
        <w:rPr>
          <w:w w:val="105"/>
        </w:rPr>
        <w:t>affect these amounts include the timing during the year of any such event, our stock price, the executive’s</w:t>
      </w:r>
      <w:r>
        <w:rPr>
          <w:spacing w:val="40"/>
          <w:w w:val="105"/>
        </w:rPr>
        <w:t> </w:t>
      </w:r>
      <w:r>
        <w:rPr>
          <w:w w:val="105"/>
        </w:rPr>
        <w:t>current base salary, and the “better after tax” provision in the CIC Agreements.</w:t>
      </w:r>
    </w:p>
    <w:p>
      <w:pPr>
        <w:pStyle w:val="BodyText"/>
        <w:spacing w:before="5"/>
        <w:rPr>
          <w:sz w:val="19"/>
        </w:rPr>
      </w:pPr>
    </w:p>
    <w:p>
      <w:pPr>
        <w:pStyle w:val="Heading2"/>
        <w:spacing w:before="1"/>
        <w:ind w:left="4" w:right="1"/>
        <w:jc w:val="center"/>
      </w:pPr>
      <w:r>
        <w:rPr>
          <w:spacing w:val="-2"/>
        </w:rPr>
        <w:t>Potential</w:t>
      </w:r>
      <w:r>
        <w:rPr/>
        <w:t> </w:t>
      </w:r>
      <w:r>
        <w:rPr>
          <w:spacing w:val="-2"/>
        </w:rPr>
        <w:t>Payments</w:t>
      </w:r>
      <w:r>
        <w:rPr/>
        <w:t> </w:t>
      </w:r>
      <w:r>
        <w:rPr>
          <w:spacing w:val="-2"/>
        </w:rPr>
        <w:t>upon</w:t>
      </w:r>
      <w:r>
        <w:rPr>
          <w:spacing w:val="-4"/>
        </w:rPr>
        <w:t> </w:t>
      </w:r>
      <w:r>
        <w:rPr>
          <w:spacing w:val="-2"/>
        </w:rPr>
        <w:t>Termination</w:t>
      </w:r>
      <w:r>
        <w:rPr>
          <w:spacing w:val="1"/>
        </w:rPr>
        <w:t> </w:t>
      </w:r>
      <w:r>
        <w:rPr>
          <w:spacing w:val="-2"/>
        </w:rPr>
        <w:t>of</w:t>
      </w:r>
      <w:r>
        <w:rPr/>
        <w:t> </w:t>
      </w:r>
      <w:r>
        <w:rPr>
          <w:spacing w:val="-2"/>
        </w:rPr>
        <w:t>Employment</w:t>
      </w:r>
      <w:r>
        <w:rPr>
          <w:spacing w:val="1"/>
        </w:rPr>
        <w:t> </w:t>
      </w:r>
      <w:r>
        <w:rPr>
          <w:spacing w:val="-2"/>
        </w:rPr>
        <w:t>in</w:t>
      </w:r>
      <w:r>
        <w:rPr/>
        <w:t> </w:t>
      </w:r>
      <w:r>
        <w:rPr>
          <w:spacing w:val="-2"/>
        </w:rPr>
        <w:t>Connection</w:t>
      </w:r>
      <w:r>
        <w:rPr>
          <w:spacing w:val="1"/>
        </w:rPr>
        <w:t> </w:t>
      </w:r>
      <w:r>
        <w:rPr>
          <w:spacing w:val="-2"/>
        </w:rPr>
        <w:t>with</w:t>
      </w:r>
      <w:r>
        <w:rPr/>
        <w:t> </w:t>
      </w:r>
      <w:r>
        <w:rPr>
          <w:spacing w:val="-2"/>
        </w:rPr>
        <w:t>a</w:t>
      </w:r>
      <w:r>
        <w:rPr>
          <w:spacing w:val="1"/>
        </w:rPr>
        <w:t> </w:t>
      </w:r>
      <w:r>
        <w:rPr>
          <w:spacing w:val="-2"/>
        </w:rPr>
        <w:t>Change</w:t>
      </w:r>
      <w:r>
        <w:rPr/>
        <w:t> </w:t>
      </w:r>
      <w:r>
        <w:rPr>
          <w:spacing w:val="-2"/>
        </w:rPr>
        <w:t>in</w:t>
      </w:r>
      <w:r>
        <w:rPr>
          <w:spacing w:val="1"/>
        </w:rPr>
        <w:t> </w:t>
      </w:r>
      <w:r>
        <w:rPr>
          <w:spacing w:val="-2"/>
        </w:rPr>
        <w:t>Control</w:t>
      </w:r>
    </w:p>
    <w:p>
      <w:pPr>
        <w:spacing w:after="0"/>
        <w:jc w:val="center"/>
        <w:sectPr>
          <w:headerReference w:type="default" r:id="rId155"/>
          <w:footerReference w:type="default" r:id="rId156"/>
          <w:pgSz w:w="12240" w:h="15840"/>
          <w:pgMar w:header="529" w:footer="911" w:top="720" w:bottom="1100" w:left="480" w:right="460"/>
        </w:sectPr>
      </w:pPr>
    </w:p>
    <w:p>
      <w:pPr>
        <w:pStyle w:val="BodyText"/>
        <w:rPr>
          <w:b/>
          <w:sz w:val="16"/>
        </w:rPr>
      </w:pPr>
    </w:p>
    <w:p>
      <w:pPr>
        <w:pStyle w:val="BodyText"/>
        <w:spacing w:before="7"/>
        <w:rPr>
          <w:b/>
          <w:sz w:val="14"/>
        </w:rPr>
      </w:pPr>
    </w:p>
    <w:p>
      <w:pPr>
        <w:spacing w:before="0"/>
        <w:ind w:left="0" w:right="38" w:firstLine="0"/>
        <w:jc w:val="right"/>
        <w:rPr>
          <w:b/>
          <w:sz w:val="15"/>
        </w:rPr>
      </w:pPr>
      <w:r>
        <w:rPr>
          <w:b/>
          <w:spacing w:val="-4"/>
          <w:sz w:val="15"/>
        </w:rPr>
        <w:t>Name</w:t>
      </w:r>
    </w:p>
    <w:p>
      <w:pPr>
        <w:spacing w:line="240" w:lineRule="auto" w:before="4"/>
        <w:rPr>
          <w:b/>
          <w:sz w:val="16"/>
        </w:rPr>
      </w:pPr>
      <w:r>
        <w:rPr/>
        <w:br w:type="column"/>
      </w:r>
      <w:r>
        <w:rPr>
          <w:b/>
          <w:sz w:val="16"/>
        </w:rPr>
      </w:r>
    </w:p>
    <w:p>
      <w:pPr>
        <w:spacing w:line="232" w:lineRule="auto" w:before="0"/>
        <w:ind w:left="1400" w:right="0" w:firstLine="153"/>
        <w:jc w:val="left"/>
        <w:rPr>
          <w:b/>
          <w:sz w:val="15"/>
        </w:rPr>
      </w:pPr>
      <w:r>
        <w:rPr>
          <w:b/>
          <w:spacing w:val="-4"/>
          <w:sz w:val="15"/>
        </w:rPr>
        <w:t>Cash</w:t>
      </w:r>
      <w:r>
        <w:rPr>
          <w:b/>
          <w:spacing w:val="40"/>
          <w:sz w:val="15"/>
        </w:rPr>
        <w:t> </w:t>
      </w:r>
      <w:r>
        <w:rPr>
          <w:b/>
          <w:spacing w:val="-6"/>
          <w:sz w:val="15"/>
        </w:rPr>
        <w:t>Severance</w:t>
      </w:r>
    </w:p>
    <w:p>
      <w:pPr>
        <w:spacing w:line="240" w:lineRule="auto" w:before="0"/>
        <w:rPr>
          <w:b/>
          <w:sz w:val="16"/>
        </w:rPr>
      </w:pPr>
      <w:r>
        <w:rPr/>
        <w:br w:type="column"/>
      </w:r>
      <w:r>
        <w:rPr>
          <w:b/>
          <w:sz w:val="16"/>
        </w:rPr>
      </w:r>
    </w:p>
    <w:p>
      <w:pPr>
        <w:spacing w:line="170" w:lineRule="exact" w:before="0"/>
        <w:ind w:left="484" w:right="0" w:firstLine="0"/>
        <w:jc w:val="left"/>
        <w:rPr>
          <w:b/>
          <w:sz w:val="15"/>
        </w:rPr>
      </w:pPr>
      <w:r>
        <w:rPr>
          <w:b/>
          <w:spacing w:val="-2"/>
          <w:sz w:val="15"/>
        </w:rPr>
        <w:t>Benefit</w:t>
      </w:r>
    </w:p>
    <w:p>
      <w:pPr>
        <w:tabs>
          <w:tab w:pos="1459" w:val="left" w:leader="none"/>
        </w:tabs>
        <w:spacing w:line="170" w:lineRule="exact" w:before="0"/>
        <w:ind w:left="297" w:right="0" w:firstLine="0"/>
        <w:jc w:val="left"/>
        <w:rPr>
          <w:b/>
          <w:sz w:val="15"/>
        </w:rPr>
      </w:pPr>
      <w:r>
        <w:rPr>
          <w:b/>
          <w:spacing w:val="-2"/>
          <w:sz w:val="15"/>
        </w:rPr>
        <w:t>Continuation</w:t>
      </w:r>
      <w:r>
        <w:rPr>
          <w:b/>
          <w:sz w:val="15"/>
        </w:rPr>
        <w:tab/>
      </w:r>
      <w:r>
        <w:rPr>
          <w:b/>
          <w:spacing w:val="-6"/>
          <w:sz w:val="15"/>
        </w:rPr>
        <w:t>Options</w:t>
      </w:r>
      <w:r>
        <w:rPr>
          <w:b/>
          <w:spacing w:val="-6"/>
          <w:sz w:val="15"/>
          <w:vertAlign w:val="superscript"/>
        </w:rPr>
        <w:t>(1)</w:t>
      </w:r>
    </w:p>
    <w:p>
      <w:pPr>
        <w:spacing w:line="240" w:lineRule="auto" w:before="0"/>
        <w:rPr>
          <w:b/>
          <w:sz w:val="16"/>
        </w:rPr>
      </w:pPr>
      <w:r>
        <w:rPr/>
        <w:br w:type="column"/>
      </w:r>
      <w:r>
        <w:rPr>
          <w:b/>
          <w:sz w:val="16"/>
        </w:rPr>
      </w:r>
    </w:p>
    <w:p>
      <w:pPr>
        <w:pStyle w:val="BodyText"/>
        <w:spacing w:before="7"/>
        <w:rPr>
          <w:b/>
          <w:sz w:val="14"/>
        </w:rPr>
      </w:pPr>
    </w:p>
    <w:p>
      <w:pPr>
        <w:spacing w:before="0"/>
        <w:ind w:left="508" w:right="0" w:firstLine="0"/>
        <w:jc w:val="left"/>
        <w:rPr>
          <w:b/>
          <w:sz w:val="15"/>
        </w:rPr>
      </w:pPr>
      <w:r>
        <w:rPr>
          <w:b/>
          <w:spacing w:val="-7"/>
          <w:sz w:val="15"/>
        </w:rPr>
        <w:t>RSUs</w:t>
      </w:r>
      <w:r>
        <w:rPr>
          <w:b/>
          <w:spacing w:val="-7"/>
          <w:sz w:val="15"/>
          <w:vertAlign w:val="superscript"/>
        </w:rPr>
        <w:t>(1)</w:t>
      </w:r>
    </w:p>
    <w:p>
      <w:pPr>
        <w:spacing w:line="240" w:lineRule="auto" w:before="0"/>
        <w:rPr>
          <w:b/>
          <w:sz w:val="16"/>
        </w:rPr>
      </w:pPr>
      <w:r>
        <w:rPr/>
        <w:br w:type="column"/>
      </w:r>
      <w:r>
        <w:rPr>
          <w:b/>
          <w:sz w:val="16"/>
        </w:rPr>
      </w:r>
    </w:p>
    <w:p>
      <w:pPr>
        <w:pStyle w:val="BodyText"/>
        <w:spacing w:before="7"/>
        <w:rPr>
          <w:b/>
          <w:sz w:val="14"/>
        </w:rPr>
      </w:pPr>
    </w:p>
    <w:p>
      <w:pPr>
        <w:spacing w:before="0"/>
        <w:ind w:left="650" w:right="0" w:firstLine="0"/>
        <w:jc w:val="left"/>
        <w:rPr>
          <w:b/>
          <w:sz w:val="15"/>
        </w:rPr>
      </w:pPr>
      <w:r>
        <w:rPr>
          <w:b/>
          <w:spacing w:val="-2"/>
          <w:sz w:val="15"/>
        </w:rPr>
        <w:t>Total</w:t>
      </w:r>
    </w:p>
    <w:p>
      <w:pPr>
        <w:spacing w:after="0"/>
        <w:jc w:val="left"/>
        <w:rPr>
          <w:sz w:val="15"/>
        </w:rPr>
        <w:sectPr>
          <w:type w:val="continuous"/>
          <w:pgSz w:w="12240" w:h="15840"/>
          <w:pgMar w:header="529" w:footer="911" w:top="600" w:bottom="960" w:left="480" w:right="460"/>
          <w:cols w:num="5" w:equalWidth="0">
            <w:col w:w="1804" w:space="1719"/>
            <w:col w:w="2022" w:space="40"/>
            <w:col w:w="2049" w:space="40"/>
            <w:col w:w="957" w:space="39"/>
            <w:col w:w="2630"/>
          </w:cols>
        </w:sectPr>
      </w:pPr>
    </w:p>
    <w:p>
      <w:pPr>
        <w:pStyle w:val="BodyText"/>
        <w:spacing w:before="1"/>
        <w:rPr>
          <w:b/>
          <w:sz w:val="5"/>
        </w:rPr>
      </w:pPr>
    </w:p>
    <w:tbl>
      <w:tblPr>
        <w:tblW w:w="0" w:type="auto"/>
        <w:jc w:val="left"/>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7"/>
        <w:gridCol w:w="223"/>
        <w:gridCol w:w="845"/>
        <w:gridCol w:w="217"/>
        <w:gridCol w:w="825"/>
        <w:gridCol w:w="221"/>
        <w:gridCol w:w="841"/>
        <w:gridCol w:w="222"/>
        <w:gridCol w:w="846"/>
        <w:gridCol w:w="219"/>
        <w:gridCol w:w="903"/>
      </w:tblGrid>
      <w:tr>
        <w:trPr>
          <w:trHeight w:val="249" w:hRule="atLeast"/>
        </w:trPr>
        <w:tc>
          <w:tcPr>
            <w:tcW w:w="3237" w:type="dxa"/>
            <w:tcBorders>
              <w:top w:val="single" w:sz="6" w:space="0" w:color="000000"/>
            </w:tcBorders>
          </w:tcPr>
          <w:p>
            <w:pPr>
              <w:pStyle w:val="TableParagraph"/>
              <w:spacing w:line="188" w:lineRule="exact" w:before="41"/>
              <w:ind w:left="50"/>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845" w:type="dxa"/>
            <w:tcBorders>
              <w:top w:val="single" w:sz="6" w:space="0" w:color="000000"/>
            </w:tcBorders>
          </w:tcPr>
          <w:p>
            <w:pPr>
              <w:pStyle w:val="TableParagraph"/>
              <w:spacing w:line="188" w:lineRule="exact" w:before="41"/>
              <w:ind w:right="-15"/>
              <w:rPr>
                <w:sz w:val="18"/>
              </w:rPr>
            </w:pPr>
            <w:r>
              <w:rPr>
                <w:spacing w:val="-2"/>
                <w:w w:val="105"/>
                <w:sz w:val="18"/>
              </w:rPr>
              <w:t>$3,690,000</w:t>
            </w:r>
          </w:p>
        </w:tc>
        <w:tc>
          <w:tcPr>
            <w:tcW w:w="217" w:type="dxa"/>
          </w:tcPr>
          <w:p>
            <w:pPr>
              <w:pStyle w:val="TableParagraph"/>
              <w:rPr>
                <w:sz w:val="18"/>
              </w:rPr>
            </w:pPr>
          </w:p>
        </w:tc>
        <w:tc>
          <w:tcPr>
            <w:tcW w:w="825" w:type="dxa"/>
            <w:tcBorders>
              <w:top w:val="single" w:sz="6" w:space="0" w:color="000000"/>
            </w:tcBorders>
          </w:tcPr>
          <w:p>
            <w:pPr>
              <w:pStyle w:val="TableParagraph"/>
              <w:spacing w:line="188" w:lineRule="exact" w:before="41"/>
              <w:ind w:left="109"/>
              <w:rPr>
                <w:sz w:val="18"/>
              </w:rPr>
            </w:pPr>
            <w:r>
              <w:rPr>
                <w:spacing w:val="-2"/>
                <w:w w:val="105"/>
                <w:sz w:val="18"/>
              </w:rPr>
              <w:t>$26,632</w:t>
            </w:r>
          </w:p>
        </w:tc>
        <w:tc>
          <w:tcPr>
            <w:tcW w:w="221" w:type="dxa"/>
          </w:tcPr>
          <w:p>
            <w:pPr>
              <w:pStyle w:val="TableParagraph"/>
              <w:rPr>
                <w:sz w:val="18"/>
              </w:rPr>
            </w:pPr>
          </w:p>
        </w:tc>
        <w:tc>
          <w:tcPr>
            <w:tcW w:w="841" w:type="dxa"/>
            <w:tcBorders>
              <w:top w:val="single" w:sz="6" w:space="0" w:color="000000"/>
            </w:tcBorders>
          </w:tcPr>
          <w:p>
            <w:pPr>
              <w:pStyle w:val="TableParagraph"/>
              <w:tabs>
                <w:tab w:pos="746" w:val="left" w:leader="none"/>
              </w:tabs>
              <w:spacing w:line="188" w:lineRule="exact" w:before="41"/>
              <w:ind w:left="1"/>
              <w:rPr>
                <w:sz w:val="18"/>
              </w:rPr>
            </w:pPr>
            <w:r>
              <w:rPr>
                <w:spacing w:val="-10"/>
                <w:w w:val="105"/>
                <w:sz w:val="18"/>
              </w:rPr>
              <w:t>$</w:t>
            </w:r>
            <w:r>
              <w:rPr>
                <w:sz w:val="18"/>
              </w:rPr>
              <w:tab/>
            </w:r>
            <w:r>
              <w:rPr>
                <w:spacing w:val="-10"/>
                <w:w w:val="105"/>
                <w:sz w:val="18"/>
              </w:rPr>
              <w:t>0</w:t>
            </w:r>
          </w:p>
        </w:tc>
        <w:tc>
          <w:tcPr>
            <w:tcW w:w="222" w:type="dxa"/>
          </w:tcPr>
          <w:p>
            <w:pPr>
              <w:pStyle w:val="TableParagraph"/>
              <w:rPr>
                <w:sz w:val="18"/>
              </w:rPr>
            </w:pPr>
          </w:p>
        </w:tc>
        <w:tc>
          <w:tcPr>
            <w:tcW w:w="846" w:type="dxa"/>
            <w:tcBorders>
              <w:top w:val="single" w:sz="6" w:space="0" w:color="000000"/>
            </w:tcBorders>
          </w:tcPr>
          <w:p>
            <w:pPr>
              <w:pStyle w:val="TableParagraph"/>
              <w:spacing w:line="188" w:lineRule="exact" w:before="41"/>
              <w:ind w:left="1" w:right="-15"/>
              <w:rPr>
                <w:sz w:val="18"/>
              </w:rPr>
            </w:pPr>
            <w:r>
              <w:rPr>
                <w:spacing w:val="-2"/>
                <w:w w:val="105"/>
                <w:sz w:val="18"/>
              </w:rPr>
              <w:t>$3,376,544</w:t>
            </w:r>
          </w:p>
        </w:tc>
        <w:tc>
          <w:tcPr>
            <w:tcW w:w="219" w:type="dxa"/>
          </w:tcPr>
          <w:p>
            <w:pPr>
              <w:pStyle w:val="TableParagraph"/>
              <w:rPr>
                <w:sz w:val="18"/>
              </w:rPr>
            </w:pPr>
          </w:p>
        </w:tc>
        <w:tc>
          <w:tcPr>
            <w:tcW w:w="903" w:type="dxa"/>
            <w:tcBorders>
              <w:top w:val="single" w:sz="6" w:space="0" w:color="000000"/>
            </w:tcBorders>
          </w:tcPr>
          <w:p>
            <w:pPr>
              <w:pStyle w:val="TableParagraph"/>
              <w:spacing w:line="188" w:lineRule="exact" w:before="41"/>
              <w:ind w:left="7"/>
              <w:rPr>
                <w:sz w:val="18"/>
              </w:rPr>
            </w:pPr>
            <w:r>
              <w:rPr>
                <w:spacing w:val="-2"/>
                <w:w w:val="105"/>
                <w:sz w:val="18"/>
              </w:rPr>
              <w:t>$7,093,176</w:t>
            </w:r>
          </w:p>
        </w:tc>
      </w:tr>
      <w:tr>
        <w:trPr>
          <w:trHeight w:val="316" w:hRule="atLeast"/>
        </w:trPr>
        <w:tc>
          <w:tcPr>
            <w:tcW w:w="3237" w:type="dxa"/>
          </w:tcPr>
          <w:p>
            <w:pPr>
              <w:pStyle w:val="TableParagraph"/>
              <w:spacing w:before="71"/>
              <w:ind w:left="50"/>
              <w:rPr>
                <w:sz w:val="18"/>
              </w:rPr>
            </w:pPr>
            <w:r>
              <w:rPr>
                <w:w w:val="105"/>
                <w:sz w:val="18"/>
              </w:rPr>
              <w:t>Shubham</w:t>
            </w:r>
            <w:r>
              <w:rPr>
                <w:spacing w:val="11"/>
                <w:w w:val="105"/>
                <w:sz w:val="18"/>
              </w:rPr>
              <w:t> </w:t>
            </w:r>
            <w:r>
              <w:rPr>
                <w:spacing w:val="-2"/>
                <w:w w:val="105"/>
                <w:sz w:val="18"/>
              </w:rPr>
              <w:t>Maheshwari</w:t>
            </w:r>
          </w:p>
        </w:tc>
        <w:tc>
          <w:tcPr>
            <w:tcW w:w="1068" w:type="dxa"/>
            <w:gridSpan w:val="2"/>
          </w:tcPr>
          <w:p>
            <w:pPr>
              <w:pStyle w:val="TableParagraph"/>
              <w:spacing w:before="71"/>
              <w:ind w:left="223" w:right="-15"/>
              <w:rPr>
                <w:sz w:val="18"/>
              </w:rPr>
            </w:pPr>
            <w:r>
              <w:rPr>
                <w:spacing w:val="-2"/>
                <w:w w:val="105"/>
                <w:sz w:val="18"/>
              </w:rPr>
              <w:t>$1,564,200</w:t>
            </w:r>
          </w:p>
        </w:tc>
        <w:tc>
          <w:tcPr>
            <w:tcW w:w="1042" w:type="dxa"/>
            <w:gridSpan w:val="2"/>
          </w:tcPr>
          <w:p>
            <w:pPr>
              <w:pStyle w:val="TableParagraph"/>
              <w:tabs>
                <w:tab w:pos="846" w:val="left" w:leader="none"/>
              </w:tabs>
              <w:spacing w:before="71"/>
              <w:ind w:left="326"/>
              <w:rPr>
                <w:sz w:val="18"/>
              </w:rPr>
            </w:pPr>
            <w:r>
              <w:rPr>
                <w:spacing w:val="-10"/>
                <w:w w:val="105"/>
                <w:sz w:val="18"/>
              </w:rPr>
              <w:t>$</w:t>
            </w:r>
            <w:r>
              <w:rPr>
                <w:sz w:val="18"/>
              </w:rPr>
              <w:tab/>
            </w:r>
            <w:r>
              <w:rPr>
                <w:spacing w:val="-12"/>
                <w:w w:val="105"/>
                <w:sz w:val="18"/>
              </w:rPr>
              <w:t>0</w:t>
            </w:r>
          </w:p>
        </w:tc>
        <w:tc>
          <w:tcPr>
            <w:tcW w:w="1062" w:type="dxa"/>
            <w:gridSpan w:val="2"/>
          </w:tcPr>
          <w:p>
            <w:pPr>
              <w:pStyle w:val="TableParagraph"/>
              <w:spacing w:before="71"/>
              <w:ind w:left="222"/>
              <w:rPr>
                <w:sz w:val="18"/>
              </w:rPr>
            </w:pPr>
            <w:r>
              <w:rPr>
                <w:spacing w:val="-2"/>
                <w:sz w:val="18"/>
              </w:rPr>
              <w:t>$1,211,908</w:t>
            </w:r>
          </w:p>
        </w:tc>
        <w:tc>
          <w:tcPr>
            <w:tcW w:w="1068" w:type="dxa"/>
            <w:gridSpan w:val="2"/>
          </w:tcPr>
          <w:p>
            <w:pPr>
              <w:pStyle w:val="TableParagraph"/>
              <w:spacing w:before="71"/>
              <w:ind w:left="223" w:right="-15"/>
              <w:rPr>
                <w:sz w:val="18"/>
              </w:rPr>
            </w:pPr>
            <w:r>
              <w:rPr>
                <w:spacing w:val="-2"/>
                <w:w w:val="105"/>
                <w:sz w:val="18"/>
              </w:rPr>
              <w:t>$1,095,433</w:t>
            </w:r>
          </w:p>
        </w:tc>
        <w:tc>
          <w:tcPr>
            <w:tcW w:w="1122" w:type="dxa"/>
            <w:gridSpan w:val="2"/>
          </w:tcPr>
          <w:p>
            <w:pPr>
              <w:pStyle w:val="TableParagraph"/>
              <w:spacing w:before="71"/>
              <w:ind w:left="226"/>
              <w:rPr>
                <w:sz w:val="18"/>
              </w:rPr>
            </w:pPr>
            <w:r>
              <w:rPr>
                <w:spacing w:val="-2"/>
                <w:w w:val="105"/>
                <w:sz w:val="18"/>
              </w:rPr>
              <w:t>$3,871,541</w:t>
            </w:r>
          </w:p>
        </w:tc>
      </w:tr>
      <w:tr>
        <w:trPr>
          <w:trHeight w:val="279" w:hRule="atLeast"/>
        </w:trPr>
        <w:tc>
          <w:tcPr>
            <w:tcW w:w="3237" w:type="dxa"/>
          </w:tcPr>
          <w:p>
            <w:pPr>
              <w:pStyle w:val="TableParagraph"/>
              <w:spacing w:before="34"/>
              <w:ind w:left="50"/>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1068" w:type="dxa"/>
            <w:gridSpan w:val="2"/>
          </w:tcPr>
          <w:p>
            <w:pPr>
              <w:pStyle w:val="TableParagraph"/>
              <w:spacing w:before="34"/>
              <w:ind w:left="223" w:right="-15"/>
              <w:rPr>
                <w:sz w:val="18"/>
              </w:rPr>
            </w:pPr>
            <w:r>
              <w:rPr>
                <w:spacing w:val="-2"/>
                <w:w w:val="105"/>
                <w:sz w:val="18"/>
              </w:rPr>
              <w:t>$1,178,000</w:t>
            </w:r>
          </w:p>
        </w:tc>
        <w:tc>
          <w:tcPr>
            <w:tcW w:w="1042" w:type="dxa"/>
            <w:gridSpan w:val="2"/>
          </w:tcPr>
          <w:p>
            <w:pPr>
              <w:pStyle w:val="TableParagraph"/>
              <w:spacing w:before="34"/>
              <w:ind w:left="326"/>
              <w:rPr>
                <w:sz w:val="18"/>
              </w:rPr>
            </w:pPr>
            <w:r>
              <w:rPr>
                <w:spacing w:val="-2"/>
                <w:w w:val="105"/>
                <w:sz w:val="18"/>
              </w:rPr>
              <w:t>$26,632</w:t>
            </w:r>
          </w:p>
        </w:tc>
        <w:tc>
          <w:tcPr>
            <w:tcW w:w="1062" w:type="dxa"/>
            <w:gridSpan w:val="2"/>
          </w:tcPr>
          <w:p>
            <w:pPr>
              <w:pStyle w:val="TableParagraph"/>
              <w:tabs>
                <w:tab w:pos="967" w:val="left" w:leader="none"/>
              </w:tabs>
              <w:spacing w:before="34"/>
              <w:ind w:left="222"/>
              <w:rPr>
                <w:sz w:val="18"/>
              </w:rPr>
            </w:pPr>
            <w:r>
              <w:rPr>
                <w:spacing w:val="-10"/>
                <w:w w:val="105"/>
                <w:sz w:val="18"/>
              </w:rPr>
              <w:t>$</w:t>
            </w:r>
            <w:r>
              <w:rPr>
                <w:sz w:val="18"/>
              </w:rPr>
              <w:tab/>
            </w:r>
            <w:r>
              <w:rPr>
                <w:spacing w:val="-10"/>
                <w:w w:val="105"/>
                <w:sz w:val="18"/>
              </w:rPr>
              <w:t>0</w:t>
            </w:r>
          </w:p>
        </w:tc>
        <w:tc>
          <w:tcPr>
            <w:tcW w:w="1068" w:type="dxa"/>
            <w:gridSpan w:val="2"/>
          </w:tcPr>
          <w:p>
            <w:pPr>
              <w:pStyle w:val="TableParagraph"/>
              <w:spacing w:before="34"/>
              <w:ind w:left="223" w:right="-15"/>
              <w:rPr>
                <w:sz w:val="18"/>
              </w:rPr>
            </w:pPr>
            <w:r>
              <w:rPr>
                <w:w w:val="105"/>
                <w:sz w:val="18"/>
              </w:rPr>
              <w:t>$</w:t>
            </w:r>
            <w:r>
              <w:rPr>
                <w:spacing w:val="76"/>
                <w:w w:val="150"/>
                <w:sz w:val="18"/>
              </w:rPr>
              <w:t> </w:t>
            </w:r>
            <w:r>
              <w:rPr>
                <w:spacing w:val="-2"/>
                <w:w w:val="105"/>
                <w:sz w:val="18"/>
              </w:rPr>
              <w:t>596,613</w:t>
            </w:r>
          </w:p>
        </w:tc>
        <w:tc>
          <w:tcPr>
            <w:tcW w:w="1122" w:type="dxa"/>
            <w:gridSpan w:val="2"/>
          </w:tcPr>
          <w:p>
            <w:pPr>
              <w:pStyle w:val="TableParagraph"/>
              <w:spacing w:before="34"/>
              <w:ind w:left="226"/>
              <w:rPr>
                <w:sz w:val="18"/>
              </w:rPr>
            </w:pPr>
            <w:r>
              <w:rPr>
                <w:spacing w:val="-2"/>
                <w:w w:val="105"/>
                <w:sz w:val="18"/>
              </w:rPr>
              <w:t>$1,801,245</w:t>
            </w:r>
          </w:p>
        </w:tc>
      </w:tr>
      <w:tr>
        <w:trPr>
          <w:trHeight w:val="279" w:hRule="atLeast"/>
        </w:trPr>
        <w:tc>
          <w:tcPr>
            <w:tcW w:w="3237" w:type="dxa"/>
          </w:tcPr>
          <w:p>
            <w:pPr>
              <w:pStyle w:val="TableParagraph"/>
              <w:spacing w:before="34"/>
              <w:ind w:left="50"/>
              <w:rPr>
                <w:sz w:val="18"/>
              </w:rPr>
            </w:pPr>
            <w:r>
              <w:rPr>
                <w:w w:val="105"/>
                <w:sz w:val="18"/>
              </w:rPr>
              <w:t>Brian</w:t>
            </w:r>
            <w:r>
              <w:rPr>
                <w:spacing w:val="-5"/>
                <w:w w:val="105"/>
                <w:sz w:val="18"/>
              </w:rPr>
              <w:t> </w:t>
            </w:r>
            <w:r>
              <w:rPr>
                <w:w w:val="105"/>
                <w:sz w:val="18"/>
              </w:rPr>
              <w:t>W. </w:t>
            </w:r>
            <w:r>
              <w:rPr>
                <w:spacing w:val="-2"/>
                <w:w w:val="105"/>
                <w:sz w:val="18"/>
              </w:rPr>
              <w:t>Giambattista</w:t>
            </w:r>
          </w:p>
        </w:tc>
        <w:tc>
          <w:tcPr>
            <w:tcW w:w="1068" w:type="dxa"/>
            <w:gridSpan w:val="2"/>
          </w:tcPr>
          <w:p>
            <w:pPr>
              <w:pStyle w:val="TableParagraph"/>
              <w:spacing w:before="34"/>
              <w:ind w:left="223" w:right="-15"/>
              <w:rPr>
                <w:sz w:val="18"/>
              </w:rPr>
            </w:pPr>
            <w:r>
              <w:rPr>
                <w:spacing w:val="-2"/>
                <w:w w:val="105"/>
                <w:sz w:val="18"/>
              </w:rPr>
              <w:t>$1,178,000</w:t>
            </w:r>
          </w:p>
        </w:tc>
        <w:tc>
          <w:tcPr>
            <w:tcW w:w="1042" w:type="dxa"/>
            <w:gridSpan w:val="2"/>
          </w:tcPr>
          <w:p>
            <w:pPr>
              <w:pStyle w:val="TableParagraph"/>
              <w:spacing w:before="34"/>
              <w:ind w:left="326"/>
              <w:rPr>
                <w:sz w:val="18"/>
              </w:rPr>
            </w:pPr>
            <w:r>
              <w:rPr>
                <w:spacing w:val="-2"/>
                <w:w w:val="105"/>
                <w:sz w:val="18"/>
              </w:rPr>
              <w:t>$18,872</w:t>
            </w:r>
          </w:p>
        </w:tc>
        <w:tc>
          <w:tcPr>
            <w:tcW w:w="1062" w:type="dxa"/>
            <w:gridSpan w:val="2"/>
          </w:tcPr>
          <w:p>
            <w:pPr>
              <w:pStyle w:val="TableParagraph"/>
              <w:tabs>
                <w:tab w:pos="967" w:val="left" w:leader="none"/>
              </w:tabs>
              <w:spacing w:before="34"/>
              <w:ind w:left="222"/>
              <w:rPr>
                <w:sz w:val="18"/>
              </w:rPr>
            </w:pPr>
            <w:r>
              <w:rPr>
                <w:spacing w:val="-10"/>
                <w:w w:val="105"/>
                <w:sz w:val="18"/>
              </w:rPr>
              <w:t>$</w:t>
            </w:r>
            <w:r>
              <w:rPr>
                <w:sz w:val="18"/>
              </w:rPr>
              <w:tab/>
            </w:r>
            <w:r>
              <w:rPr>
                <w:spacing w:val="-10"/>
                <w:w w:val="105"/>
                <w:sz w:val="18"/>
              </w:rPr>
              <w:t>0</w:t>
            </w:r>
          </w:p>
        </w:tc>
        <w:tc>
          <w:tcPr>
            <w:tcW w:w="1068" w:type="dxa"/>
            <w:gridSpan w:val="2"/>
          </w:tcPr>
          <w:p>
            <w:pPr>
              <w:pStyle w:val="TableParagraph"/>
              <w:spacing w:before="34"/>
              <w:ind w:left="223" w:right="-15"/>
              <w:rPr>
                <w:sz w:val="18"/>
              </w:rPr>
            </w:pPr>
            <w:r>
              <w:rPr>
                <w:w w:val="105"/>
                <w:sz w:val="18"/>
              </w:rPr>
              <w:t>$</w:t>
            </w:r>
            <w:r>
              <w:rPr>
                <w:spacing w:val="76"/>
                <w:w w:val="150"/>
                <w:sz w:val="18"/>
              </w:rPr>
              <w:t> </w:t>
            </w:r>
            <w:r>
              <w:rPr>
                <w:spacing w:val="-2"/>
                <w:w w:val="105"/>
                <w:sz w:val="18"/>
              </w:rPr>
              <w:t>579,363</w:t>
            </w:r>
          </w:p>
        </w:tc>
        <w:tc>
          <w:tcPr>
            <w:tcW w:w="1122" w:type="dxa"/>
            <w:gridSpan w:val="2"/>
          </w:tcPr>
          <w:p>
            <w:pPr>
              <w:pStyle w:val="TableParagraph"/>
              <w:spacing w:before="34"/>
              <w:ind w:left="226"/>
              <w:rPr>
                <w:sz w:val="18"/>
              </w:rPr>
            </w:pPr>
            <w:r>
              <w:rPr>
                <w:spacing w:val="-2"/>
                <w:w w:val="105"/>
                <w:sz w:val="18"/>
              </w:rPr>
              <w:t>$1,776,235</w:t>
            </w:r>
          </w:p>
        </w:tc>
      </w:tr>
      <w:tr>
        <w:trPr>
          <w:trHeight w:val="242" w:hRule="atLeast"/>
        </w:trPr>
        <w:tc>
          <w:tcPr>
            <w:tcW w:w="3237" w:type="dxa"/>
          </w:tcPr>
          <w:p>
            <w:pPr>
              <w:pStyle w:val="TableParagraph"/>
              <w:spacing w:line="188" w:lineRule="exact" w:before="34"/>
              <w:ind w:left="50"/>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1068" w:type="dxa"/>
            <w:gridSpan w:val="2"/>
          </w:tcPr>
          <w:p>
            <w:pPr>
              <w:pStyle w:val="TableParagraph"/>
              <w:spacing w:line="188" w:lineRule="exact" w:before="34"/>
              <w:ind w:left="223" w:right="-15"/>
              <w:rPr>
                <w:sz w:val="18"/>
              </w:rPr>
            </w:pPr>
            <w:r>
              <w:rPr>
                <w:spacing w:val="-2"/>
                <w:w w:val="105"/>
                <w:sz w:val="18"/>
              </w:rPr>
              <w:t>$1,193,500</w:t>
            </w:r>
          </w:p>
        </w:tc>
        <w:tc>
          <w:tcPr>
            <w:tcW w:w="1042" w:type="dxa"/>
            <w:gridSpan w:val="2"/>
          </w:tcPr>
          <w:p>
            <w:pPr>
              <w:pStyle w:val="TableParagraph"/>
              <w:spacing w:line="188" w:lineRule="exact" w:before="34"/>
              <w:ind w:left="326"/>
              <w:rPr>
                <w:sz w:val="18"/>
              </w:rPr>
            </w:pPr>
            <w:r>
              <w:rPr>
                <w:spacing w:val="-2"/>
                <w:w w:val="105"/>
                <w:sz w:val="18"/>
              </w:rPr>
              <w:t>$18,872</w:t>
            </w:r>
          </w:p>
        </w:tc>
        <w:tc>
          <w:tcPr>
            <w:tcW w:w="1062" w:type="dxa"/>
            <w:gridSpan w:val="2"/>
          </w:tcPr>
          <w:p>
            <w:pPr>
              <w:pStyle w:val="TableParagraph"/>
              <w:tabs>
                <w:tab w:pos="967" w:val="left" w:leader="none"/>
              </w:tabs>
              <w:spacing w:line="188" w:lineRule="exact" w:before="34"/>
              <w:ind w:left="222"/>
              <w:rPr>
                <w:sz w:val="18"/>
              </w:rPr>
            </w:pPr>
            <w:r>
              <w:rPr>
                <w:spacing w:val="-10"/>
                <w:w w:val="105"/>
                <w:sz w:val="18"/>
              </w:rPr>
              <w:t>$</w:t>
            </w:r>
            <w:r>
              <w:rPr>
                <w:sz w:val="18"/>
              </w:rPr>
              <w:tab/>
            </w:r>
            <w:r>
              <w:rPr>
                <w:spacing w:val="-10"/>
                <w:w w:val="105"/>
                <w:sz w:val="18"/>
              </w:rPr>
              <w:t>0</w:t>
            </w:r>
          </w:p>
        </w:tc>
        <w:tc>
          <w:tcPr>
            <w:tcW w:w="1068" w:type="dxa"/>
            <w:gridSpan w:val="2"/>
          </w:tcPr>
          <w:p>
            <w:pPr>
              <w:pStyle w:val="TableParagraph"/>
              <w:spacing w:line="188" w:lineRule="exact" w:before="34"/>
              <w:ind w:left="223" w:right="-15"/>
              <w:rPr>
                <w:sz w:val="18"/>
              </w:rPr>
            </w:pPr>
            <w:r>
              <w:rPr>
                <w:w w:val="105"/>
                <w:sz w:val="18"/>
              </w:rPr>
              <w:t>$</w:t>
            </w:r>
            <w:r>
              <w:rPr>
                <w:spacing w:val="76"/>
                <w:w w:val="150"/>
                <w:sz w:val="18"/>
              </w:rPr>
              <w:t> </w:t>
            </w:r>
            <w:r>
              <w:rPr>
                <w:spacing w:val="-2"/>
                <w:w w:val="105"/>
                <w:sz w:val="18"/>
              </w:rPr>
              <w:t>583,654</w:t>
            </w:r>
          </w:p>
        </w:tc>
        <w:tc>
          <w:tcPr>
            <w:tcW w:w="1122" w:type="dxa"/>
            <w:gridSpan w:val="2"/>
          </w:tcPr>
          <w:p>
            <w:pPr>
              <w:pStyle w:val="TableParagraph"/>
              <w:spacing w:line="188" w:lineRule="exact" w:before="34"/>
              <w:ind w:left="226"/>
              <w:rPr>
                <w:sz w:val="18"/>
              </w:rPr>
            </w:pPr>
            <w:r>
              <w:rPr>
                <w:spacing w:val="-2"/>
                <w:w w:val="105"/>
                <w:sz w:val="18"/>
              </w:rPr>
              <w:t>$1,796,026</w:t>
            </w:r>
          </w:p>
        </w:tc>
      </w:tr>
    </w:tbl>
    <w:p>
      <w:pPr>
        <w:pStyle w:val="BodyText"/>
        <w:spacing w:before="6"/>
        <w:rPr>
          <w:b/>
          <w:sz w:val="19"/>
        </w:rPr>
      </w:pPr>
      <w:r>
        <w:rPr/>
        <w:pict>
          <v:rect style="position:absolute;margin-left:94.006287pt;margin-top:12.440511pt;width:100.654902pt;height:.698992pt;mso-position-horizontal-relative:page;mso-position-vertical-relative:paragraph;z-index:-15659520;mso-wrap-distance-left:0;mso-wrap-distance-right:0" id="docshape455" filled="true" fillcolor="#000000" stroked="false">
            <v:fill type="solid"/>
            <w10:wrap type="topAndBottom"/>
          </v:rect>
        </w:pict>
      </w:r>
    </w:p>
    <w:p>
      <w:pPr>
        <w:pStyle w:val="BodyText"/>
        <w:spacing w:before="1"/>
        <w:rPr>
          <w:b/>
          <w:sz w:val="6"/>
        </w:rPr>
      </w:pPr>
    </w:p>
    <w:p>
      <w:pPr>
        <w:spacing w:after="0"/>
        <w:rPr>
          <w:sz w:val="6"/>
        </w:rPr>
        <w:sectPr>
          <w:type w:val="continuous"/>
          <w:pgSz w:w="12240" w:h="15840"/>
          <w:pgMar w:header="529" w:footer="911" w:top="600" w:bottom="960" w:left="480" w:right="460"/>
        </w:sectPr>
      </w:pPr>
    </w:p>
    <w:p>
      <w:pPr>
        <w:pStyle w:val="BodyText"/>
        <w:spacing w:before="83"/>
        <w:jc w:val="right"/>
      </w:pPr>
      <w:r>
        <w:rPr/>
        <w:pict>
          <v:shape style="position:absolute;margin-left:94.006287pt;margin-top:56.63443pt;width:425pt;height:80.8pt;mso-position-horizontal-relative:page;mso-position-vertical-relative:paragraph;z-index:15798784" type="#_x0000_t202" id="docshape45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4"/>
                    <w:gridCol w:w="223"/>
                    <w:gridCol w:w="852"/>
                    <w:gridCol w:w="218"/>
                    <w:gridCol w:w="844"/>
                    <w:gridCol w:w="224"/>
                    <w:gridCol w:w="853"/>
                  </w:tblGrid>
                  <w:tr>
                    <w:trPr>
                      <w:trHeight w:val="222" w:hRule="atLeast"/>
                    </w:trPr>
                    <w:tc>
                      <w:tcPr>
                        <w:tcW w:w="5284" w:type="dxa"/>
                        <w:tcBorders>
                          <w:bottom w:val="single" w:sz="6" w:space="0" w:color="000000"/>
                        </w:tcBorders>
                      </w:tcPr>
                      <w:p>
                        <w:pPr>
                          <w:pStyle w:val="TableParagraph"/>
                          <w:spacing w:line="171" w:lineRule="exact"/>
                          <w:rPr>
                            <w:b/>
                            <w:sz w:val="15"/>
                          </w:rPr>
                        </w:pPr>
                        <w:r>
                          <w:rPr>
                            <w:b/>
                            <w:spacing w:val="-4"/>
                            <w:sz w:val="15"/>
                          </w:rPr>
                          <w:t>Name</w:t>
                        </w:r>
                      </w:p>
                    </w:tc>
                    <w:tc>
                      <w:tcPr>
                        <w:tcW w:w="223" w:type="dxa"/>
                      </w:tcPr>
                      <w:p>
                        <w:pPr>
                          <w:pStyle w:val="TableParagraph"/>
                          <w:rPr>
                            <w:sz w:val="14"/>
                          </w:rPr>
                        </w:pPr>
                      </w:p>
                    </w:tc>
                    <w:tc>
                      <w:tcPr>
                        <w:tcW w:w="852" w:type="dxa"/>
                        <w:tcBorders>
                          <w:bottom w:val="single" w:sz="6" w:space="0" w:color="000000"/>
                        </w:tcBorders>
                      </w:tcPr>
                      <w:p>
                        <w:pPr>
                          <w:pStyle w:val="TableParagraph"/>
                          <w:spacing w:line="171" w:lineRule="exact"/>
                          <w:ind w:left="3"/>
                          <w:jc w:val="center"/>
                          <w:rPr>
                            <w:b/>
                            <w:sz w:val="15"/>
                          </w:rPr>
                        </w:pPr>
                        <w:r>
                          <w:rPr>
                            <w:b/>
                            <w:spacing w:val="-2"/>
                            <w:sz w:val="15"/>
                          </w:rPr>
                          <w:t>Options</w:t>
                        </w:r>
                        <w:r>
                          <w:rPr>
                            <w:b/>
                            <w:spacing w:val="-2"/>
                            <w:sz w:val="15"/>
                            <w:vertAlign w:val="superscript"/>
                          </w:rPr>
                          <w:t>(1)</w:t>
                        </w:r>
                      </w:p>
                    </w:tc>
                    <w:tc>
                      <w:tcPr>
                        <w:tcW w:w="218" w:type="dxa"/>
                      </w:tcPr>
                      <w:p>
                        <w:pPr>
                          <w:pStyle w:val="TableParagraph"/>
                          <w:rPr>
                            <w:sz w:val="14"/>
                          </w:rPr>
                        </w:pPr>
                      </w:p>
                    </w:tc>
                    <w:tc>
                      <w:tcPr>
                        <w:tcW w:w="844" w:type="dxa"/>
                        <w:tcBorders>
                          <w:bottom w:val="single" w:sz="6" w:space="0" w:color="000000"/>
                        </w:tcBorders>
                      </w:tcPr>
                      <w:p>
                        <w:pPr>
                          <w:pStyle w:val="TableParagraph"/>
                          <w:spacing w:line="171" w:lineRule="exact"/>
                          <w:ind w:left="15" w:right="6"/>
                          <w:jc w:val="center"/>
                          <w:rPr>
                            <w:b/>
                            <w:sz w:val="15"/>
                          </w:rPr>
                        </w:pPr>
                        <w:r>
                          <w:rPr>
                            <w:b/>
                            <w:spacing w:val="-2"/>
                            <w:sz w:val="15"/>
                          </w:rPr>
                          <w:t>RSUs</w:t>
                        </w:r>
                        <w:r>
                          <w:rPr>
                            <w:b/>
                            <w:spacing w:val="-2"/>
                            <w:sz w:val="15"/>
                            <w:vertAlign w:val="superscript"/>
                          </w:rPr>
                          <w:t>(1)</w:t>
                        </w:r>
                      </w:p>
                    </w:tc>
                    <w:tc>
                      <w:tcPr>
                        <w:tcW w:w="224" w:type="dxa"/>
                      </w:tcPr>
                      <w:p>
                        <w:pPr>
                          <w:pStyle w:val="TableParagraph"/>
                          <w:rPr>
                            <w:sz w:val="14"/>
                          </w:rPr>
                        </w:pPr>
                      </w:p>
                    </w:tc>
                    <w:tc>
                      <w:tcPr>
                        <w:tcW w:w="853" w:type="dxa"/>
                        <w:tcBorders>
                          <w:bottom w:val="single" w:sz="6" w:space="0" w:color="000000"/>
                        </w:tcBorders>
                      </w:tcPr>
                      <w:p>
                        <w:pPr>
                          <w:pStyle w:val="TableParagraph"/>
                          <w:spacing w:line="171" w:lineRule="exact"/>
                          <w:ind w:left="11" w:right="1"/>
                          <w:jc w:val="center"/>
                          <w:rPr>
                            <w:b/>
                            <w:sz w:val="15"/>
                          </w:rPr>
                        </w:pPr>
                        <w:r>
                          <w:rPr>
                            <w:b/>
                            <w:spacing w:val="-2"/>
                            <w:sz w:val="15"/>
                          </w:rPr>
                          <w:t>Total</w:t>
                        </w:r>
                      </w:p>
                    </w:tc>
                  </w:tr>
                  <w:tr>
                    <w:trPr>
                      <w:trHeight w:val="300" w:hRule="atLeast"/>
                    </w:trPr>
                    <w:tc>
                      <w:tcPr>
                        <w:tcW w:w="5284" w:type="dxa"/>
                        <w:tcBorders>
                          <w:top w:val="single" w:sz="6" w:space="0" w:color="000000"/>
                        </w:tcBorders>
                      </w:tcPr>
                      <w:p>
                        <w:pPr>
                          <w:pStyle w:val="TableParagraph"/>
                          <w:spacing w:before="55"/>
                          <w:rPr>
                            <w:sz w:val="18"/>
                          </w:rPr>
                        </w:pPr>
                        <w:r>
                          <w:rPr>
                            <w:w w:val="105"/>
                            <w:sz w:val="18"/>
                          </w:rPr>
                          <w:t>Sunny</w:t>
                        </w:r>
                        <w:r>
                          <w:rPr>
                            <w:spacing w:val="8"/>
                            <w:w w:val="105"/>
                            <w:sz w:val="18"/>
                          </w:rPr>
                          <w:t> </w:t>
                        </w:r>
                        <w:r>
                          <w:rPr>
                            <w:w w:val="105"/>
                            <w:sz w:val="18"/>
                          </w:rPr>
                          <w:t>S.</w:t>
                        </w:r>
                        <w:r>
                          <w:rPr>
                            <w:spacing w:val="8"/>
                            <w:w w:val="105"/>
                            <w:sz w:val="18"/>
                          </w:rPr>
                          <w:t> </w:t>
                        </w:r>
                        <w:r>
                          <w:rPr>
                            <w:spacing w:val="-2"/>
                            <w:w w:val="105"/>
                            <w:sz w:val="18"/>
                          </w:rPr>
                          <w:t>Sanyal</w:t>
                        </w:r>
                      </w:p>
                    </w:tc>
                    <w:tc>
                      <w:tcPr>
                        <w:tcW w:w="223" w:type="dxa"/>
                      </w:tcPr>
                      <w:p>
                        <w:pPr>
                          <w:pStyle w:val="TableParagraph"/>
                          <w:rPr>
                            <w:sz w:val="18"/>
                          </w:rPr>
                        </w:pPr>
                      </w:p>
                    </w:tc>
                    <w:tc>
                      <w:tcPr>
                        <w:tcW w:w="852" w:type="dxa"/>
                        <w:tcBorders>
                          <w:top w:val="single" w:sz="6" w:space="0" w:color="000000"/>
                        </w:tcBorders>
                      </w:tcPr>
                      <w:p>
                        <w:pPr>
                          <w:pStyle w:val="TableParagraph"/>
                          <w:tabs>
                            <w:tab w:pos="749" w:val="left" w:leader="none"/>
                          </w:tabs>
                          <w:spacing w:before="55"/>
                          <w:ind w:left="2"/>
                          <w:jc w:val="center"/>
                          <w:rPr>
                            <w:sz w:val="18"/>
                          </w:rPr>
                        </w:pPr>
                        <w:r>
                          <w:rPr>
                            <w:spacing w:val="-10"/>
                            <w:w w:val="105"/>
                            <w:sz w:val="18"/>
                          </w:rPr>
                          <w:t>$</w:t>
                        </w:r>
                        <w:r>
                          <w:rPr>
                            <w:sz w:val="18"/>
                          </w:rPr>
                          <w:tab/>
                        </w:r>
                        <w:r>
                          <w:rPr>
                            <w:spacing w:val="-10"/>
                            <w:w w:val="105"/>
                            <w:sz w:val="18"/>
                          </w:rPr>
                          <w:t>0</w:t>
                        </w:r>
                      </w:p>
                    </w:tc>
                    <w:tc>
                      <w:tcPr>
                        <w:tcW w:w="218" w:type="dxa"/>
                      </w:tcPr>
                      <w:p>
                        <w:pPr>
                          <w:pStyle w:val="TableParagraph"/>
                          <w:rPr>
                            <w:sz w:val="18"/>
                          </w:rPr>
                        </w:pPr>
                      </w:p>
                    </w:tc>
                    <w:tc>
                      <w:tcPr>
                        <w:tcW w:w="844" w:type="dxa"/>
                        <w:tcBorders>
                          <w:top w:val="single" w:sz="6" w:space="0" w:color="000000"/>
                        </w:tcBorders>
                      </w:tcPr>
                      <w:p>
                        <w:pPr>
                          <w:pStyle w:val="TableParagraph"/>
                          <w:spacing w:before="55"/>
                          <w:ind w:left="2" w:right="-15"/>
                          <w:jc w:val="center"/>
                          <w:rPr>
                            <w:sz w:val="18"/>
                          </w:rPr>
                        </w:pPr>
                        <w:r>
                          <w:rPr>
                            <w:spacing w:val="-2"/>
                            <w:sz w:val="18"/>
                          </w:rPr>
                          <w:t>$3,376,544</w:t>
                        </w:r>
                      </w:p>
                    </w:tc>
                    <w:tc>
                      <w:tcPr>
                        <w:tcW w:w="224" w:type="dxa"/>
                      </w:tcPr>
                      <w:p>
                        <w:pPr>
                          <w:pStyle w:val="TableParagraph"/>
                          <w:rPr>
                            <w:sz w:val="18"/>
                          </w:rPr>
                        </w:pPr>
                      </w:p>
                    </w:tc>
                    <w:tc>
                      <w:tcPr>
                        <w:tcW w:w="853" w:type="dxa"/>
                        <w:tcBorders>
                          <w:top w:val="single" w:sz="6" w:space="0" w:color="000000"/>
                        </w:tcBorders>
                      </w:tcPr>
                      <w:p>
                        <w:pPr>
                          <w:pStyle w:val="TableParagraph"/>
                          <w:spacing w:before="55"/>
                          <w:ind w:left="6" w:right="-15"/>
                          <w:jc w:val="center"/>
                          <w:rPr>
                            <w:sz w:val="18"/>
                          </w:rPr>
                        </w:pPr>
                        <w:r>
                          <w:rPr>
                            <w:spacing w:val="-2"/>
                            <w:w w:val="105"/>
                            <w:sz w:val="18"/>
                          </w:rPr>
                          <w:t>$3,376,544</w:t>
                        </w:r>
                      </w:p>
                    </w:tc>
                  </w:tr>
                  <w:tr>
                    <w:trPr>
                      <w:trHeight w:val="279" w:hRule="atLeast"/>
                    </w:trPr>
                    <w:tc>
                      <w:tcPr>
                        <w:tcW w:w="5284" w:type="dxa"/>
                      </w:tcPr>
                      <w:p>
                        <w:pPr>
                          <w:pStyle w:val="TableParagraph"/>
                          <w:spacing w:before="34"/>
                          <w:rPr>
                            <w:sz w:val="18"/>
                          </w:rPr>
                        </w:pPr>
                        <w:r>
                          <w:rPr>
                            <w:w w:val="105"/>
                            <w:sz w:val="18"/>
                          </w:rPr>
                          <w:t>Shubham</w:t>
                        </w:r>
                        <w:r>
                          <w:rPr>
                            <w:spacing w:val="11"/>
                            <w:w w:val="105"/>
                            <w:sz w:val="18"/>
                          </w:rPr>
                          <w:t> </w:t>
                        </w:r>
                        <w:r>
                          <w:rPr>
                            <w:spacing w:val="-2"/>
                            <w:w w:val="105"/>
                            <w:sz w:val="18"/>
                          </w:rPr>
                          <w:t>Maheshwari</w:t>
                        </w:r>
                      </w:p>
                    </w:tc>
                    <w:tc>
                      <w:tcPr>
                        <w:tcW w:w="223" w:type="dxa"/>
                      </w:tcPr>
                      <w:p>
                        <w:pPr>
                          <w:pStyle w:val="TableParagraph"/>
                          <w:rPr>
                            <w:sz w:val="18"/>
                          </w:rPr>
                        </w:pPr>
                      </w:p>
                    </w:tc>
                    <w:tc>
                      <w:tcPr>
                        <w:tcW w:w="852" w:type="dxa"/>
                      </w:tcPr>
                      <w:p>
                        <w:pPr>
                          <w:pStyle w:val="TableParagraph"/>
                          <w:spacing w:before="34"/>
                          <w:ind w:left="2"/>
                          <w:jc w:val="center"/>
                          <w:rPr>
                            <w:sz w:val="18"/>
                          </w:rPr>
                        </w:pPr>
                        <w:r>
                          <w:rPr>
                            <w:spacing w:val="-2"/>
                            <w:sz w:val="18"/>
                          </w:rPr>
                          <w:t>$1,211,908</w:t>
                        </w:r>
                      </w:p>
                    </w:tc>
                    <w:tc>
                      <w:tcPr>
                        <w:tcW w:w="218" w:type="dxa"/>
                      </w:tcPr>
                      <w:p>
                        <w:pPr>
                          <w:pStyle w:val="TableParagraph"/>
                          <w:rPr>
                            <w:sz w:val="18"/>
                          </w:rPr>
                        </w:pPr>
                      </w:p>
                    </w:tc>
                    <w:tc>
                      <w:tcPr>
                        <w:tcW w:w="844" w:type="dxa"/>
                      </w:tcPr>
                      <w:p>
                        <w:pPr>
                          <w:pStyle w:val="TableParagraph"/>
                          <w:spacing w:before="34"/>
                          <w:ind w:left="2" w:right="-15"/>
                          <w:jc w:val="center"/>
                          <w:rPr>
                            <w:sz w:val="18"/>
                          </w:rPr>
                        </w:pPr>
                        <w:r>
                          <w:rPr>
                            <w:spacing w:val="-2"/>
                            <w:sz w:val="18"/>
                          </w:rPr>
                          <w:t>$1,095,433</w:t>
                        </w:r>
                      </w:p>
                    </w:tc>
                    <w:tc>
                      <w:tcPr>
                        <w:tcW w:w="224" w:type="dxa"/>
                      </w:tcPr>
                      <w:p>
                        <w:pPr>
                          <w:pStyle w:val="TableParagraph"/>
                          <w:rPr>
                            <w:sz w:val="18"/>
                          </w:rPr>
                        </w:pPr>
                      </w:p>
                    </w:tc>
                    <w:tc>
                      <w:tcPr>
                        <w:tcW w:w="853" w:type="dxa"/>
                      </w:tcPr>
                      <w:p>
                        <w:pPr>
                          <w:pStyle w:val="TableParagraph"/>
                          <w:spacing w:before="34"/>
                          <w:ind w:left="6" w:right="-15"/>
                          <w:jc w:val="center"/>
                          <w:rPr>
                            <w:sz w:val="18"/>
                          </w:rPr>
                        </w:pPr>
                        <w:r>
                          <w:rPr>
                            <w:spacing w:val="-2"/>
                            <w:w w:val="105"/>
                            <w:sz w:val="18"/>
                          </w:rPr>
                          <w:t>$2,307,341</w:t>
                        </w:r>
                      </w:p>
                    </w:tc>
                  </w:tr>
                  <w:tr>
                    <w:trPr>
                      <w:trHeight w:val="279" w:hRule="atLeast"/>
                    </w:trPr>
                    <w:tc>
                      <w:tcPr>
                        <w:tcW w:w="5284" w:type="dxa"/>
                      </w:tcPr>
                      <w:p>
                        <w:pPr>
                          <w:pStyle w:val="TableParagraph"/>
                          <w:spacing w:before="34"/>
                          <w:rPr>
                            <w:sz w:val="18"/>
                          </w:rPr>
                        </w:pPr>
                        <w:r>
                          <w:rPr>
                            <w:w w:val="105"/>
                            <w:sz w:val="18"/>
                          </w:rPr>
                          <w:t>Kimberley</w:t>
                        </w:r>
                        <w:r>
                          <w:rPr>
                            <w:spacing w:val="11"/>
                            <w:w w:val="105"/>
                            <w:sz w:val="18"/>
                          </w:rPr>
                          <w:t> </w:t>
                        </w:r>
                        <w:r>
                          <w:rPr>
                            <w:w w:val="105"/>
                            <w:sz w:val="18"/>
                          </w:rPr>
                          <w:t>E.</w:t>
                        </w:r>
                        <w:r>
                          <w:rPr>
                            <w:spacing w:val="11"/>
                            <w:w w:val="105"/>
                            <w:sz w:val="18"/>
                          </w:rPr>
                          <w:t> </w:t>
                        </w:r>
                        <w:r>
                          <w:rPr>
                            <w:spacing w:val="-2"/>
                            <w:w w:val="105"/>
                            <w:sz w:val="18"/>
                          </w:rPr>
                          <w:t>Honeysett</w:t>
                        </w:r>
                      </w:p>
                    </w:tc>
                    <w:tc>
                      <w:tcPr>
                        <w:tcW w:w="223" w:type="dxa"/>
                      </w:tcPr>
                      <w:p>
                        <w:pPr>
                          <w:pStyle w:val="TableParagraph"/>
                          <w:rPr>
                            <w:sz w:val="18"/>
                          </w:rPr>
                        </w:pPr>
                      </w:p>
                    </w:tc>
                    <w:tc>
                      <w:tcPr>
                        <w:tcW w:w="852" w:type="dxa"/>
                      </w:tcPr>
                      <w:p>
                        <w:pPr>
                          <w:pStyle w:val="TableParagraph"/>
                          <w:tabs>
                            <w:tab w:pos="749" w:val="left" w:leader="none"/>
                          </w:tabs>
                          <w:spacing w:before="34"/>
                          <w:ind w:left="2"/>
                          <w:jc w:val="center"/>
                          <w:rPr>
                            <w:sz w:val="18"/>
                          </w:rPr>
                        </w:pPr>
                        <w:r>
                          <w:rPr>
                            <w:spacing w:val="-10"/>
                            <w:w w:val="105"/>
                            <w:sz w:val="18"/>
                          </w:rPr>
                          <w:t>$</w:t>
                        </w:r>
                        <w:r>
                          <w:rPr>
                            <w:sz w:val="18"/>
                          </w:rPr>
                          <w:tab/>
                        </w:r>
                        <w:r>
                          <w:rPr>
                            <w:spacing w:val="-10"/>
                            <w:w w:val="105"/>
                            <w:sz w:val="18"/>
                          </w:rPr>
                          <w:t>0</w:t>
                        </w:r>
                      </w:p>
                    </w:tc>
                    <w:tc>
                      <w:tcPr>
                        <w:tcW w:w="218" w:type="dxa"/>
                      </w:tcPr>
                      <w:p>
                        <w:pPr>
                          <w:pStyle w:val="TableParagraph"/>
                          <w:rPr>
                            <w:sz w:val="18"/>
                          </w:rPr>
                        </w:pPr>
                      </w:p>
                    </w:tc>
                    <w:tc>
                      <w:tcPr>
                        <w:tcW w:w="844" w:type="dxa"/>
                      </w:tcPr>
                      <w:p>
                        <w:pPr>
                          <w:pStyle w:val="TableParagraph"/>
                          <w:spacing w:before="34"/>
                          <w:ind w:left="2" w:right="-15"/>
                          <w:jc w:val="center"/>
                          <w:rPr>
                            <w:sz w:val="18"/>
                          </w:rPr>
                        </w:pPr>
                        <w:r>
                          <w:rPr>
                            <w:w w:val="105"/>
                            <w:sz w:val="18"/>
                          </w:rPr>
                          <w:t>$</w:t>
                        </w:r>
                        <w:r>
                          <w:rPr>
                            <w:spacing w:val="78"/>
                            <w:w w:val="150"/>
                            <w:sz w:val="18"/>
                          </w:rPr>
                          <w:t> </w:t>
                        </w:r>
                        <w:r>
                          <w:rPr>
                            <w:spacing w:val="-2"/>
                            <w:w w:val="105"/>
                            <w:sz w:val="18"/>
                          </w:rPr>
                          <w:t>596,613</w:t>
                        </w:r>
                      </w:p>
                    </w:tc>
                    <w:tc>
                      <w:tcPr>
                        <w:tcW w:w="224" w:type="dxa"/>
                      </w:tcPr>
                      <w:p>
                        <w:pPr>
                          <w:pStyle w:val="TableParagraph"/>
                          <w:rPr>
                            <w:sz w:val="18"/>
                          </w:rPr>
                        </w:pPr>
                      </w:p>
                    </w:tc>
                    <w:tc>
                      <w:tcPr>
                        <w:tcW w:w="853" w:type="dxa"/>
                      </w:tcPr>
                      <w:p>
                        <w:pPr>
                          <w:pStyle w:val="TableParagraph"/>
                          <w:spacing w:before="34"/>
                          <w:ind w:left="6" w:right="-15"/>
                          <w:jc w:val="center"/>
                          <w:rPr>
                            <w:sz w:val="18"/>
                          </w:rPr>
                        </w:pPr>
                        <w:r>
                          <w:rPr>
                            <w:w w:val="105"/>
                            <w:sz w:val="18"/>
                          </w:rPr>
                          <w:t>$</w:t>
                        </w:r>
                        <w:r>
                          <w:rPr>
                            <w:spacing w:val="79"/>
                            <w:w w:val="150"/>
                            <w:sz w:val="18"/>
                          </w:rPr>
                          <w:t> </w:t>
                        </w:r>
                        <w:r>
                          <w:rPr>
                            <w:spacing w:val="-2"/>
                            <w:w w:val="105"/>
                            <w:sz w:val="18"/>
                          </w:rPr>
                          <w:t>596,613</w:t>
                        </w:r>
                      </w:p>
                    </w:tc>
                  </w:tr>
                  <w:tr>
                    <w:trPr>
                      <w:trHeight w:val="279" w:hRule="atLeast"/>
                    </w:trPr>
                    <w:tc>
                      <w:tcPr>
                        <w:tcW w:w="5284" w:type="dxa"/>
                      </w:tcPr>
                      <w:p>
                        <w:pPr>
                          <w:pStyle w:val="TableParagraph"/>
                          <w:spacing w:before="34"/>
                          <w:rPr>
                            <w:sz w:val="18"/>
                          </w:rPr>
                        </w:pPr>
                        <w:r>
                          <w:rPr>
                            <w:w w:val="105"/>
                            <w:sz w:val="18"/>
                          </w:rPr>
                          <w:t>Brian</w:t>
                        </w:r>
                        <w:r>
                          <w:rPr>
                            <w:spacing w:val="-5"/>
                            <w:w w:val="105"/>
                            <w:sz w:val="18"/>
                          </w:rPr>
                          <w:t> </w:t>
                        </w:r>
                        <w:r>
                          <w:rPr>
                            <w:w w:val="105"/>
                            <w:sz w:val="18"/>
                          </w:rPr>
                          <w:t>W. </w:t>
                        </w:r>
                        <w:r>
                          <w:rPr>
                            <w:spacing w:val="-2"/>
                            <w:w w:val="105"/>
                            <w:sz w:val="18"/>
                          </w:rPr>
                          <w:t>Giambattista</w:t>
                        </w:r>
                      </w:p>
                    </w:tc>
                    <w:tc>
                      <w:tcPr>
                        <w:tcW w:w="223" w:type="dxa"/>
                      </w:tcPr>
                      <w:p>
                        <w:pPr>
                          <w:pStyle w:val="TableParagraph"/>
                          <w:rPr>
                            <w:sz w:val="18"/>
                          </w:rPr>
                        </w:pPr>
                      </w:p>
                    </w:tc>
                    <w:tc>
                      <w:tcPr>
                        <w:tcW w:w="852" w:type="dxa"/>
                      </w:tcPr>
                      <w:p>
                        <w:pPr>
                          <w:pStyle w:val="TableParagraph"/>
                          <w:tabs>
                            <w:tab w:pos="749" w:val="left" w:leader="none"/>
                          </w:tabs>
                          <w:spacing w:before="34"/>
                          <w:ind w:left="2"/>
                          <w:jc w:val="center"/>
                          <w:rPr>
                            <w:sz w:val="18"/>
                          </w:rPr>
                        </w:pPr>
                        <w:r>
                          <w:rPr>
                            <w:spacing w:val="-10"/>
                            <w:w w:val="105"/>
                            <w:sz w:val="18"/>
                          </w:rPr>
                          <w:t>$</w:t>
                        </w:r>
                        <w:r>
                          <w:rPr>
                            <w:sz w:val="18"/>
                          </w:rPr>
                          <w:tab/>
                        </w:r>
                        <w:r>
                          <w:rPr>
                            <w:spacing w:val="-10"/>
                            <w:w w:val="105"/>
                            <w:sz w:val="18"/>
                          </w:rPr>
                          <w:t>0</w:t>
                        </w:r>
                      </w:p>
                    </w:tc>
                    <w:tc>
                      <w:tcPr>
                        <w:tcW w:w="218" w:type="dxa"/>
                      </w:tcPr>
                      <w:p>
                        <w:pPr>
                          <w:pStyle w:val="TableParagraph"/>
                          <w:rPr>
                            <w:sz w:val="18"/>
                          </w:rPr>
                        </w:pPr>
                      </w:p>
                    </w:tc>
                    <w:tc>
                      <w:tcPr>
                        <w:tcW w:w="844" w:type="dxa"/>
                      </w:tcPr>
                      <w:p>
                        <w:pPr>
                          <w:pStyle w:val="TableParagraph"/>
                          <w:spacing w:before="34"/>
                          <w:ind w:left="2" w:right="-15"/>
                          <w:jc w:val="center"/>
                          <w:rPr>
                            <w:sz w:val="18"/>
                          </w:rPr>
                        </w:pPr>
                        <w:r>
                          <w:rPr>
                            <w:w w:val="105"/>
                            <w:sz w:val="18"/>
                          </w:rPr>
                          <w:t>$</w:t>
                        </w:r>
                        <w:r>
                          <w:rPr>
                            <w:spacing w:val="78"/>
                            <w:w w:val="150"/>
                            <w:sz w:val="18"/>
                          </w:rPr>
                          <w:t> </w:t>
                        </w:r>
                        <w:r>
                          <w:rPr>
                            <w:spacing w:val="-2"/>
                            <w:w w:val="105"/>
                            <w:sz w:val="18"/>
                          </w:rPr>
                          <w:t>579,363</w:t>
                        </w:r>
                      </w:p>
                    </w:tc>
                    <w:tc>
                      <w:tcPr>
                        <w:tcW w:w="224" w:type="dxa"/>
                      </w:tcPr>
                      <w:p>
                        <w:pPr>
                          <w:pStyle w:val="TableParagraph"/>
                          <w:rPr>
                            <w:sz w:val="18"/>
                          </w:rPr>
                        </w:pPr>
                      </w:p>
                    </w:tc>
                    <w:tc>
                      <w:tcPr>
                        <w:tcW w:w="853" w:type="dxa"/>
                      </w:tcPr>
                      <w:p>
                        <w:pPr>
                          <w:pStyle w:val="TableParagraph"/>
                          <w:spacing w:before="34"/>
                          <w:ind w:left="6" w:right="-15"/>
                          <w:jc w:val="center"/>
                          <w:rPr>
                            <w:sz w:val="18"/>
                          </w:rPr>
                        </w:pPr>
                        <w:r>
                          <w:rPr>
                            <w:w w:val="105"/>
                            <w:sz w:val="18"/>
                          </w:rPr>
                          <w:t>$</w:t>
                        </w:r>
                        <w:r>
                          <w:rPr>
                            <w:spacing w:val="79"/>
                            <w:w w:val="150"/>
                            <w:sz w:val="18"/>
                          </w:rPr>
                          <w:t> </w:t>
                        </w:r>
                        <w:r>
                          <w:rPr>
                            <w:spacing w:val="-2"/>
                            <w:w w:val="105"/>
                            <w:sz w:val="18"/>
                          </w:rPr>
                          <w:t>579,363</w:t>
                        </w:r>
                      </w:p>
                    </w:tc>
                  </w:tr>
                  <w:tr>
                    <w:trPr>
                      <w:trHeight w:val="242" w:hRule="atLeast"/>
                    </w:trPr>
                    <w:tc>
                      <w:tcPr>
                        <w:tcW w:w="5284" w:type="dxa"/>
                      </w:tcPr>
                      <w:p>
                        <w:pPr>
                          <w:pStyle w:val="TableParagraph"/>
                          <w:spacing w:line="188" w:lineRule="exact" w:before="34"/>
                          <w:rPr>
                            <w:sz w:val="18"/>
                          </w:rPr>
                        </w:pPr>
                        <w:r>
                          <w:rPr>
                            <w:w w:val="105"/>
                            <w:sz w:val="18"/>
                          </w:rPr>
                          <w:t>Andrew</w:t>
                        </w:r>
                        <w:r>
                          <w:rPr>
                            <w:spacing w:val="8"/>
                            <w:w w:val="105"/>
                            <w:sz w:val="18"/>
                          </w:rPr>
                          <w:t> </w:t>
                        </w:r>
                        <w:r>
                          <w:rPr>
                            <w:w w:val="105"/>
                            <w:sz w:val="18"/>
                          </w:rPr>
                          <w:t>J.</w:t>
                        </w:r>
                        <w:r>
                          <w:rPr>
                            <w:spacing w:val="9"/>
                            <w:w w:val="105"/>
                            <w:sz w:val="18"/>
                          </w:rPr>
                          <w:t> </w:t>
                        </w:r>
                        <w:r>
                          <w:rPr>
                            <w:spacing w:val="-2"/>
                            <w:w w:val="105"/>
                            <w:sz w:val="18"/>
                          </w:rPr>
                          <w:t>Hartmann</w:t>
                        </w:r>
                      </w:p>
                    </w:tc>
                    <w:tc>
                      <w:tcPr>
                        <w:tcW w:w="223" w:type="dxa"/>
                      </w:tcPr>
                      <w:p>
                        <w:pPr>
                          <w:pStyle w:val="TableParagraph"/>
                          <w:rPr>
                            <w:sz w:val="16"/>
                          </w:rPr>
                        </w:pPr>
                      </w:p>
                    </w:tc>
                    <w:tc>
                      <w:tcPr>
                        <w:tcW w:w="852" w:type="dxa"/>
                      </w:tcPr>
                      <w:p>
                        <w:pPr>
                          <w:pStyle w:val="TableParagraph"/>
                          <w:tabs>
                            <w:tab w:pos="749" w:val="left" w:leader="none"/>
                          </w:tabs>
                          <w:spacing w:line="188" w:lineRule="exact" w:before="34"/>
                          <w:ind w:left="2"/>
                          <w:jc w:val="center"/>
                          <w:rPr>
                            <w:sz w:val="18"/>
                          </w:rPr>
                        </w:pPr>
                        <w:r>
                          <w:rPr>
                            <w:spacing w:val="-10"/>
                            <w:w w:val="105"/>
                            <w:sz w:val="18"/>
                          </w:rPr>
                          <w:t>$</w:t>
                        </w:r>
                        <w:r>
                          <w:rPr>
                            <w:sz w:val="18"/>
                          </w:rPr>
                          <w:tab/>
                        </w:r>
                        <w:r>
                          <w:rPr>
                            <w:spacing w:val="-10"/>
                            <w:w w:val="105"/>
                            <w:sz w:val="18"/>
                          </w:rPr>
                          <w:t>0</w:t>
                        </w:r>
                      </w:p>
                    </w:tc>
                    <w:tc>
                      <w:tcPr>
                        <w:tcW w:w="218" w:type="dxa"/>
                      </w:tcPr>
                      <w:p>
                        <w:pPr>
                          <w:pStyle w:val="TableParagraph"/>
                          <w:rPr>
                            <w:sz w:val="16"/>
                          </w:rPr>
                        </w:pPr>
                      </w:p>
                    </w:tc>
                    <w:tc>
                      <w:tcPr>
                        <w:tcW w:w="844" w:type="dxa"/>
                      </w:tcPr>
                      <w:p>
                        <w:pPr>
                          <w:pStyle w:val="TableParagraph"/>
                          <w:spacing w:line="188" w:lineRule="exact" w:before="34"/>
                          <w:ind w:left="2" w:right="-15"/>
                          <w:jc w:val="center"/>
                          <w:rPr>
                            <w:sz w:val="18"/>
                          </w:rPr>
                        </w:pPr>
                        <w:r>
                          <w:rPr>
                            <w:w w:val="105"/>
                            <w:sz w:val="18"/>
                          </w:rPr>
                          <w:t>$</w:t>
                        </w:r>
                        <w:r>
                          <w:rPr>
                            <w:spacing w:val="78"/>
                            <w:w w:val="150"/>
                            <w:sz w:val="18"/>
                          </w:rPr>
                          <w:t> </w:t>
                        </w:r>
                        <w:r>
                          <w:rPr>
                            <w:spacing w:val="-2"/>
                            <w:w w:val="105"/>
                            <w:sz w:val="18"/>
                          </w:rPr>
                          <w:t>583,654</w:t>
                        </w:r>
                      </w:p>
                    </w:tc>
                    <w:tc>
                      <w:tcPr>
                        <w:tcW w:w="224" w:type="dxa"/>
                      </w:tcPr>
                      <w:p>
                        <w:pPr>
                          <w:pStyle w:val="TableParagraph"/>
                          <w:rPr>
                            <w:sz w:val="16"/>
                          </w:rPr>
                        </w:pPr>
                      </w:p>
                    </w:tc>
                    <w:tc>
                      <w:tcPr>
                        <w:tcW w:w="853" w:type="dxa"/>
                      </w:tcPr>
                      <w:p>
                        <w:pPr>
                          <w:pStyle w:val="TableParagraph"/>
                          <w:spacing w:line="188" w:lineRule="exact" w:before="34"/>
                          <w:ind w:left="6" w:right="-15"/>
                          <w:jc w:val="center"/>
                          <w:rPr>
                            <w:sz w:val="18"/>
                          </w:rPr>
                        </w:pPr>
                        <w:r>
                          <w:rPr>
                            <w:w w:val="105"/>
                            <w:sz w:val="18"/>
                          </w:rPr>
                          <w:t>$</w:t>
                        </w:r>
                        <w:r>
                          <w:rPr>
                            <w:spacing w:val="79"/>
                            <w:w w:val="150"/>
                            <w:sz w:val="18"/>
                          </w:rPr>
                          <w:t> </w:t>
                        </w:r>
                        <w:r>
                          <w:rPr>
                            <w:spacing w:val="-2"/>
                            <w:w w:val="105"/>
                            <w:sz w:val="18"/>
                          </w:rPr>
                          <w:t>583,654</w:t>
                        </w:r>
                      </w:p>
                    </w:tc>
                  </w:tr>
                </w:tbl>
                <w:p>
                  <w:pPr>
                    <w:pStyle w:val="BodyText"/>
                  </w:pPr>
                </w:p>
              </w:txbxContent>
            </v:textbox>
            <w10:wrap type="none"/>
          </v:shape>
        </w:pict>
      </w:r>
      <w:r>
        <w:rPr>
          <w:spacing w:val="-5"/>
          <w:w w:val="105"/>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3"/>
        <w:jc w:val="right"/>
      </w:pPr>
      <w:r>
        <w:rPr/>
        <w:pict>
          <v:rect style="position:absolute;margin-left:94.006287pt;margin-top:-2.224655pt;width:100.654902pt;height:.698992pt;mso-position-horizontal-relative:page;mso-position-vertical-relative:paragraph;z-index:15798272" id="docshape457" filled="true" fillcolor="#000000" stroked="false">
            <v:fill type="solid"/>
            <w10:wrap type="none"/>
          </v:rect>
        </w:pict>
      </w:r>
      <w:r>
        <w:rPr>
          <w:spacing w:val="-5"/>
          <w:w w:val="105"/>
        </w:rPr>
        <w:t>(1)</w:t>
      </w:r>
    </w:p>
    <w:p>
      <w:pPr>
        <w:pStyle w:val="BodyText"/>
        <w:spacing w:line="259" w:lineRule="auto" w:before="83"/>
        <w:ind w:left="107" w:right="1695"/>
      </w:pPr>
      <w:r>
        <w:rPr/>
        <w:br w:type="column"/>
      </w:r>
      <w:r>
        <w:rPr>
          <w:w w:val="105"/>
        </w:rPr>
        <w:t>Represents the intrinsic value of accelerated equity awards based on our closing stock price as of</w:t>
      </w:r>
      <w:r>
        <w:rPr>
          <w:spacing w:val="40"/>
          <w:w w:val="105"/>
        </w:rPr>
        <w:t> </w:t>
      </w:r>
      <w:r>
        <w:rPr>
          <w:w w:val="105"/>
        </w:rPr>
        <w:t>September 30, 2022 ($21.14).</w:t>
      </w:r>
    </w:p>
    <w:p>
      <w:pPr>
        <w:pStyle w:val="BodyText"/>
        <w:spacing w:before="5"/>
        <w:rPr>
          <w:sz w:val="19"/>
        </w:rPr>
      </w:pPr>
    </w:p>
    <w:p>
      <w:pPr>
        <w:pStyle w:val="Heading2"/>
        <w:spacing w:before="1"/>
        <w:ind w:left="2294"/>
      </w:pPr>
      <w:r>
        <w:rPr/>
        <w:t>Potential</w:t>
      </w:r>
      <w:r>
        <w:rPr>
          <w:spacing w:val="-12"/>
        </w:rPr>
        <w:t> </w:t>
      </w:r>
      <w:r>
        <w:rPr/>
        <w:t>Payments</w:t>
      </w:r>
      <w:r>
        <w:rPr>
          <w:spacing w:val="-10"/>
        </w:rPr>
        <w:t> </w:t>
      </w:r>
      <w:r>
        <w:rPr/>
        <w:t>upon</w:t>
      </w:r>
      <w:r>
        <w:rPr>
          <w:spacing w:val="-10"/>
        </w:rPr>
        <w:t> </w:t>
      </w:r>
      <w:r>
        <w:rPr/>
        <w:t>Death</w:t>
      </w:r>
      <w:r>
        <w:rPr>
          <w:spacing w:val="-9"/>
        </w:rPr>
        <w:t> </w:t>
      </w:r>
      <w:r>
        <w:rPr/>
        <w:t>or</w:t>
      </w:r>
      <w:r>
        <w:rPr>
          <w:spacing w:val="-12"/>
        </w:rPr>
        <w:t> </w:t>
      </w:r>
      <w:r>
        <w:rPr>
          <w:spacing w:val="-2"/>
        </w:rPr>
        <w:t>Disability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259" w:lineRule="auto" w:before="141"/>
        <w:ind w:left="107" w:right="1695"/>
      </w:pPr>
      <w:r>
        <w:rPr>
          <w:w w:val="105"/>
        </w:rPr>
        <w:t>Represents the intrinsic value of accelerated equity awards based on our closing stock price as of</w:t>
      </w:r>
      <w:r>
        <w:rPr>
          <w:spacing w:val="40"/>
          <w:w w:val="105"/>
        </w:rPr>
        <w:t> </w:t>
      </w:r>
      <w:r>
        <w:rPr>
          <w:w w:val="105"/>
        </w:rPr>
        <w:t>September 30, 2022 ($21.14).</w:t>
      </w:r>
    </w:p>
    <w:p>
      <w:pPr>
        <w:spacing w:after="0" w:line="259" w:lineRule="auto"/>
        <w:sectPr>
          <w:type w:val="continuous"/>
          <w:pgSz w:w="12240" w:h="15840"/>
          <w:pgMar w:header="529" w:footer="911" w:top="600" w:bottom="960" w:left="480" w:right="460"/>
          <w:cols w:num="2" w:equalWidth="0">
            <w:col w:w="1625" w:space="40"/>
            <w:col w:w="9635"/>
          </w:cols>
        </w:sectPr>
      </w:pPr>
    </w:p>
    <w:p>
      <w:pPr>
        <w:pStyle w:val="BodyText"/>
        <w:rPr>
          <w:sz w:val="11"/>
        </w:rPr>
      </w:pPr>
    </w:p>
    <w:p>
      <w:pPr>
        <w:pStyle w:val="Heading2"/>
        <w:spacing w:before="98"/>
      </w:pPr>
      <w:bookmarkStart w:name="_TOC_250004" w:id="39"/>
      <w:r>
        <w:rPr/>
        <w:t>Compensation</w:t>
      </w:r>
      <w:r>
        <w:rPr>
          <w:spacing w:val="-12"/>
        </w:rPr>
        <w:t> </w:t>
      </w:r>
      <w:r>
        <w:rPr/>
        <w:t>of</w:t>
      </w:r>
      <w:r>
        <w:rPr>
          <w:spacing w:val="-11"/>
        </w:rPr>
        <w:t> </w:t>
      </w:r>
      <w:bookmarkEnd w:id="39"/>
      <w:r>
        <w:rPr>
          <w:spacing w:val="-2"/>
        </w:rPr>
        <w:t>Directors</w:t>
      </w:r>
    </w:p>
    <w:p>
      <w:pPr>
        <w:pStyle w:val="BodyText"/>
        <w:spacing w:line="259" w:lineRule="auto" w:before="170"/>
        <w:ind w:left="1400" w:right="1680" w:firstLine="372"/>
      </w:pPr>
      <w:r>
        <w:rPr>
          <w:w w:val="105"/>
        </w:rPr>
        <w:t>This section provides information regarding our director compensation policy for non-employee directors and the amounts paid and equity awards granted to these directors in fiscal year 2022. Our non-</w:t>
      </w:r>
      <w:r>
        <w:rPr>
          <w:spacing w:val="40"/>
          <w:w w:val="105"/>
        </w:rPr>
        <w:t> </w:t>
      </w:r>
      <w:r>
        <w:rPr>
          <w:w w:val="105"/>
        </w:rPr>
        <w:t>employee director compensation policy is designed to provide the appropriate amount and form of</w:t>
      </w:r>
    </w:p>
    <w:p>
      <w:pPr>
        <w:spacing w:after="0" w:line="259" w:lineRule="auto"/>
        <w:sectPr>
          <w:type w:val="continuous"/>
          <w:pgSz w:w="12240" w:h="15840"/>
          <w:pgMar w:header="529" w:footer="911" w:top="600" w:bottom="960" w:left="480" w:right="460"/>
        </w:sectPr>
      </w:pPr>
    </w:p>
    <w:p>
      <w:pPr>
        <w:pStyle w:val="BodyText"/>
        <w:spacing w:line="27" w:lineRule="exact"/>
        <w:ind w:left="100"/>
        <w:rPr>
          <w:sz w:val="2"/>
        </w:rPr>
      </w:pPr>
      <w:r>
        <w:rPr>
          <w:position w:val="0"/>
          <w:sz w:val="2"/>
        </w:rPr>
        <w:pict>
          <v:group style="width:555pt;height:1.4pt;mso-position-horizontal-relative:char;mso-position-vertical-relative:line" id="docshapegroup458" coordorigin="0,0" coordsize="11100,28">
            <v:rect style="position:absolute;left:0;top:0;width:11100;height:14" id="docshape459" filled="true" fillcolor="#999999" stroked="false">
              <v:fill type="solid"/>
            </v:rect>
            <v:shape style="position:absolute;left:-1;top:0;width:11100;height:28" id="docshape460" coordorigin="0,0" coordsize="11100,28" path="m11100,0l11086,14,0,14,0,28,11086,28,11100,28,11100,14,11100,0xe" filled="true" fillcolor="#ededed" stroked="false">
              <v:path arrowok="t"/>
              <v:fill type="solid"/>
            </v:shape>
            <v:shape style="position:absolute;left:0;top:0;width:14;height:28" id="docshape461" coordorigin="0,0" coordsize="14,28" path="m0,28l0,0,14,0,14,14,0,28xe" filled="true" fillcolor="#999999" stroked="false">
              <v:path arrowok="t"/>
              <v:fill type="solid"/>
            </v:shape>
          </v:group>
        </w:pict>
      </w:r>
      <w:r>
        <w:rPr>
          <w:position w:val="0"/>
          <w:sz w:val="2"/>
        </w:rPr>
      </w:r>
    </w:p>
    <w:p>
      <w:pPr>
        <w:spacing w:after="0" w:line="27" w:lineRule="exact"/>
        <w:rPr>
          <w:sz w:val="2"/>
        </w:rPr>
        <w:sectPr>
          <w:headerReference w:type="default" r:id="rId157"/>
          <w:footerReference w:type="default" r:id="rId158"/>
          <w:pgSz w:w="12240" w:h="15840"/>
          <w:pgMar w:header="0" w:footer="0" w:top="580" w:bottom="280" w:left="480" w:right="460"/>
        </w:sectPr>
      </w:pPr>
    </w:p>
    <w:p>
      <w:pPr>
        <w:pStyle w:val="BodyText"/>
        <w:rPr>
          <w:sz w:val="20"/>
        </w:rPr>
      </w:pPr>
    </w:p>
    <w:p>
      <w:pPr>
        <w:pStyle w:val="BodyText"/>
        <w:rPr>
          <w:sz w:val="20"/>
        </w:rPr>
      </w:pPr>
    </w:p>
    <w:p>
      <w:pPr>
        <w:pStyle w:val="BodyText"/>
        <w:spacing w:before="2"/>
        <w:rPr>
          <w:sz w:val="27"/>
        </w:rPr>
      </w:pPr>
    </w:p>
    <w:p>
      <w:pPr>
        <w:pStyle w:val="BodyText"/>
        <w:spacing w:line="259" w:lineRule="auto" w:before="98"/>
        <w:ind w:left="1400" w:right="1551"/>
      </w:pPr>
      <w:r>
        <w:rPr>
          <w:w w:val="105"/>
        </w:rPr>
        <w:t>compensation to our non-employee directors. Directors who are employees (</w:t>
      </w:r>
      <w:r>
        <w:rPr>
          <w:i/>
          <w:w w:val="105"/>
        </w:rPr>
        <w:t>i.e.</w:t>
      </w:r>
      <w:r>
        <w:rPr>
          <w:w w:val="105"/>
        </w:rPr>
        <w:t>, Mr. Sanyal) receive no compensation for their services as directors.</w:t>
      </w:r>
    </w:p>
    <w:p>
      <w:pPr>
        <w:pStyle w:val="BodyText"/>
        <w:spacing w:line="259" w:lineRule="auto" w:before="154"/>
        <w:ind w:left="1400" w:right="1551" w:firstLine="372"/>
      </w:pPr>
      <w:r>
        <w:rPr>
          <w:w w:val="105"/>
        </w:rPr>
        <w:t>Each year the Compensation Committee and the Board review our director compensation program with</w:t>
      </w:r>
      <w:r>
        <w:rPr>
          <w:spacing w:val="40"/>
          <w:w w:val="105"/>
        </w:rPr>
        <w:t> </w:t>
      </w:r>
      <w:r>
        <w:rPr>
          <w:w w:val="105"/>
        </w:rPr>
        <w:t>the</w:t>
      </w:r>
      <w:r>
        <w:rPr>
          <w:spacing w:val="33"/>
          <w:w w:val="105"/>
        </w:rPr>
        <w:t> </w:t>
      </w:r>
      <w:r>
        <w:rPr>
          <w:w w:val="105"/>
        </w:rPr>
        <w:t>Compensation</w:t>
      </w:r>
      <w:r>
        <w:rPr>
          <w:spacing w:val="33"/>
          <w:w w:val="105"/>
        </w:rPr>
        <w:t> </w:t>
      </w:r>
      <w:r>
        <w:rPr>
          <w:w w:val="105"/>
        </w:rPr>
        <w:t>Committee’s</w:t>
      </w:r>
      <w:r>
        <w:rPr>
          <w:spacing w:val="33"/>
          <w:w w:val="105"/>
        </w:rPr>
        <w:t> </w:t>
      </w:r>
      <w:r>
        <w:rPr>
          <w:w w:val="105"/>
        </w:rPr>
        <w:t>independent</w:t>
      </w:r>
      <w:r>
        <w:rPr>
          <w:spacing w:val="33"/>
          <w:w w:val="105"/>
        </w:rPr>
        <w:t> </w:t>
      </w:r>
      <w:r>
        <w:rPr>
          <w:w w:val="105"/>
        </w:rPr>
        <w:t>compensation</w:t>
      </w:r>
      <w:r>
        <w:rPr>
          <w:spacing w:val="33"/>
          <w:w w:val="105"/>
        </w:rPr>
        <w:t> </w:t>
      </w:r>
      <w:r>
        <w:rPr>
          <w:w w:val="105"/>
        </w:rPr>
        <w:t>consultant.</w:t>
      </w:r>
      <w:r>
        <w:rPr>
          <w:spacing w:val="33"/>
          <w:w w:val="105"/>
        </w:rPr>
        <w:t> </w:t>
      </w:r>
      <w:r>
        <w:rPr>
          <w:w w:val="105"/>
        </w:rPr>
        <w:t>In</w:t>
      </w:r>
      <w:r>
        <w:rPr>
          <w:spacing w:val="33"/>
          <w:w w:val="105"/>
        </w:rPr>
        <w:t> </w:t>
      </w:r>
      <w:r>
        <w:rPr>
          <w:w w:val="105"/>
        </w:rPr>
        <w:t>fiscal</w:t>
      </w:r>
      <w:r>
        <w:rPr>
          <w:spacing w:val="33"/>
          <w:w w:val="105"/>
        </w:rPr>
        <w:t> </w:t>
      </w:r>
      <w:r>
        <w:rPr>
          <w:w w:val="105"/>
        </w:rPr>
        <w:t>year</w:t>
      </w:r>
      <w:r>
        <w:rPr>
          <w:spacing w:val="33"/>
          <w:w w:val="105"/>
        </w:rPr>
        <w:t> </w:t>
      </w:r>
      <w:r>
        <w:rPr>
          <w:w w:val="105"/>
        </w:rPr>
        <w:t>2022,</w:t>
      </w:r>
      <w:r>
        <w:rPr>
          <w:spacing w:val="33"/>
          <w:w w:val="105"/>
        </w:rPr>
        <w:t> </w:t>
      </w:r>
      <w:r>
        <w:rPr>
          <w:w w:val="105"/>
        </w:rPr>
        <w:t>the</w:t>
      </w:r>
      <w:r>
        <w:rPr>
          <w:w w:val="105"/>
        </w:rPr>
        <w:t> Compensation Committee’s independent consultant did not recommend, and the Board did not make, any changes to our director compensation program.</w:t>
      </w:r>
    </w:p>
    <w:p>
      <w:pPr>
        <w:tabs>
          <w:tab w:pos="7478" w:val="left" w:leader="none"/>
        </w:tabs>
        <w:spacing w:before="155"/>
        <w:ind w:left="1400" w:right="0" w:firstLine="0"/>
        <w:jc w:val="left"/>
        <w:rPr>
          <w:b/>
          <w:sz w:val="15"/>
        </w:rPr>
      </w:pPr>
      <w:r>
        <w:rPr/>
        <w:pict>
          <v:rect style="position:absolute;margin-left:94.006287pt;margin-top:18.944666pt;width:206.901742pt;height:.698992pt;mso-position-horizontal-relative:page;mso-position-vertical-relative:paragraph;z-index:15800320" id="docshape464" filled="true" fillcolor="#000000" stroked="false">
            <v:fill type="solid"/>
            <w10:wrap type="none"/>
          </v:rect>
        </w:pict>
      </w:r>
      <w:r>
        <w:rPr>
          <w:b/>
          <w:spacing w:val="-2"/>
          <w:sz w:val="15"/>
        </w:rPr>
        <w:t>Component</w:t>
      </w:r>
      <w:r>
        <w:rPr>
          <w:b/>
          <w:sz w:val="15"/>
        </w:rPr>
        <w:tab/>
      </w:r>
      <w:r>
        <w:rPr>
          <w:b/>
          <w:spacing w:val="-2"/>
          <w:sz w:val="15"/>
        </w:rPr>
        <w:t>Description</w:t>
      </w:r>
    </w:p>
    <w:p>
      <w:pPr>
        <w:spacing w:after="0"/>
        <w:jc w:val="left"/>
        <w:rPr>
          <w:sz w:val="15"/>
        </w:rPr>
        <w:sectPr>
          <w:headerReference w:type="default" r:id="rId159"/>
          <w:footerReference w:type="default" r:id="rId160"/>
          <w:pgSz w:w="12240" w:h="15840"/>
          <w:pgMar w:header="529" w:footer="1596" w:top="720" w:bottom="1780" w:left="480" w:right="460"/>
        </w:sectPr>
      </w:pPr>
    </w:p>
    <w:p>
      <w:pPr>
        <w:pStyle w:val="BodyText"/>
        <w:spacing w:before="135"/>
        <w:ind w:left="1400"/>
      </w:pPr>
      <w:r>
        <w:rPr>
          <w:w w:val="105"/>
        </w:rPr>
        <w:t>Annual</w:t>
      </w:r>
      <w:r>
        <w:rPr>
          <w:spacing w:val="11"/>
          <w:w w:val="105"/>
        </w:rPr>
        <w:t> </w:t>
      </w:r>
      <w:r>
        <w:rPr>
          <w:spacing w:val="-2"/>
          <w:w w:val="105"/>
        </w:rPr>
        <w:t>Retainer</w:t>
      </w:r>
    </w:p>
    <w:p>
      <w:pPr>
        <w:pStyle w:val="BodyText"/>
        <w:rPr>
          <w:sz w:val="20"/>
        </w:rPr>
      </w:pPr>
    </w:p>
    <w:p>
      <w:pPr>
        <w:pStyle w:val="BodyText"/>
        <w:spacing w:before="7"/>
        <w:rPr>
          <w:sz w:val="27"/>
        </w:rPr>
      </w:pPr>
    </w:p>
    <w:p>
      <w:pPr>
        <w:pStyle w:val="BodyText"/>
        <w:spacing w:line="259" w:lineRule="auto"/>
        <w:ind w:left="1400"/>
      </w:pPr>
      <w:r>
        <w:rPr>
          <w:w w:val="105"/>
        </w:rPr>
        <w:t>Non-Executive Board Chair </w:t>
      </w:r>
      <w:r>
        <w:rPr>
          <w:spacing w:val="-2"/>
          <w:w w:val="105"/>
        </w:rPr>
        <w:t>Retainer</w:t>
      </w:r>
    </w:p>
    <w:p>
      <w:pPr>
        <w:pStyle w:val="BodyText"/>
        <w:spacing w:before="7"/>
        <w:rPr>
          <w:sz w:val="25"/>
        </w:rPr>
      </w:pPr>
    </w:p>
    <w:p>
      <w:pPr>
        <w:pStyle w:val="BodyText"/>
        <w:ind w:left="1400"/>
      </w:pPr>
      <w:r>
        <w:rPr>
          <w:w w:val="105"/>
        </w:rPr>
        <w:t>Committee</w:t>
      </w:r>
      <w:r>
        <w:rPr>
          <w:spacing w:val="12"/>
          <w:w w:val="105"/>
        </w:rPr>
        <w:t> </w:t>
      </w:r>
      <w:r>
        <w:rPr>
          <w:w w:val="105"/>
        </w:rPr>
        <w:t>Member</w:t>
      </w:r>
      <w:r>
        <w:rPr>
          <w:spacing w:val="12"/>
          <w:w w:val="105"/>
        </w:rPr>
        <w:t> </w:t>
      </w:r>
      <w:r>
        <w:rPr>
          <w:spacing w:val="-2"/>
          <w:w w:val="105"/>
        </w:rPr>
        <w:t>Retainer</w:t>
      </w:r>
    </w:p>
    <w:p>
      <w:pPr>
        <w:pStyle w:val="ListParagraph"/>
        <w:numPr>
          <w:ilvl w:val="0"/>
          <w:numId w:val="35"/>
        </w:numPr>
        <w:tabs>
          <w:tab w:pos="1580" w:val="left" w:leader="none"/>
        </w:tabs>
        <w:spacing w:line="240" w:lineRule="auto" w:before="72" w:after="0"/>
        <w:ind w:left="1579" w:right="0" w:hanging="139"/>
        <w:jc w:val="left"/>
        <w:rPr>
          <w:sz w:val="18"/>
        </w:rPr>
      </w:pPr>
      <w:r>
        <w:rPr>
          <w:spacing w:val="-2"/>
          <w:w w:val="105"/>
          <w:sz w:val="18"/>
        </w:rPr>
        <w:t>Audit</w:t>
      </w:r>
    </w:p>
    <w:p>
      <w:pPr>
        <w:pStyle w:val="ListParagraph"/>
        <w:numPr>
          <w:ilvl w:val="0"/>
          <w:numId w:val="35"/>
        </w:numPr>
        <w:tabs>
          <w:tab w:pos="1580" w:val="left" w:leader="none"/>
        </w:tabs>
        <w:spacing w:line="240" w:lineRule="auto" w:before="73" w:after="0"/>
        <w:ind w:left="1579" w:right="0" w:hanging="139"/>
        <w:jc w:val="left"/>
        <w:rPr>
          <w:sz w:val="18"/>
        </w:rPr>
      </w:pPr>
      <w:r>
        <w:rPr>
          <w:spacing w:val="-2"/>
          <w:w w:val="105"/>
          <w:sz w:val="18"/>
        </w:rPr>
        <w:t>Compensation</w:t>
      </w:r>
    </w:p>
    <w:p>
      <w:pPr>
        <w:pStyle w:val="ListParagraph"/>
        <w:numPr>
          <w:ilvl w:val="0"/>
          <w:numId w:val="35"/>
        </w:numPr>
        <w:tabs>
          <w:tab w:pos="1580" w:val="left" w:leader="none"/>
        </w:tabs>
        <w:spacing w:line="240" w:lineRule="auto" w:before="73" w:after="0"/>
        <w:ind w:left="1579" w:right="0" w:hanging="139"/>
        <w:jc w:val="left"/>
        <w:rPr>
          <w:sz w:val="18"/>
        </w:rPr>
      </w:pPr>
      <w:r>
        <w:rPr>
          <w:spacing w:val="-2"/>
          <w:w w:val="105"/>
          <w:sz w:val="18"/>
        </w:rPr>
        <w:t>Nominating</w:t>
      </w:r>
    </w:p>
    <w:p>
      <w:pPr>
        <w:pStyle w:val="BodyText"/>
        <w:rPr>
          <w:sz w:val="20"/>
        </w:rPr>
      </w:pPr>
    </w:p>
    <w:p>
      <w:pPr>
        <w:pStyle w:val="BodyText"/>
        <w:rPr>
          <w:sz w:val="20"/>
        </w:rPr>
      </w:pPr>
    </w:p>
    <w:p>
      <w:pPr>
        <w:pStyle w:val="BodyText"/>
        <w:spacing w:before="115"/>
        <w:ind w:left="1400"/>
      </w:pPr>
      <w:r>
        <w:rPr>
          <w:w w:val="105"/>
        </w:rPr>
        <w:t>Committee</w:t>
      </w:r>
      <w:r>
        <w:rPr>
          <w:spacing w:val="12"/>
          <w:w w:val="105"/>
        </w:rPr>
        <w:t> </w:t>
      </w:r>
      <w:r>
        <w:rPr>
          <w:w w:val="105"/>
        </w:rPr>
        <w:t>Chair</w:t>
      </w:r>
      <w:r>
        <w:rPr>
          <w:spacing w:val="13"/>
          <w:w w:val="105"/>
        </w:rPr>
        <w:t> </w:t>
      </w:r>
      <w:r>
        <w:rPr>
          <w:spacing w:val="-2"/>
          <w:w w:val="105"/>
        </w:rPr>
        <w:t>Retainers</w:t>
      </w:r>
    </w:p>
    <w:p>
      <w:pPr>
        <w:pStyle w:val="ListParagraph"/>
        <w:numPr>
          <w:ilvl w:val="0"/>
          <w:numId w:val="35"/>
        </w:numPr>
        <w:tabs>
          <w:tab w:pos="1580" w:val="left" w:leader="none"/>
        </w:tabs>
        <w:spacing w:line="240" w:lineRule="auto" w:before="73" w:after="0"/>
        <w:ind w:left="1579" w:right="0" w:hanging="139"/>
        <w:jc w:val="left"/>
        <w:rPr>
          <w:sz w:val="18"/>
        </w:rPr>
      </w:pPr>
      <w:r>
        <w:rPr>
          <w:spacing w:val="-2"/>
          <w:w w:val="105"/>
          <w:sz w:val="18"/>
        </w:rPr>
        <w:t>Audit</w:t>
      </w:r>
    </w:p>
    <w:p>
      <w:pPr>
        <w:pStyle w:val="ListParagraph"/>
        <w:numPr>
          <w:ilvl w:val="0"/>
          <w:numId w:val="35"/>
        </w:numPr>
        <w:tabs>
          <w:tab w:pos="1580" w:val="left" w:leader="none"/>
        </w:tabs>
        <w:spacing w:line="240" w:lineRule="auto" w:before="73" w:after="0"/>
        <w:ind w:left="1579" w:right="0" w:hanging="139"/>
        <w:jc w:val="left"/>
        <w:rPr>
          <w:sz w:val="18"/>
        </w:rPr>
      </w:pPr>
      <w:r>
        <w:rPr>
          <w:spacing w:val="-2"/>
          <w:w w:val="105"/>
          <w:sz w:val="18"/>
        </w:rPr>
        <w:t>Compensation</w:t>
      </w:r>
    </w:p>
    <w:p>
      <w:pPr>
        <w:pStyle w:val="ListParagraph"/>
        <w:numPr>
          <w:ilvl w:val="0"/>
          <w:numId w:val="35"/>
        </w:numPr>
        <w:tabs>
          <w:tab w:pos="1580" w:val="left" w:leader="none"/>
        </w:tabs>
        <w:spacing w:line="240" w:lineRule="auto" w:before="72" w:after="0"/>
        <w:ind w:left="1579" w:right="0" w:hanging="139"/>
        <w:jc w:val="left"/>
        <w:rPr>
          <w:sz w:val="18"/>
        </w:rPr>
      </w:pPr>
      <w:r>
        <w:rPr>
          <w:spacing w:val="-2"/>
          <w:w w:val="105"/>
          <w:sz w:val="18"/>
        </w:rPr>
        <w:t>Nominating</w:t>
      </w:r>
    </w:p>
    <w:p>
      <w:pPr>
        <w:spacing w:line="240" w:lineRule="auto" w:before="5"/>
        <w:rPr>
          <w:sz w:val="4"/>
        </w:rPr>
      </w:pPr>
      <w:r>
        <w:rPr/>
        <w:br w:type="column"/>
      </w:r>
      <w:r>
        <w:rPr>
          <w:sz w:val="4"/>
        </w:rPr>
      </w:r>
    </w:p>
    <w:p>
      <w:pPr>
        <w:pStyle w:val="BodyText"/>
        <w:spacing w:line="20" w:lineRule="exact"/>
        <w:ind w:left="1400"/>
        <w:rPr>
          <w:sz w:val="2"/>
        </w:rPr>
      </w:pPr>
      <w:r>
        <w:rPr>
          <w:sz w:val="2"/>
        </w:rPr>
        <w:pict>
          <v:group style="width:206.95pt;height:.7pt;mso-position-horizontal-relative:char;mso-position-vertical-relative:line" id="docshapegroup465" coordorigin="0,0" coordsize="4139,14">
            <v:rect style="position:absolute;left:0;top:0;width:4139;height:14" id="docshape466" filled="true" fillcolor="#000000" stroked="false">
              <v:fill type="solid"/>
            </v:rect>
          </v:group>
        </w:pict>
      </w:r>
      <w:r>
        <w:rPr>
          <w:sz w:val="2"/>
        </w:rPr>
      </w:r>
    </w:p>
    <w:p>
      <w:pPr>
        <w:pStyle w:val="ListParagraph"/>
        <w:numPr>
          <w:ilvl w:val="0"/>
          <w:numId w:val="36"/>
        </w:numPr>
        <w:tabs>
          <w:tab w:pos="1587" w:val="left" w:leader="none"/>
        </w:tabs>
        <w:spacing w:line="259" w:lineRule="auto" w:before="64" w:after="0"/>
        <w:ind w:left="1586" w:right="1865" w:hanging="187"/>
        <w:jc w:val="left"/>
        <w:rPr>
          <w:sz w:val="18"/>
        </w:rPr>
      </w:pPr>
      <w:r>
        <w:rPr>
          <w:w w:val="105"/>
          <w:sz w:val="18"/>
        </w:rPr>
        <w:t>$65,000 in cash, payable in equal quarterly installments in arrears, and pro-rated for any partial year of service.</w:t>
      </w:r>
    </w:p>
    <w:p>
      <w:pPr>
        <w:pStyle w:val="ListParagraph"/>
        <w:numPr>
          <w:ilvl w:val="0"/>
          <w:numId w:val="36"/>
        </w:numPr>
        <w:tabs>
          <w:tab w:pos="1587" w:val="left" w:leader="none"/>
        </w:tabs>
        <w:spacing w:line="259" w:lineRule="auto" w:before="84" w:after="0"/>
        <w:ind w:left="1586" w:right="1439" w:hanging="187"/>
        <w:jc w:val="left"/>
        <w:rPr>
          <w:sz w:val="18"/>
        </w:rPr>
      </w:pPr>
      <w:r>
        <w:rPr>
          <w:w w:val="105"/>
          <w:sz w:val="18"/>
        </w:rPr>
        <w:t>Additional $40,000 in cash, payable in equal quarterly installments in arrears, and pro-rated for any partial year of service.</w:t>
      </w:r>
    </w:p>
    <w:p>
      <w:pPr>
        <w:pStyle w:val="BodyText"/>
        <w:rPr>
          <w:sz w:val="20"/>
        </w:rPr>
      </w:pPr>
    </w:p>
    <w:p>
      <w:pPr>
        <w:pStyle w:val="ListParagraph"/>
        <w:numPr>
          <w:ilvl w:val="0"/>
          <w:numId w:val="36"/>
        </w:numPr>
        <w:tabs>
          <w:tab w:pos="1587" w:val="left" w:leader="none"/>
        </w:tabs>
        <w:spacing w:line="240" w:lineRule="auto" w:before="120" w:after="0"/>
        <w:ind w:left="1586" w:right="0" w:hanging="187"/>
        <w:jc w:val="left"/>
        <w:rPr>
          <w:sz w:val="18"/>
        </w:rPr>
      </w:pPr>
      <w:r>
        <w:rPr>
          <w:w w:val="105"/>
          <w:sz w:val="18"/>
        </w:rPr>
        <w:t>$15,000</w:t>
      </w:r>
      <w:r>
        <w:rPr>
          <w:spacing w:val="8"/>
          <w:w w:val="105"/>
          <w:sz w:val="18"/>
        </w:rPr>
        <w:t> </w:t>
      </w:r>
      <w:r>
        <w:rPr>
          <w:w w:val="105"/>
          <w:sz w:val="18"/>
        </w:rPr>
        <w:t>in</w:t>
      </w:r>
      <w:r>
        <w:rPr>
          <w:spacing w:val="10"/>
          <w:w w:val="105"/>
          <w:sz w:val="18"/>
        </w:rPr>
        <w:t> </w:t>
      </w:r>
      <w:r>
        <w:rPr>
          <w:spacing w:val="-4"/>
          <w:w w:val="105"/>
          <w:sz w:val="18"/>
        </w:rPr>
        <w:t>cash</w:t>
      </w:r>
    </w:p>
    <w:p>
      <w:pPr>
        <w:pStyle w:val="ListParagraph"/>
        <w:numPr>
          <w:ilvl w:val="0"/>
          <w:numId w:val="36"/>
        </w:numPr>
        <w:tabs>
          <w:tab w:pos="1587" w:val="left" w:leader="none"/>
        </w:tabs>
        <w:spacing w:line="240" w:lineRule="auto" w:before="73" w:after="0"/>
        <w:ind w:left="1586" w:right="0" w:hanging="187"/>
        <w:jc w:val="left"/>
        <w:rPr>
          <w:sz w:val="18"/>
        </w:rPr>
      </w:pPr>
      <w:r>
        <w:rPr>
          <w:w w:val="105"/>
          <w:sz w:val="18"/>
        </w:rPr>
        <w:t>$8,000</w:t>
      </w:r>
      <w:r>
        <w:rPr>
          <w:spacing w:val="9"/>
          <w:w w:val="105"/>
          <w:sz w:val="18"/>
        </w:rPr>
        <w:t> </w:t>
      </w:r>
      <w:r>
        <w:rPr>
          <w:w w:val="105"/>
          <w:sz w:val="18"/>
        </w:rPr>
        <w:t>in</w:t>
      </w:r>
      <w:r>
        <w:rPr>
          <w:spacing w:val="9"/>
          <w:w w:val="105"/>
          <w:sz w:val="18"/>
        </w:rPr>
        <w:t> </w:t>
      </w:r>
      <w:r>
        <w:rPr>
          <w:spacing w:val="-4"/>
          <w:w w:val="105"/>
          <w:sz w:val="18"/>
        </w:rPr>
        <w:t>cash</w:t>
      </w:r>
    </w:p>
    <w:p>
      <w:pPr>
        <w:pStyle w:val="ListParagraph"/>
        <w:numPr>
          <w:ilvl w:val="0"/>
          <w:numId w:val="36"/>
        </w:numPr>
        <w:tabs>
          <w:tab w:pos="1587" w:val="left" w:leader="none"/>
        </w:tabs>
        <w:spacing w:line="240" w:lineRule="auto" w:before="72" w:after="0"/>
        <w:ind w:left="1586" w:right="0" w:hanging="187"/>
        <w:jc w:val="left"/>
        <w:rPr>
          <w:sz w:val="18"/>
        </w:rPr>
      </w:pPr>
      <w:r>
        <w:rPr>
          <w:w w:val="105"/>
          <w:sz w:val="18"/>
        </w:rPr>
        <w:t>$7,000</w:t>
      </w:r>
      <w:r>
        <w:rPr>
          <w:spacing w:val="9"/>
          <w:w w:val="105"/>
          <w:sz w:val="18"/>
        </w:rPr>
        <w:t> </w:t>
      </w:r>
      <w:r>
        <w:rPr>
          <w:w w:val="105"/>
          <w:sz w:val="18"/>
        </w:rPr>
        <w:t>in</w:t>
      </w:r>
      <w:r>
        <w:rPr>
          <w:spacing w:val="9"/>
          <w:w w:val="105"/>
          <w:sz w:val="18"/>
        </w:rPr>
        <w:t> </w:t>
      </w:r>
      <w:r>
        <w:rPr>
          <w:spacing w:val="-4"/>
          <w:w w:val="105"/>
          <w:sz w:val="18"/>
        </w:rPr>
        <w:t>cash,</w:t>
      </w:r>
    </w:p>
    <w:p>
      <w:pPr>
        <w:pStyle w:val="BodyText"/>
        <w:spacing w:line="259" w:lineRule="auto" w:before="59"/>
        <w:ind w:left="1400" w:right="1537"/>
      </w:pPr>
      <w:r>
        <w:rPr>
          <w:w w:val="105"/>
        </w:rPr>
        <w:t>Payable in equal quarterly installments in arrears; and pro-rated for any partial year of service.</w:t>
      </w:r>
    </w:p>
    <w:p>
      <w:pPr>
        <w:pStyle w:val="BodyText"/>
        <w:rPr>
          <w:sz w:val="20"/>
        </w:rPr>
      </w:pPr>
    </w:p>
    <w:p>
      <w:pPr>
        <w:pStyle w:val="ListParagraph"/>
        <w:numPr>
          <w:ilvl w:val="0"/>
          <w:numId w:val="36"/>
        </w:numPr>
        <w:tabs>
          <w:tab w:pos="1587" w:val="left" w:leader="none"/>
        </w:tabs>
        <w:spacing w:line="240" w:lineRule="auto" w:before="120" w:after="0"/>
        <w:ind w:left="1586" w:right="0" w:hanging="187"/>
        <w:jc w:val="left"/>
        <w:rPr>
          <w:sz w:val="18"/>
        </w:rPr>
      </w:pPr>
      <w:r>
        <w:rPr>
          <w:w w:val="105"/>
          <w:sz w:val="18"/>
        </w:rPr>
        <w:t>$30,000</w:t>
      </w:r>
      <w:r>
        <w:rPr>
          <w:spacing w:val="8"/>
          <w:w w:val="105"/>
          <w:sz w:val="18"/>
        </w:rPr>
        <w:t> </w:t>
      </w:r>
      <w:r>
        <w:rPr>
          <w:w w:val="105"/>
          <w:sz w:val="18"/>
        </w:rPr>
        <w:t>in</w:t>
      </w:r>
      <w:r>
        <w:rPr>
          <w:spacing w:val="10"/>
          <w:w w:val="105"/>
          <w:sz w:val="18"/>
        </w:rPr>
        <w:t> </w:t>
      </w:r>
      <w:r>
        <w:rPr>
          <w:spacing w:val="-4"/>
          <w:w w:val="105"/>
          <w:sz w:val="18"/>
        </w:rPr>
        <w:t>cash</w:t>
      </w:r>
    </w:p>
    <w:p>
      <w:pPr>
        <w:pStyle w:val="ListParagraph"/>
        <w:numPr>
          <w:ilvl w:val="0"/>
          <w:numId w:val="36"/>
        </w:numPr>
        <w:tabs>
          <w:tab w:pos="1587" w:val="left" w:leader="none"/>
        </w:tabs>
        <w:spacing w:line="240" w:lineRule="auto" w:before="72" w:after="0"/>
        <w:ind w:left="1586" w:right="0" w:hanging="187"/>
        <w:jc w:val="left"/>
        <w:rPr>
          <w:sz w:val="18"/>
        </w:rPr>
      </w:pPr>
      <w:r>
        <w:rPr>
          <w:w w:val="105"/>
          <w:sz w:val="18"/>
        </w:rPr>
        <w:t>$18,000</w:t>
      </w:r>
      <w:r>
        <w:rPr>
          <w:spacing w:val="8"/>
          <w:w w:val="105"/>
          <w:sz w:val="18"/>
        </w:rPr>
        <w:t> </w:t>
      </w:r>
      <w:r>
        <w:rPr>
          <w:w w:val="105"/>
          <w:sz w:val="18"/>
        </w:rPr>
        <w:t>in</w:t>
      </w:r>
      <w:r>
        <w:rPr>
          <w:spacing w:val="10"/>
          <w:w w:val="105"/>
          <w:sz w:val="18"/>
        </w:rPr>
        <w:t> </w:t>
      </w:r>
      <w:r>
        <w:rPr>
          <w:spacing w:val="-4"/>
          <w:w w:val="105"/>
          <w:sz w:val="18"/>
        </w:rPr>
        <w:t>cash</w:t>
      </w:r>
    </w:p>
    <w:p>
      <w:pPr>
        <w:pStyle w:val="ListParagraph"/>
        <w:numPr>
          <w:ilvl w:val="0"/>
          <w:numId w:val="36"/>
        </w:numPr>
        <w:tabs>
          <w:tab w:pos="1587" w:val="left" w:leader="none"/>
        </w:tabs>
        <w:spacing w:line="240" w:lineRule="auto" w:before="73" w:after="0"/>
        <w:ind w:left="1586" w:right="0" w:hanging="187"/>
        <w:jc w:val="left"/>
        <w:rPr>
          <w:sz w:val="18"/>
        </w:rPr>
      </w:pPr>
      <w:r>
        <w:rPr>
          <w:w w:val="105"/>
          <w:sz w:val="18"/>
        </w:rPr>
        <w:t>$15,000</w:t>
      </w:r>
      <w:r>
        <w:rPr>
          <w:spacing w:val="8"/>
          <w:w w:val="105"/>
          <w:sz w:val="18"/>
        </w:rPr>
        <w:t> </w:t>
      </w:r>
      <w:r>
        <w:rPr>
          <w:w w:val="105"/>
          <w:sz w:val="18"/>
        </w:rPr>
        <w:t>in</w:t>
      </w:r>
      <w:r>
        <w:rPr>
          <w:spacing w:val="10"/>
          <w:w w:val="105"/>
          <w:sz w:val="18"/>
        </w:rPr>
        <w:t> </w:t>
      </w:r>
      <w:r>
        <w:rPr>
          <w:spacing w:val="-4"/>
          <w:w w:val="105"/>
          <w:sz w:val="18"/>
        </w:rPr>
        <w:t>cash</w:t>
      </w:r>
    </w:p>
    <w:p>
      <w:pPr>
        <w:spacing w:after="0" w:line="240" w:lineRule="auto"/>
        <w:jc w:val="left"/>
        <w:rPr>
          <w:sz w:val="18"/>
        </w:rPr>
        <w:sectPr>
          <w:type w:val="continuous"/>
          <w:pgSz w:w="12240" w:h="15840"/>
          <w:pgMar w:header="529" w:footer="1596" w:top="600" w:bottom="960" w:left="480" w:right="460"/>
          <w:cols w:num="2" w:equalWidth="0">
            <w:col w:w="3714" w:space="648"/>
            <w:col w:w="6938"/>
          </w:cols>
        </w:sectPr>
      </w:pPr>
    </w:p>
    <w:p>
      <w:pPr>
        <w:pStyle w:val="BodyText"/>
        <w:spacing w:line="259" w:lineRule="auto" w:before="59"/>
        <w:ind w:left="5761" w:right="1551"/>
      </w:pPr>
      <w:r>
        <w:rPr>
          <w:w w:val="105"/>
        </w:rPr>
        <w:t>Payable in equal quarterly installments in arrears, and pro-rated for any partial year of service.</w:t>
      </w:r>
    </w:p>
    <w:p>
      <w:pPr>
        <w:spacing w:after="0" w:line="259" w:lineRule="auto"/>
        <w:sectPr>
          <w:type w:val="continuous"/>
          <w:pgSz w:w="12240" w:h="15840"/>
          <w:pgMar w:header="529" w:footer="1596" w:top="600" w:bottom="960" w:left="480" w:right="460"/>
        </w:sectPr>
      </w:pPr>
    </w:p>
    <w:p>
      <w:pPr>
        <w:pStyle w:val="BodyText"/>
        <w:spacing w:before="84"/>
        <w:ind w:left="1400"/>
      </w:pPr>
      <w:r>
        <w:rPr/>
        <w:pict>
          <v:group style="position:absolute;margin-left:28.999998pt;margin-top:733.580322pt;width:555pt;height:1.4pt;mso-position-horizontal-relative:page;mso-position-vertical-relative:page;z-index:15800832" id="docshapegroup467" coordorigin="580,14672" coordsize="11100,28">
            <v:rect style="position:absolute;left:580;top:14671;width:11100;height:14" id="docshape468" filled="true" fillcolor="#999999" stroked="false">
              <v:fill type="solid"/>
            </v:rect>
            <v:shape style="position:absolute;left:579;top:14671;width:11100;height:28" id="docshape469" coordorigin="580,14672" coordsize="11100,28" path="m11680,14672l11666,14686,580,14686,580,14700,11666,14700,11680,14700,11680,14686,11680,14672xe" filled="true" fillcolor="#ededed" stroked="false">
              <v:path arrowok="t"/>
              <v:fill type="solid"/>
            </v:shape>
            <v:shape style="position:absolute;left:580;top:14671;width:14;height:28" id="docshape470" coordorigin="580,14672" coordsize="14,28" path="m580,14700l580,14672,594,14672,594,14686,580,14700xe" filled="true" fillcolor="#999999" stroked="false">
              <v:path arrowok="t"/>
              <v:fill type="solid"/>
            </v:shape>
            <w10:wrap type="none"/>
          </v:group>
        </w:pict>
      </w:r>
      <w:r>
        <w:rPr>
          <w:w w:val="105"/>
        </w:rPr>
        <w:t>Annual</w:t>
      </w:r>
      <w:r>
        <w:rPr>
          <w:spacing w:val="11"/>
          <w:w w:val="105"/>
        </w:rPr>
        <w:t> </w:t>
      </w:r>
      <w:r>
        <w:rPr>
          <w:spacing w:val="-2"/>
          <w:w w:val="105"/>
        </w:rPr>
        <w:t>Equity</w:t>
      </w:r>
    </w:p>
    <w:p>
      <w:pPr>
        <w:pStyle w:val="ListParagraph"/>
        <w:numPr>
          <w:ilvl w:val="0"/>
          <w:numId w:val="36"/>
        </w:numPr>
        <w:tabs>
          <w:tab w:pos="1587" w:val="left" w:leader="none"/>
        </w:tabs>
        <w:spacing w:line="259" w:lineRule="auto" w:before="84" w:after="0"/>
        <w:ind w:left="1586" w:right="1566" w:hanging="187"/>
        <w:jc w:val="left"/>
        <w:rPr>
          <w:sz w:val="18"/>
        </w:rPr>
      </w:pPr>
      <w:r>
        <w:rPr/>
        <w:br w:type="column"/>
      </w:r>
      <w:r>
        <w:rPr>
          <w:w w:val="105"/>
          <w:sz w:val="18"/>
        </w:rPr>
        <w:t>On or about our annual meeting of stockholders, non-employee directors will receive an annual award of DSUs with a grant date fair value of</w:t>
      </w:r>
    </w:p>
    <w:p>
      <w:pPr>
        <w:pStyle w:val="BodyText"/>
        <w:spacing w:line="259" w:lineRule="auto"/>
        <w:ind w:left="1586" w:right="1500"/>
      </w:pPr>
      <w:r>
        <w:rPr>
          <w:w w:val="105"/>
        </w:rPr>
        <w:t>$160,000, and the non-employee chair of the</w:t>
      </w:r>
      <w:r>
        <w:rPr>
          <w:spacing w:val="80"/>
          <w:w w:val="105"/>
        </w:rPr>
        <w:t> </w:t>
      </w:r>
      <w:r>
        <w:rPr>
          <w:w w:val="105"/>
        </w:rPr>
        <w:t>Board of Directors will receive an additional</w:t>
      </w:r>
      <w:r>
        <w:rPr>
          <w:spacing w:val="40"/>
          <w:w w:val="105"/>
        </w:rPr>
        <w:t> </w:t>
      </w:r>
      <w:r>
        <w:rPr>
          <w:w w:val="105"/>
        </w:rPr>
        <w:t>annual award of DSUs with a grant date fair value of $60,000. For fiscal year 2022, the annual grant was made on February 10, 2022.</w:t>
      </w:r>
    </w:p>
    <w:p>
      <w:pPr>
        <w:pStyle w:val="ListParagraph"/>
        <w:numPr>
          <w:ilvl w:val="0"/>
          <w:numId w:val="36"/>
        </w:numPr>
        <w:tabs>
          <w:tab w:pos="1587" w:val="left" w:leader="none"/>
        </w:tabs>
        <w:spacing w:line="259" w:lineRule="auto" w:before="85" w:after="0"/>
        <w:ind w:left="1586" w:right="1411" w:hanging="187"/>
        <w:jc w:val="left"/>
        <w:rPr>
          <w:sz w:val="18"/>
        </w:rPr>
      </w:pPr>
      <w:r>
        <w:rPr>
          <w:w w:val="105"/>
          <w:sz w:val="18"/>
        </w:rPr>
        <w:t>DSUs vest 100% after the earlier of the one-year anniversary of the grant date and the next annual meeting of stockholders that occurs after the grant date, subject to the applicable director’s continued service; provided however, that such DSUs will</w:t>
      </w:r>
      <w:r>
        <w:rPr>
          <w:spacing w:val="40"/>
          <w:w w:val="105"/>
          <w:sz w:val="18"/>
        </w:rPr>
        <w:t> </w:t>
      </w:r>
      <w:r>
        <w:rPr>
          <w:w w:val="105"/>
          <w:sz w:val="18"/>
        </w:rPr>
        <w:t>vest in full upon the earlier of (i) a termination of service due to the applicable director’s death, disability, retirement or (ii) a change in control of the Company.</w:t>
      </w:r>
    </w:p>
    <w:p>
      <w:pPr>
        <w:pStyle w:val="ListParagraph"/>
        <w:numPr>
          <w:ilvl w:val="0"/>
          <w:numId w:val="36"/>
        </w:numPr>
        <w:tabs>
          <w:tab w:pos="1587" w:val="left" w:leader="none"/>
        </w:tabs>
        <w:spacing w:line="259" w:lineRule="auto" w:before="85" w:after="0"/>
        <w:ind w:left="1586" w:right="1409" w:hanging="187"/>
        <w:jc w:val="left"/>
        <w:rPr>
          <w:sz w:val="18"/>
        </w:rPr>
      </w:pPr>
      <w:r>
        <w:rPr>
          <w:w w:val="105"/>
          <w:sz w:val="18"/>
        </w:rPr>
        <w:t>The DSUs will generally be settled for shares of</w:t>
      </w:r>
      <w:r>
        <w:rPr>
          <w:spacing w:val="80"/>
          <w:w w:val="105"/>
          <w:sz w:val="18"/>
        </w:rPr>
        <w:t> </w:t>
      </w:r>
      <w:r>
        <w:rPr>
          <w:w w:val="105"/>
          <w:sz w:val="18"/>
        </w:rPr>
        <w:t>our common stock on the earlier of (i) the</w:t>
      </w:r>
      <w:r>
        <w:rPr>
          <w:spacing w:val="40"/>
          <w:w w:val="105"/>
          <w:sz w:val="18"/>
        </w:rPr>
        <w:t> </w:t>
      </w:r>
      <w:r>
        <w:rPr>
          <w:w w:val="105"/>
          <w:sz w:val="18"/>
        </w:rPr>
        <w:t>applicable</w:t>
      </w:r>
      <w:r>
        <w:rPr>
          <w:spacing w:val="40"/>
          <w:w w:val="105"/>
          <w:sz w:val="18"/>
        </w:rPr>
        <w:t> </w:t>
      </w:r>
      <w:r>
        <w:rPr>
          <w:w w:val="105"/>
          <w:sz w:val="18"/>
        </w:rPr>
        <w:t>director’s</w:t>
      </w:r>
      <w:r>
        <w:rPr>
          <w:spacing w:val="40"/>
          <w:w w:val="105"/>
          <w:sz w:val="18"/>
        </w:rPr>
        <w:t> </w:t>
      </w:r>
      <w:r>
        <w:rPr>
          <w:w w:val="105"/>
          <w:sz w:val="18"/>
        </w:rPr>
        <w:t>termination</w:t>
      </w:r>
      <w:r>
        <w:rPr>
          <w:spacing w:val="40"/>
          <w:w w:val="105"/>
          <w:sz w:val="18"/>
        </w:rPr>
        <w:t> </w:t>
      </w:r>
      <w:r>
        <w:rPr>
          <w:w w:val="105"/>
          <w:sz w:val="18"/>
        </w:rPr>
        <w:t>of</w:t>
      </w:r>
      <w:r>
        <w:rPr>
          <w:spacing w:val="40"/>
          <w:w w:val="105"/>
          <w:sz w:val="18"/>
        </w:rPr>
        <w:t> </w:t>
      </w:r>
      <w:r>
        <w:rPr>
          <w:w w:val="105"/>
          <w:sz w:val="18"/>
        </w:rPr>
        <w:t>service</w:t>
      </w:r>
      <w:r>
        <w:rPr>
          <w:spacing w:val="40"/>
          <w:w w:val="105"/>
          <w:sz w:val="18"/>
        </w:rPr>
        <w:t> </w:t>
      </w:r>
      <w:r>
        <w:rPr>
          <w:w w:val="105"/>
          <w:sz w:val="18"/>
        </w:rPr>
        <w:t>for</w:t>
      </w:r>
      <w:r>
        <w:rPr>
          <w:w w:val="105"/>
          <w:sz w:val="18"/>
        </w:rPr>
        <w:t> any reason, (ii) the third anniversary of the date of grant, (iii) a change in control of the Company or</w:t>
      </w:r>
    </w:p>
    <w:p>
      <w:pPr>
        <w:pStyle w:val="BodyText"/>
        <w:spacing w:before="1"/>
        <w:ind w:left="1586"/>
      </w:pPr>
      <w:r>
        <w:rPr>
          <w:w w:val="105"/>
        </w:rPr>
        <w:t>(iv)</w:t>
      </w:r>
      <w:r>
        <w:rPr>
          <w:spacing w:val="13"/>
          <w:w w:val="105"/>
        </w:rPr>
        <w:t> </w:t>
      </w:r>
      <w:r>
        <w:rPr>
          <w:w w:val="105"/>
        </w:rPr>
        <w:t>the</w:t>
      </w:r>
      <w:r>
        <w:rPr>
          <w:spacing w:val="14"/>
          <w:w w:val="105"/>
        </w:rPr>
        <w:t> </w:t>
      </w:r>
      <w:r>
        <w:rPr>
          <w:w w:val="105"/>
        </w:rPr>
        <w:t>applicable</w:t>
      </w:r>
      <w:r>
        <w:rPr>
          <w:spacing w:val="14"/>
          <w:w w:val="105"/>
        </w:rPr>
        <w:t> </w:t>
      </w:r>
      <w:r>
        <w:rPr>
          <w:w w:val="105"/>
        </w:rPr>
        <w:t>director’s</w:t>
      </w:r>
      <w:r>
        <w:rPr>
          <w:spacing w:val="13"/>
          <w:w w:val="105"/>
        </w:rPr>
        <w:t> </w:t>
      </w:r>
      <w:r>
        <w:rPr>
          <w:spacing w:val="-2"/>
          <w:w w:val="105"/>
        </w:rPr>
        <w:t>death.</w:t>
      </w:r>
    </w:p>
    <w:p>
      <w:pPr>
        <w:spacing w:after="0"/>
        <w:sectPr>
          <w:type w:val="continuous"/>
          <w:pgSz w:w="12240" w:h="15840"/>
          <w:pgMar w:header="529" w:footer="1596" w:top="600" w:bottom="960" w:left="480" w:right="460"/>
          <w:cols w:num="2" w:equalWidth="0">
            <w:col w:w="2577" w:space="1784"/>
            <w:col w:w="6939"/>
          </w:cols>
        </w:sectPr>
      </w:pPr>
    </w:p>
    <w:p>
      <w:pPr>
        <w:pStyle w:val="BodyText"/>
        <w:rPr>
          <w:sz w:val="20"/>
        </w:rPr>
      </w:pPr>
    </w:p>
    <w:p>
      <w:pPr>
        <w:pStyle w:val="BodyText"/>
        <w:rPr>
          <w:sz w:val="20"/>
        </w:rPr>
      </w:pPr>
    </w:p>
    <w:p>
      <w:pPr>
        <w:pStyle w:val="BodyText"/>
        <w:spacing w:before="3"/>
        <w:rPr>
          <w:sz w:val="25"/>
        </w:rPr>
      </w:pPr>
    </w:p>
    <w:p>
      <w:pPr>
        <w:tabs>
          <w:tab w:pos="7478" w:val="left" w:leader="none"/>
        </w:tabs>
        <w:spacing w:before="92"/>
        <w:ind w:left="1400" w:right="0" w:firstLine="0"/>
        <w:jc w:val="left"/>
        <w:rPr>
          <w:b/>
          <w:sz w:val="15"/>
        </w:rPr>
      </w:pPr>
      <w:r>
        <w:rPr/>
        <w:pict>
          <v:rect style="position:absolute;margin-left:94.006287pt;margin-top:15.794708pt;width:206.901742pt;height:.698992pt;mso-position-horizontal-relative:page;mso-position-vertical-relative:paragraph;z-index:15802368" id="docshape477" filled="true" fillcolor="#000000" stroked="false">
            <v:fill type="solid"/>
            <w10:wrap type="none"/>
          </v:rect>
        </w:pict>
      </w:r>
      <w:r>
        <w:rPr>
          <w:b/>
          <w:spacing w:val="-2"/>
          <w:sz w:val="15"/>
        </w:rPr>
        <w:t>Component</w:t>
      </w:r>
      <w:r>
        <w:rPr>
          <w:b/>
          <w:sz w:val="15"/>
        </w:rPr>
        <w:tab/>
      </w:r>
      <w:r>
        <w:rPr>
          <w:b/>
          <w:spacing w:val="-2"/>
          <w:sz w:val="15"/>
        </w:rPr>
        <w:t>Description</w:t>
      </w:r>
    </w:p>
    <w:p>
      <w:pPr>
        <w:spacing w:after="0"/>
        <w:jc w:val="left"/>
        <w:rPr>
          <w:sz w:val="15"/>
        </w:rPr>
        <w:sectPr>
          <w:headerReference w:type="default" r:id="rId161"/>
          <w:footerReference w:type="default" r:id="rId162"/>
          <w:pgSz w:w="12240" w:h="15840"/>
          <w:pgMar w:header="529" w:footer="1833" w:top="720" w:bottom="2020" w:left="480" w:right="460"/>
        </w:sectPr>
      </w:pPr>
    </w:p>
    <w:p>
      <w:pPr>
        <w:pStyle w:val="BodyText"/>
        <w:spacing w:before="136"/>
        <w:ind w:left="1400"/>
      </w:pPr>
      <w:r>
        <w:rPr>
          <w:w w:val="105"/>
        </w:rPr>
        <w:t>Share</w:t>
      </w:r>
      <w:r>
        <w:rPr>
          <w:spacing w:val="12"/>
          <w:w w:val="105"/>
        </w:rPr>
        <w:t> </w:t>
      </w:r>
      <w:r>
        <w:rPr>
          <w:w w:val="105"/>
        </w:rPr>
        <w:t>Ownership</w:t>
      </w:r>
      <w:r>
        <w:rPr>
          <w:spacing w:val="13"/>
          <w:w w:val="105"/>
        </w:rPr>
        <w:t> </w:t>
      </w:r>
      <w:r>
        <w:rPr>
          <w:spacing w:val="-2"/>
          <w:w w:val="105"/>
        </w:rPr>
        <w:t>Guidelines</w:t>
      </w:r>
    </w:p>
    <w:p>
      <w:pPr>
        <w:spacing w:line="240" w:lineRule="auto" w:before="6"/>
        <w:rPr>
          <w:sz w:val="4"/>
        </w:rPr>
      </w:pPr>
      <w:r>
        <w:rPr/>
        <w:br w:type="column"/>
      </w:r>
      <w:r>
        <w:rPr>
          <w:sz w:val="4"/>
        </w:rPr>
      </w:r>
    </w:p>
    <w:p>
      <w:pPr>
        <w:pStyle w:val="BodyText"/>
        <w:spacing w:line="20" w:lineRule="exact"/>
        <w:ind w:left="1400"/>
        <w:rPr>
          <w:sz w:val="2"/>
        </w:rPr>
      </w:pPr>
      <w:r>
        <w:rPr>
          <w:sz w:val="2"/>
        </w:rPr>
        <w:pict>
          <v:group style="width:206.95pt;height:.7pt;mso-position-horizontal-relative:char;mso-position-vertical-relative:line" id="docshapegroup478" coordorigin="0,0" coordsize="4139,14">
            <v:rect style="position:absolute;left:0;top:0;width:4139;height:14" id="docshape479" filled="true" fillcolor="#000000" stroked="false">
              <v:fill type="solid"/>
            </v:rect>
          </v:group>
        </w:pict>
      </w:r>
      <w:r>
        <w:rPr>
          <w:sz w:val="2"/>
        </w:rPr>
      </w:r>
    </w:p>
    <w:p>
      <w:pPr>
        <w:pStyle w:val="ListParagraph"/>
        <w:numPr>
          <w:ilvl w:val="0"/>
          <w:numId w:val="36"/>
        </w:numPr>
        <w:tabs>
          <w:tab w:pos="1587" w:val="left" w:leader="none"/>
        </w:tabs>
        <w:spacing w:line="259" w:lineRule="auto" w:before="64" w:after="0"/>
        <w:ind w:left="1586" w:right="1636" w:hanging="187"/>
        <w:jc w:val="left"/>
        <w:rPr>
          <w:sz w:val="18"/>
        </w:rPr>
      </w:pPr>
      <w:r>
        <w:rPr>
          <w:w w:val="105"/>
          <w:sz w:val="18"/>
        </w:rPr>
        <w:t>Each non-employee director is expected to own shares valued at five times the annual Board service retainer fees.</w:t>
      </w:r>
    </w:p>
    <w:p>
      <w:pPr>
        <w:pStyle w:val="ListParagraph"/>
        <w:numPr>
          <w:ilvl w:val="0"/>
          <w:numId w:val="36"/>
        </w:numPr>
        <w:tabs>
          <w:tab w:pos="1587" w:val="left" w:leader="none"/>
        </w:tabs>
        <w:spacing w:line="259" w:lineRule="auto" w:before="84" w:after="0"/>
        <w:ind w:left="1586" w:right="1405" w:hanging="187"/>
        <w:jc w:val="left"/>
        <w:rPr>
          <w:sz w:val="18"/>
        </w:rPr>
      </w:pPr>
      <w:r>
        <w:rPr>
          <w:w w:val="105"/>
          <w:sz w:val="18"/>
        </w:rPr>
        <w:t>Shares underlying DSU awards held by the non- employee directors (whether or not vested) will be counted toward satisfaction of the guidelines.</w:t>
      </w:r>
    </w:p>
    <w:p>
      <w:pPr>
        <w:pStyle w:val="ListParagraph"/>
        <w:numPr>
          <w:ilvl w:val="0"/>
          <w:numId w:val="36"/>
        </w:numPr>
        <w:tabs>
          <w:tab w:pos="1587" w:val="left" w:leader="none"/>
        </w:tabs>
        <w:spacing w:line="240" w:lineRule="auto" w:before="84" w:after="0"/>
        <w:ind w:left="1586" w:right="0" w:hanging="187"/>
        <w:jc w:val="left"/>
        <w:rPr>
          <w:sz w:val="18"/>
        </w:rPr>
      </w:pPr>
      <w:r>
        <w:rPr>
          <w:w w:val="105"/>
          <w:sz w:val="18"/>
        </w:rPr>
        <w:t>Ownership</w:t>
      </w:r>
      <w:r>
        <w:rPr>
          <w:spacing w:val="11"/>
          <w:w w:val="105"/>
          <w:sz w:val="18"/>
        </w:rPr>
        <w:t> </w:t>
      </w:r>
      <w:r>
        <w:rPr>
          <w:w w:val="105"/>
          <w:sz w:val="18"/>
        </w:rPr>
        <w:t>levels</w:t>
      </w:r>
      <w:r>
        <w:rPr>
          <w:spacing w:val="12"/>
          <w:w w:val="105"/>
          <w:sz w:val="18"/>
        </w:rPr>
        <w:t> </w:t>
      </w:r>
      <w:r>
        <w:rPr>
          <w:w w:val="105"/>
          <w:sz w:val="18"/>
        </w:rPr>
        <w:t>must</w:t>
      </w:r>
      <w:r>
        <w:rPr>
          <w:spacing w:val="12"/>
          <w:w w:val="105"/>
          <w:sz w:val="18"/>
        </w:rPr>
        <w:t> </w:t>
      </w:r>
      <w:r>
        <w:rPr>
          <w:w w:val="105"/>
          <w:sz w:val="18"/>
        </w:rPr>
        <w:t>be</w:t>
      </w:r>
      <w:r>
        <w:rPr>
          <w:spacing w:val="11"/>
          <w:w w:val="105"/>
          <w:sz w:val="18"/>
        </w:rPr>
        <w:t> </w:t>
      </w:r>
      <w:r>
        <w:rPr>
          <w:w w:val="105"/>
          <w:sz w:val="18"/>
        </w:rPr>
        <w:t>achieved</w:t>
      </w:r>
      <w:r>
        <w:rPr>
          <w:spacing w:val="12"/>
          <w:w w:val="105"/>
          <w:sz w:val="18"/>
        </w:rPr>
        <w:t> </w:t>
      </w:r>
      <w:r>
        <w:rPr>
          <w:spacing w:val="-2"/>
          <w:w w:val="105"/>
          <w:sz w:val="18"/>
        </w:rPr>
        <w:t>within</w:t>
      </w:r>
    </w:p>
    <w:p>
      <w:pPr>
        <w:pStyle w:val="BodyText"/>
        <w:spacing w:line="259" w:lineRule="auto" w:before="17"/>
        <w:ind w:left="1586" w:right="1421"/>
      </w:pPr>
      <w:r>
        <w:rPr>
          <w:w w:val="105"/>
        </w:rPr>
        <w:t>five years from the date upon which an individual becomes a non-employee director; all non- employee directors have met the guidelines or are on track to do so within five years of joining the </w:t>
      </w:r>
      <w:r>
        <w:rPr>
          <w:spacing w:val="-2"/>
          <w:w w:val="105"/>
        </w:rPr>
        <w:t>Board.</w:t>
      </w:r>
    </w:p>
    <w:p>
      <w:pPr>
        <w:spacing w:after="0" w:line="259" w:lineRule="auto"/>
        <w:sectPr>
          <w:type w:val="continuous"/>
          <w:pgSz w:w="12240" w:h="15840"/>
          <w:pgMar w:header="529" w:footer="1833" w:top="600" w:bottom="960" w:left="480" w:right="460"/>
          <w:cols w:num="2" w:equalWidth="0">
            <w:col w:w="3676" w:space="685"/>
            <w:col w:w="6939"/>
          </w:cols>
        </w:sectPr>
      </w:pPr>
    </w:p>
    <w:p>
      <w:pPr>
        <w:pStyle w:val="BodyText"/>
        <w:spacing w:before="3"/>
      </w:pPr>
    </w:p>
    <w:p>
      <w:pPr>
        <w:pStyle w:val="BodyText"/>
        <w:spacing w:line="259" w:lineRule="auto" w:before="98"/>
        <w:ind w:left="1400" w:right="1551" w:firstLine="372"/>
      </w:pPr>
      <w:r>
        <w:rPr>
          <w:w w:val="105"/>
        </w:rPr>
        <w:t>Non-employee directors may elect to defer their cash retainers and/or meeting fees under our DCP, subject to the restrictions of applicable tax law. Please refer to the discussion in “— Nonqualified Deferred</w:t>
      </w:r>
      <w:r>
        <w:rPr>
          <w:spacing w:val="40"/>
          <w:w w:val="105"/>
        </w:rPr>
        <w:t> </w:t>
      </w:r>
      <w:r>
        <w:rPr>
          <w:w w:val="105"/>
        </w:rPr>
        <w:t>Compensation” above for more information. All directors are reimbursed for reasonable out-of-pocket expenses associated with attending Board and committee meetings, and for expenses related to attending</w:t>
      </w:r>
      <w:r>
        <w:rPr>
          <w:spacing w:val="40"/>
          <w:w w:val="105"/>
        </w:rPr>
        <w:t> </w:t>
      </w:r>
      <w:r>
        <w:rPr>
          <w:w w:val="105"/>
        </w:rPr>
        <w:t>continuing directors’ education programs.</w:t>
      </w:r>
    </w:p>
    <w:p>
      <w:pPr>
        <w:pStyle w:val="BodyText"/>
        <w:spacing w:line="259" w:lineRule="auto" w:before="155"/>
        <w:ind w:left="1400" w:right="1551" w:firstLine="372"/>
      </w:pPr>
      <w:r>
        <w:rPr>
          <w:w w:val="105"/>
        </w:rPr>
        <w:t>The following table sets forth the compensation received by each non-employee director during fiscal</w:t>
      </w:r>
      <w:r>
        <w:rPr>
          <w:spacing w:val="40"/>
          <w:w w:val="105"/>
        </w:rPr>
        <w:t> </w:t>
      </w:r>
      <w:r>
        <w:rPr>
          <w:w w:val="105"/>
        </w:rPr>
        <w:t>year 2022:</w:t>
      </w:r>
    </w:p>
    <w:p>
      <w:pPr>
        <w:pStyle w:val="BodyText"/>
        <w:spacing w:before="2"/>
        <w:rPr>
          <w:sz w:val="15"/>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9"/>
        <w:gridCol w:w="223"/>
        <w:gridCol w:w="699"/>
        <w:gridCol w:w="223"/>
        <w:gridCol w:w="702"/>
        <w:gridCol w:w="219"/>
        <w:gridCol w:w="894"/>
        <w:gridCol w:w="217"/>
        <w:gridCol w:w="887"/>
        <w:gridCol w:w="221"/>
        <w:gridCol w:w="702"/>
      </w:tblGrid>
      <w:tr>
        <w:trPr>
          <w:trHeight w:val="719" w:hRule="atLeast"/>
        </w:trPr>
        <w:tc>
          <w:tcPr>
            <w:tcW w:w="3509" w:type="dxa"/>
            <w:tcBorders>
              <w:bottom w:val="single" w:sz="6" w:space="0" w:color="000000"/>
            </w:tcBorders>
          </w:tcPr>
          <w:p>
            <w:pPr>
              <w:pStyle w:val="TableParagraph"/>
              <w:rPr>
                <w:sz w:val="16"/>
              </w:rPr>
            </w:pPr>
          </w:p>
          <w:p>
            <w:pPr>
              <w:pStyle w:val="TableParagraph"/>
              <w:rPr>
                <w:sz w:val="16"/>
              </w:rPr>
            </w:pPr>
          </w:p>
          <w:p>
            <w:pPr>
              <w:pStyle w:val="TableParagraph"/>
              <w:spacing w:before="128"/>
              <w:rPr>
                <w:b/>
                <w:sz w:val="15"/>
              </w:rPr>
            </w:pPr>
            <w:r>
              <w:rPr>
                <w:b/>
                <w:spacing w:val="-4"/>
                <w:sz w:val="15"/>
              </w:rPr>
              <w:t>Name</w:t>
            </w:r>
          </w:p>
        </w:tc>
        <w:tc>
          <w:tcPr>
            <w:tcW w:w="223" w:type="dxa"/>
          </w:tcPr>
          <w:p>
            <w:pPr>
              <w:pStyle w:val="TableParagraph"/>
              <w:rPr>
                <w:sz w:val="18"/>
              </w:rPr>
            </w:pPr>
          </w:p>
        </w:tc>
        <w:tc>
          <w:tcPr>
            <w:tcW w:w="699" w:type="dxa"/>
            <w:tcBorders>
              <w:bottom w:val="single" w:sz="6" w:space="0" w:color="000000"/>
            </w:tcBorders>
          </w:tcPr>
          <w:p>
            <w:pPr>
              <w:pStyle w:val="TableParagraph"/>
              <w:spacing w:line="232" w:lineRule="auto"/>
              <w:ind w:left="118" w:right="109" w:firstLine="96"/>
              <w:rPr>
                <w:b/>
                <w:sz w:val="15"/>
              </w:rPr>
            </w:pPr>
            <w:r>
              <w:rPr>
                <w:b/>
                <w:spacing w:val="-4"/>
                <w:sz w:val="15"/>
              </w:rPr>
              <w:t>Fees</w:t>
            </w:r>
            <w:r>
              <w:rPr>
                <w:b/>
                <w:spacing w:val="40"/>
                <w:sz w:val="15"/>
              </w:rPr>
              <w:t> </w:t>
            </w:r>
            <w:r>
              <w:rPr>
                <w:b/>
                <w:spacing w:val="-4"/>
                <w:sz w:val="15"/>
              </w:rPr>
              <w:t>Earned</w:t>
            </w:r>
            <w:r>
              <w:rPr>
                <w:b/>
                <w:spacing w:val="40"/>
                <w:sz w:val="15"/>
              </w:rPr>
              <w:t> </w:t>
            </w:r>
            <w:r>
              <w:rPr>
                <w:b/>
                <w:spacing w:val="-2"/>
                <w:sz w:val="15"/>
              </w:rPr>
              <w:t>or</w:t>
            </w:r>
            <w:r>
              <w:rPr>
                <w:b/>
                <w:spacing w:val="-9"/>
                <w:sz w:val="15"/>
              </w:rPr>
              <w:t> </w:t>
            </w:r>
            <w:r>
              <w:rPr>
                <w:b/>
                <w:spacing w:val="-2"/>
                <w:sz w:val="15"/>
              </w:rPr>
              <w:t>Paid</w:t>
            </w:r>
            <w:r>
              <w:rPr>
                <w:b/>
                <w:spacing w:val="40"/>
                <w:sz w:val="15"/>
              </w:rPr>
              <w:t> </w:t>
            </w:r>
            <w:r>
              <w:rPr>
                <w:b/>
                <w:spacing w:val="-2"/>
                <w:sz w:val="15"/>
              </w:rPr>
              <w:t>in</w:t>
            </w:r>
            <w:r>
              <w:rPr>
                <w:b/>
                <w:spacing w:val="-8"/>
                <w:sz w:val="15"/>
              </w:rPr>
              <w:t> </w:t>
            </w:r>
            <w:r>
              <w:rPr>
                <w:b/>
                <w:spacing w:val="-6"/>
                <w:sz w:val="15"/>
              </w:rPr>
              <w:t>Cash</w:t>
            </w:r>
          </w:p>
        </w:tc>
        <w:tc>
          <w:tcPr>
            <w:tcW w:w="223" w:type="dxa"/>
          </w:tcPr>
          <w:p>
            <w:pPr>
              <w:pStyle w:val="TableParagraph"/>
              <w:rPr>
                <w:sz w:val="18"/>
              </w:rPr>
            </w:pPr>
          </w:p>
        </w:tc>
        <w:tc>
          <w:tcPr>
            <w:tcW w:w="702" w:type="dxa"/>
            <w:tcBorders>
              <w:bottom w:val="single" w:sz="6" w:space="0" w:color="000000"/>
            </w:tcBorders>
          </w:tcPr>
          <w:p>
            <w:pPr>
              <w:pStyle w:val="TableParagraph"/>
              <w:rPr>
                <w:sz w:val="16"/>
              </w:rPr>
            </w:pPr>
          </w:p>
          <w:p>
            <w:pPr>
              <w:pStyle w:val="TableParagraph"/>
              <w:spacing w:before="10"/>
              <w:rPr>
                <w:sz w:val="12"/>
              </w:rPr>
            </w:pPr>
          </w:p>
          <w:p>
            <w:pPr>
              <w:pStyle w:val="TableParagraph"/>
              <w:spacing w:line="232" w:lineRule="auto"/>
              <w:ind w:left="68" w:right="51" w:firstLine="114"/>
              <w:rPr>
                <w:b/>
                <w:sz w:val="15"/>
              </w:rPr>
            </w:pPr>
            <w:r>
              <w:rPr>
                <w:b/>
                <w:spacing w:val="-4"/>
                <w:sz w:val="15"/>
              </w:rPr>
              <w:t>Stock</w:t>
            </w:r>
            <w:r>
              <w:rPr>
                <w:b/>
                <w:spacing w:val="40"/>
                <w:sz w:val="15"/>
              </w:rPr>
              <w:t> </w:t>
            </w:r>
            <w:r>
              <w:rPr>
                <w:b/>
                <w:spacing w:val="-6"/>
                <w:sz w:val="15"/>
              </w:rPr>
              <w:t>Awards</w:t>
            </w:r>
            <w:r>
              <w:rPr>
                <w:b/>
                <w:spacing w:val="-6"/>
                <w:sz w:val="15"/>
                <w:vertAlign w:val="superscript"/>
              </w:rPr>
              <w:t>(1)</w:t>
            </w:r>
          </w:p>
        </w:tc>
        <w:tc>
          <w:tcPr>
            <w:tcW w:w="219" w:type="dxa"/>
          </w:tcPr>
          <w:p>
            <w:pPr>
              <w:pStyle w:val="TableParagraph"/>
              <w:rPr>
                <w:sz w:val="18"/>
              </w:rPr>
            </w:pPr>
          </w:p>
        </w:tc>
        <w:tc>
          <w:tcPr>
            <w:tcW w:w="894" w:type="dxa"/>
            <w:tcBorders>
              <w:bottom w:val="single" w:sz="6" w:space="0" w:color="000000"/>
            </w:tcBorders>
          </w:tcPr>
          <w:p>
            <w:pPr>
              <w:pStyle w:val="TableParagraph"/>
              <w:spacing w:line="232" w:lineRule="auto"/>
              <w:ind w:left="7" w:hanging="1"/>
              <w:jc w:val="center"/>
              <w:rPr>
                <w:b/>
                <w:sz w:val="15"/>
              </w:rPr>
            </w:pPr>
            <w:r>
              <w:rPr>
                <w:b/>
                <w:spacing w:val="-2"/>
                <w:sz w:val="15"/>
              </w:rPr>
              <w:t>Nonqualified</w:t>
            </w:r>
            <w:r>
              <w:rPr>
                <w:b/>
                <w:spacing w:val="40"/>
                <w:sz w:val="15"/>
              </w:rPr>
              <w:t> </w:t>
            </w:r>
            <w:r>
              <w:rPr>
                <w:b/>
                <w:spacing w:val="-2"/>
                <w:sz w:val="15"/>
              </w:rPr>
              <w:t>Deferred</w:t>
            </w:r>
            <w:r>
              <w:rPr>
                <w:b/>
                <w:spacing w:val="40"/>
                <w:sz w:val="15"/>
              </w:rPr>
              <w:t> </w:t>
            </w:r>
            <w:r>
              <w:rPr>
                <w:b/>
                <w:spacing w:val="-6"/>
                <w:sz w:val="15"/>
              </w:rPr>
              <w:t>Compensation</w:t>
            </w:r>
            <w:r>
              <w:rPr>
                <w:b/>
                <w:spacing w:val="40"/>
                <w:sz w:val="15"/>
              </w:rPr>
              <w:t> </w:t>
            </w:r>
            <w:r>
              <w:rPr>
                <w:b/>
                <w:spacing w:val="-2"/>
                <w:sz w:val="15"/>
              </w:rPr>
              <w:t>Earnings</w:t>
            </w:r>
          </w:p>
        </w:tc>
        <w:tc>
          <w:tcPr>
            <w:tcW w:w="217" w:type="dxa"/>
          </w:tcPr>
          <w:p>
            <w:pPr>
              <w:pStyle w:val="TableParagraph"/>
              <w:rPr>
                <w:sz w:val="18"/>
              </w:rPr>
            </w:pPr>
          </w:p>
        </w:tc>
        <w:tc>
          <w:tcPr>
            <w:tcW w:w="887" w:type="dxa"/>
            <w:tcBorders>
              <w:bottom w:val="single" w:sz="6" w:space="0" w:color="000000"/>
            </w:tcBorders>
          </w:tcPr>
          <w:p>
            <w:pPr>
              <w:pStyle w:val="TableParagraph"/>
              <w:rPr>
                <w:sz w:val="16"/>
              </w:rPr>
            </w:pPr>
          </w:p>
          <w:p>
            <w:pPr>
              <w:pStyle w:val="TableParagraph"/>
              <w:spacing w:before="10"/>
              <w:rPr>
                <w:sz w:val="12"/>
              </w:rPr>
            </w:pPr>
          </w:p>
          <w:p>
            <w:pPr>
              <w:pStyle w:val="TableParagraph"/>
              <w:spacing w:line="232" w:lineRule="auto"/>
              <w:ind w:left="4" w:right="-15" w:firstLine="150"/>
              <w:rPr>
                <w:b/>
                <w:sz w:val="15"/>
              </w:rPr>
            </w:pPr>
            <w:r>
              <w:rPr>
                <w:b/>
                <w:sz w:val="15"/>
              </w:rPr>
              <w:t>All</w:t>
            </w:r>
            <w:r>
              <w:rPr>
                <w:b/>
                <w:spacing w:val="-10"/>
                <w:sz w:val="15"/>
              </w:rPr>
              <w:t> </w:t>
            </w:r>
            <w:r>
              <w:rPr>
                <w:b/>
                <w:sz w:val="15"/>
              </w:rPr>
              <w:t>Other</w:t>
            </w:r>
            <w:r>
              <w:rPr>
                <w:b/>
                <w:spacing w:val="40"/>
                <w:sz w:val="15"/>
              </w:rPr>
              <w:t> </w:t>
            </w:r>
            <w:r>
              <w:rPr>
                <w:b/>
                <w:spacing w:val="-4"/>
                <w:sz w:val="15"/>
              </w:rPr>
              <w:t>Compensation</w:t>
            </w:r>
          </w:p>
        </w:tc>
        <w:tc>
          <w:tcPr>
            <w:tcW w:w="221" w:type="dxa"/>
          </w:tcPr>
          <w:p>
            <w:pPr>
              <w:pStyle w:val="TableParagraph"/>
              <w:rPr>
                <w:sz w:val="18"/>
              </w:rPr>
            </w:pPr>
          </w:p>
        </w:tc>
        <w:tc>
          <w:tcPr>
            <w:tcW w:w="702" w:type="dxa"/>
            <w:tcBorders>
              <w:bottom w:val="single" w:sz="6" w:space="0" w:color="000000"/>
            </w:tcBorders>
          </w:tcPr>
          <w:p>
            <w:pPr>
              <w:pStyle w:val="TableParagraph"/>
              <w:rPr>
                <w:sz w:val="16"/>
              </w:rPr>
            </w:pPr>
          </w:p>
          <w:p>
            <w:pPr>
              <w:pStyle w:val="TableParagraph"/>
              <w:rPr>
                <w:sz w:val="16"/>
              </w:rPr>
            </w:pPr>
          </w:p>
          <w:p>
            <w:pPr>
              <w:pStyle w:val="TableParagraph"/>
              <w:spacing w:before="128"/>
              <w:ind w:left="169" w:right="160"/>
              <w:jc w:val="center"/>
              <w:rPr>
                <w:b/>
                <w:sz w:val="15"/>
              </w:rPr>
            </w:pPr>
            <w:r>
              <w:rPr>
                <w:b/>
                <w:spacing w:val="-2"/>
                <w:sz w:val="15"/>
              </w:rPr>
              <w:t>Total</w:t>
            </w:r>
          </w:p>
        </w:tc>
      </w:tr>
      <w:tr>
        <w:trPr>
          <w:trHeight w:val="308" w:hRule="atLeast"/>
        </w:trPr>
        <w:tc>
          <w:tcPr>
            <w:tcW w:w="3509" w:type="dxa"/>
            <w:tcBorders>
              <w:top w:val="single" w:sz="6" w:space="0" w:color="000000"/>
            </w:tcBorders>
          </w:tcPr>
          <w:p>
            <w:pPr>
              <w:pStyle w:val="TableParagraph"/>
              <w:spacing w:before="41"/>
              <w:rPr>
                <w:sz w:val="18"/>
              </w:rPr>
            </w:pPr>
            <w:r>
              <w:rPr>
                <w:w w:val="105"/>
                <w:sz w:val="18"/>
              </w:rPr>
              <w:t>Kathleen</w:t>
            </w:r>
            <w:r>
              <w:rPr>
                <w:spacing w:val="10"/>
                <w:w w:val="105"/>
                <w:sz w:val="18"/>
              </w:rPr>
              <w:t> </w:t>
            </w:r>
            <w:r>
              <w:rPr>
                <w:w w:val="105"/>
                <w:sz w:val="18"/>
              </w:rPr>
              <w:t>L.</w:t>
            </w:r>
            <w:r>
              <w:rPr>
                <w:spacing w:val="11"/>
                <w:w w:val="105"/>
                <w:sz w:val="18"/>
              </w:rPr>
              <w:t> </w:t>
            </w:r>
            <w:r>
              <w:rPr>
                <w:spacing w:val="-2"/>
                <w:w w:val="105"/>
                <w:sz w:val="18"/>
              </w:rPr>
              <w:t>Bardwell</w:t>
            </w:r>
            <w:r>
              <w:rPr>
                <w:spacing w:val="-2"/>
                <w:w w:val="105"/>
                <w:sz w:val="18"/>
                <w:vertAlign w:val="superscript"/>
              </w:rPr>
              <w:t>(2)</w:t>
            </w:r>
          </w:p>
        </w:tc>
        <w:tc>
          <w:tcPr>
            <w:tcW w:w="223" w:type="dxa"/>
          </w:tcPr>
          <w:p>
            <w:pPr>
              <w:pStyle w:val="TableParagraph"/>
              <w:rPr>
                <w:sz w:val="18"/>
              </w:rPr>
            </w:pPr>
          </w:p>
        </w:tc>
        <w:tc>
          <w:tcPr>
            <w:tcW w:w="699" w:type="dxa"/>
            <w:tcBorders>
              <w:top w:val="single" w:sz="6" w:space="0" w:color="000000"/>
            </w:tcBorders>
          </w:tcPr>
          <w:p>
            <w:pPr>
              <w:pStyle w:val="TableParagraph"/>
              <w:spacing w:before="69"/>
              <w:ind w:right="-15"/>
              <w:jc w:val="center"/>
              <w:rPr>
                <w:sz w:val="18"/>
              </w:rPr>
            </w:pPr>
            <w:r>
              <w:rPr>
                <w:w w:val="105"/>
                <w:sz w:val="18"/>
              </w:rPr>
              <w:t>$</w:t>
            </w:r>
            <w:r>
              <w:rPr>
                <w:spacing w:val="45"/>
                <w:w w:val="105"/>
                <w:sz w:val="18"/>
              </w:rPr>
              <w:t> </w:t>
            </w:r>
            <w:r>
              <w:rPr>
                <w:spacing w:val="-2"/>
                <w:w w:val="105"/>
                <w:sz w:val="18"/>
              </w:rPr>
              <w:t>22,000</w:t>
            </w:r>
          </w:p>
        </w:tc>
        <w:tc>
          <w:tcPr>
            <w:tcW w:w="223" w:type="dxa"/>
          </w:tcPr>
          <w:p>
            <w:pPr>
              <w:pStyle w:val="TableParagraph"/>
              <w:rPr>
                <w:sz w:val="18"/>
              </w:rPr>
            </w:pPr>
          </w:p>
        </w:tc>
        <w:tc>
          <w:tcPr>
            <w:tcW w:w="702" w:type="dxa"/>
            <w:tcBorders>
              <w:top w:val="single" w:sz="6" w:space="0" w:color="000000"/>
            </w:tcBorders>
          </w:tcPr>
          <w:p>
            <w:pPr>
              <w:pStyle w:val="TableParagraph"/>
              <w:spacing w:before="69"/>
              <w:ind w:left="3" w:right="-15"/>
              <w:jc w:val="center"/>
              <w:rPr>
                <w:sz w:val="18"/>
              </w:rPr>
            </w:pPr>
            <w:r>
              <w:rPr>
                <w:w w:val="105"/>
                <w:sz w:val="18"/>
              </w:rPr>
              <w:t>$</w:t>
            </w:r>
            <w:r>
              <w:rPr>
                <w:spacing w:val="45"/>
                <w:w w:val="105"/>
                <w:sz w:val="18"/>
              </w:rPr>
              <w:t> </w:t>
            </w:r>
            <w:r>
              <w:rPr>
                <w:spacing w:val="-2"/>
                <w:w w:val="105"/>
                <w:sz w:val="18"/>
              </w:rPr>
              <w:t>85,918</w:t>
            </w:r>
          </w:p>
        </w:tc>
        <w:tc>
          <w:tcPr>
            <w:tcW w:w="219" w:type="dxa"/>
          </w:tcPr>
          <w:p>
            <w:pPr>
              <w:pStyle w:val="TableParagraph"/>
              <w:rPr>
                <w:sz w:val="18"/>
              </w:rPr>
            </w:pPr>
          </w:p>
        </w:tc>
        <w:tc>
          <w:tcPr>
            <w:tcW w:w="894" w:type="dxa"/>
            <w:tcBorders>
              <w:top w:val="single" w:sz="6" w:space="0" w:color="000000"/>
            </w:tcBorders>
          </w:tcPr>
          <w:p>
            <w:pPr>
              <w:pStyle w:val="TableParagraph"/>
              <w:spacing w:before="69"/>
              <w:ind w:right="348"/>
              <w:jc w:val="right"/>
              <w:rPr>
                <w:sz w:val="18"/>
              </w:rPr>
            </w:pPr>
            <w:r>
              <w:rPr>
                <w:w w:val="103"/>
                <w:sz w:val="18"/>
              </w:rPr>
              <w:t>—</w:t>
            </w:r>
          </w:p>
        </w:tc>
        <w:tc>
          <w:tcPr>
            <w:tcW w:w="217" w:type="dxa"/>
          </w:tcPr>
          <w:p>
            <w:pPr>
              <w:pStyle w:val="TableParagraph"/>
              <w:rPr>
                <w:sz w:val="18"/>
              </w:rPr>
            </w:pPr>
          </w:p>
        </w:tc>
        <w:tc>
          <w:tcPr>
            <w:tcW w:w="887" w:type="dxa"/>
            <w:tcBorders>
              <w:top w:val="single" w:sz="6" w:space="0" w:color="000000"/>
            </w:tcBorders>
          </w:tcPr>
          <w:p>
            <w:pPr>
              <w:pStyle w:val="TableParagraph"/>
              <w:spacing w:before="69"/>
              <w:ind w:left="6"/>
              <w:jc w:val="center"/>
              <w:rPr>
                <w:sz w:val="18"/>
              </w:rPr>
            </w:pPr>
            <w:r>
              <w:rPr>
                <w:w w:val="103"/>
                <w:sz w:val="18"/>
              </w:rPr>
              <w:t>—</w:t>
            </w:r>
          </w:p>
        </w:tc>
        <w:tc>
          <w:tcPr>
            <w:tcW w:w="221" w:type="dxa"/>
          </w:tcPr>
          <w:p>
            <w:pPr>
              <w:pStyle w:val="TableParagraph"/>
              <w:rPr>
                <w:sz w:val="18"/>
              </w:rPr>
            </w:pPr>
          </w:p>
        </w:tc>
        <w:tc>
          <w:tcPr>
            <w:tcW w:w="702" w:type="dxa"/>
            <w:tcBorders>
              <w:top w:val="single" w:sz="6" w:space="0" w:color="000000"/>
            </w:tcBorders>
          </w:tcPr>
          <w:p>
            <w:pPr>
              <w:pStyle w:val="TableParagraph"/>
              <w:spacing w:before="69"/>
              <w:ind w:left="3" w:right="-15"/>
              <w:jc w:val="center"/>
              <w:rPr>
                <w:sz w:val="18"/>
              </w:rPr>
            </w:pPr>
            <w:r>
              <w:rPr>
                <w:spacing w:val="-2"/>
                <w:w w:val="105"/>
                <w:sz w:val="18"/>
              </w:rPr>
              <w:t>$107,918</w:t>
            </w:r>
          </w:p>
        </w:tc>
      </w:tr>
      <w:tr>
        <w:trPr>
          <w:trHeight w:val="313" w:hRule="atLeast"/>
        </w:trPr>
        <w:tc>
          <w:tcPr>
            <w:tcW w:w="3509" w:type="dxa"/>
          </w:tcPr>
          <w:p>
            <w:pPr>
              <w:pStyle w:val="TableParagraph"/>
              <w:spacing w:before="40"/>
              <w:rPr>
                <w:sz w:val="18"/>
              </w:rPr>
            </w:pPr>
            <w:r>
              <w:rPr>
                <w:w w:val="105"/>
                <w:sz w:val="18"/>
              </w:rPr>
              <w:t>Jocelyn</w:t>
            </w:r>
            <w:r>
              <w:rPr>
                <w:spacing w:val="14"/>
                <w:w w:val="105"/>
                <w:sz w:val="18"/>
              </w:rPr>
              <w:t> </w:t>
            </w:r>
            <w:r>
              <w:rPr>
                <w:w w:val="105"/>
                <w:sz w:val="18"/>
              </w:rPr>
              <w:t>Chertoff,</w:t>
            </w:r>
            <w:r>
              <w:rPr>
                <w:spacing w:val="14"/>
                <w:w w:val="105"/>
                <w:sz w:val="18"/>
              </w:rPr>
              <w:t> </w:t>
            </w:r>
            <w:r>
              <w:rPr>
                <w:spacing w:val="-2"/>
                <w:w w:val="105"/>
                <w:sz w:val="18"/>
              </w:rPr>
              <w:t>M.D.</w:t>
            </w:r>
            <w:r>
              <w:rPr>
                <w:spacing w:val="-2"/>
                <w:w w:val="105"/>
                <w:sz w:val="18"/>
                <w:vertAlign w:val="superscript"/>
              </w:rPr>
              <w:t>(3)</w:t>
            </w:r>
          </w:p>
        </w:tc>
        <w:tc>
          <w:tcPr>
            <w:tcW w:w="223" w:type="dxa"/>
          </w:tcPr>
          <w:p>
            <w:pPr>
              <w:pStyle w:val="TableParagraph"/>
              <w:rPr>
                <w:sz w:val="18"/>
              </w:rPr>
            </w:pPr>
          </w:p>
        </w:tc>
        <w:tc>
          <w:tcPr>
            <w:tcW w:w="699" w:type="dxa"/>
          </w:tcPr>
          <w:p>
            <w:pPr>
              <w:pStyle w:val="TableParagraph"/>
              <w:spacing w:before="68"/>
              <w:ind w:right="-15"/>
              <w:jc w:val="center"/>
              <w:rPr>
                <w:sz w:val="18"/>
              </w:rPr>
            </w:pPr>
            <w:r>
              <w:rPr>
                <w:w w:val="105"/>
                <w:sz w:val="18"/>
              </w:rPr>
              <w:t>$</w:t>
            </w:r>
            <w:r>
              <w:rPr>
                <w:spacing w:val="45"/>
                <w:w w:val="105"/>
                <w:sz w:val="18"/>
              </w:rPr>
              <w:t> </w:t>
            </w:r>
            <w:r>
              <w:rPr>
                <w:spacing w:val="-2"/>
                <w:w w:val="105"/>
                <w:sz w:val="18"/>
              </w:rPr>
              <w:t>95,000</w:t>
            </w:r>
          </w:p>
        </w:tc>
        <w:tc>
          <w:tcPr>
            <w:tcW w:w="223" w:type="dxa"/>
          </w:tcPr>
          <w:p>
            <w:pPr>
              <w:pStyle w:val="TableParagraph"/>
              <w:rPr>
                <w:sz w:val="18"/>
              </w:rPr>
            </w:pPr>
          </w:p>
        </w:tc>
        <w:tc>
          <w:tcPr>
            <w:tcW w:w="702" w:type="dxa"/>
          </w:tcPr>
          <w:p>
            <w:pPr>
              <w:pStyle w:val="TableParagraph"/>
              <w:spacing w:before="68"/>
              <w:ind w:left="3" w:right="-15"/>
              <w:jc w:val="center"/>
              <w:rPr>
                <w:sz w:val="18"/>
              </w:rPr>
            </w:pPr>
            <w:r>
              <w:rPr>
                <w:spacing w:val="-2"/>
                <w:w w:val="105"/>
                <w:sz w:val="18"/>
              </w:rPr>
              <w:t>$159,983</w:t>
            </w:r>
          </w:p>
        </w:tc>
        <w:tc>
          <w:tcPr>
            <w:tcW w:w="219" w:type="dxa"/>
          </w:tcPr>
          <w:p>
            <w:pPr>
              <w:pStyle w:val="TableParagraph"/>
              <w:rPr>
                <w:sz w:val="18"/>
              </w:rPr>
            </w:pPr>
          </w:p>
        </w:tc>
        <w:tc>
          <w:tcPr>
            <w:tcW w:w="894" w:type="dxa"/>
          </w:tcPr>
          <w:p>
            <w:pPr>
              <w:pStyle w:val="TableParagraph"/>
              <w:spacing w:before="68"/>
              <w:ind w:right="348"/>
              <w:jc w:val="right"/>
              <w:rPr>
                <w:sz w:val="18"/>
              </w:rPr>
            </w:pPr>
            <w:r>
              <w:rPr>
                <w:w w:val="103"/>
                <w:sz w:val="18"/>
              </w:rPr>
              <w:t>—</w:t>
            </w:r>
          </w:p>
        </w:tc>
        <w:tc>
          <w:tcPr>
            <w:tcW w:w="217" w:type="dxa"/>
          </w:tcPr>
          <w:p>
            <w:pPr>
              <w:pStyle w:val="TableParagraph"/>
              <w:rPr>
                <w:sz w:val="18"/>
              </w:rPr>
            </w:pPr>
          </w:p>
        </w:tc>
        <w:tc>
          <w:tcPr>
            <w:tcW w:w="887" w:type="dxa"/>
          </w:tcPr>
          <w:p>
            <w:pPr>
              <w:pStyle w:val="TableParagraph"/>
              <w:spacing w:before="68"/>
              <w:ind w:left="6"/>
              <w:jc w:val="center"/>
              <w:rPr>
                <w:sz w:val="18"/>
              </w:rPr>
            </w:pPr>
            <w:r>
              <w:rPr>
                <w:w w:val="103"/>
                <w:sz w:val="18"/>
              </w:rPr>
              <w:t>—</w:t>
            </w:r>
          </w:p>
        </w:tc>
        <w:tc>
          <w:tcPr>
            <w:tcW w:w="221" w:type="dxa"/>
          </w:tcPr>
          <w:p>
            <w:pPr>
              <w:pStyle w:val="TableParagraph"/>
              <w:rPr>
                <w:sz w:val="18"/>
              </w:rPr>
            </w:pPr>
          </w:p>
        </w:tc>
        <w:tc>
          <w:tcPr>
            <w:tcW w:w="702" w:type="dxa"/>
          </w:tcPr>
          <w:p>
            <w:pPr>
              <w:pStyle w:val="TableParagraph"/>
              <w:spacing w:before="68"/>
              <w:ind w:left="3" w:right="-15"/>
              <w:jc w:val="center"/>
              <w:rPr>
                <w:sz w:val="18"/>
              </w:rPr>
            </w:pPr>
            <w:r>
              <w:rPr>
                <w:spacing w:val="-2"/>
                <w:w w:val="105"/>
                <w:sz w:val="18"/>
              </w:rPr>
              <w:t>$254,983</w:t>
            </w:r>
          </w:p>
        </w:tc>
      </w:tr>
      <w:tr>
        <w:trPr>
          <w:trHeight w:val="273" w:hRule="atLeast"/>
        </w:trPr>
        <w:tc>
          <w:tcPr>
            <w:tcW w:w="3509" w:type="dxa"/>
          </w:tcPr>
          <w:p>
            <w:pPr>
              <w:pStyle w:val="TableParagraph"/>
              <w:spacing w:before="34"/>
              <w:rPr>
                <w:sz w:val="18"/>
              </w:rPr>
            </w:pPr>
            <w:r>
              <w:rPr>
                <w:w w:val="105"/>
                <w:sz w:val="18"/>
              </w:rPr>
              <w:t>Timothy</w:t>
            </w:r>
            <w:r>
              <w:rPr>
                <w:spacing w:val="6"/>
                <w:w w:val="105"/>
                <w:sz w:val="18"/>
              </w:rPr>
              <w:t> </w:t>
            </w:r>
            <w:r>
              <w:rPr>
                <w:w w:val="105"/>
                <w:sz w:val="18"/>
              </w:rPr>
              <w:t>E.</w:t>
            </w:r>
            <w:r>
              <w:rPr>
                <w:spacing w:val="7"/>
                <w:w w:val="105"/>
                <w:sz w:val="18"/>
              </w:rPr>
              <w:t> </w:t>
            </w:r>
            <w:r>
              <w:rPr>
                <w:spacing w:val="-2"/>
                <w:w w:val="105"/>
                <w:sz w:val="18"/>
              </w:rPr>
              <w:t>Guertin</w:t>
            </w:r>
          </w:p>
        </w:tc>
        <w:tc>
          <w:tcPr>
            <w:tcW w:w="223" w:type="dxa"/>
          </w:tcPr>
          <w:p>
            <w:pPr>
              <w:pStyle w:val="TableParagraph"/>
              <w:rPr>
                <w:sz w:val="18"/>
              </w:rPr>
            </w:pPr>
          </w:p>
        </w:tc>
        <w:tc>
          <w:tcPr>
            <w:tcW w:w="699" w:type="dxa"/>
          </w:tcPr>
          <w:p>
            <w:pPr>
              <w:pStyle w:val="TableParagraph"/>
              <w:spacing w:before="34"/>
              <w:ind w:right="-15"/>
              <w:jc w:val="center"/>
              <w:rPr>
                <w:sz w:val="18"/>
              </w:rPr>
            </w:pPr>
            <w:r>
              <w:rPr>
                <w:w w:val="105"/>
                <w:sz w:val="18"/>
              </w:rPr>
              <w:t>$</w:t>
            </w:r>
            <w:r>
              <w:rPr>
                <w:spacing w:val="45"/>
                <w:w w:val="105"/>
                <w:sz w:val="18"/>
              </w:rPr>
              <w:t> </w:t>
            </w:r>
            <w:r>
              <w:rPr>
                <w:spacing w:val="-2"/>
                <w:w w:val="105"/>
                <w:sz w:val="18"/>
              </w:rPr>
              <w:t>80,000</w:t>
            </w:r>
          </w:p>
        </w:tc>
        <w:tc>
          <w:tcPr>
            <w:tcW w:w="223" w:type="dxa"/>
          </w:tcPr>
          <w:p>
            <w:pPr>
              <w:pStyle w:val="TableParagraph"/>
              <w:rPr>
                <w:sz w:val="18"/>
              </w:rPr>
            </w:pPr>
          </w:p>
        </w:tc>
        <w:tc>
          <w:tcPr>
            <w:tcW w:w="702" w:type="dxa"/>
          </w:tcPr>
          <w:p>
            <w:pPr>
              <w:pStyle w:val="TableParagraph"/>
              <w:spacing w:before="34"/>
              <w:ind w:left="3" w:right="-15"/>
              <w:jc w:val="center"/>
              <w:rPr>
                <w:sz w:val="18"/>
              </w:rPr>
            </w:pPr>
            <w:r>
              <w:rPr>
                <w:spacing w:val="-2"/>
                <w:w w:val="105"/>
                <w:sz w:val="18"/>
              </w:rPr>
              <w:t>$159,983</w:t>
            </w:r>
          </w:p>
        </w:tc>
        <w:tc>
          <w:tcPr>
            <w:tcW w:w="219" w:type="dxa"/>
          </w:tcPr>
          <w:p>
            <w:pPr>
              <w:pStyle w:val="TableParagraph"/>
              <w:rPr>
                <w:sz w:val="18"/>
              </w:rPr>
            </w:pPr>
          </w:p>
        </w:tc>
        <w:tc>
          <w:tcPr>
            <w:tcW w:w="894" w:type="dxa"/>
          </w:tcPr>
          <w:p>
            <w:pPr>
              <w:pStyle w:val="TableParagraph"/>
              <w:spacing w:before="34"/>
              <w:ind w:right="348"/>
              <w:jc w:val="right"/>
              <w:rPr>
                <w:sz w:val="18"/>
              </w:rPr>
            </w:pPr>
            <w:r>
              <w:rPr>
                <w:w w:val="103"/>
                <w:sz w:val="18"/>
              </w:rPr>
              <w:t>—</w:t>
            </w:r>
          </w:p>
        </w:tc>
        <w:tc>
          <w:tcPr>
            <w:tcW w:w="217" w:type="dxa"/>
          </w:tcPr>
          <w:p>
            <w:pPr>
              <w:pStyle w:val="TableParagraph"/>
              <w:rPr>
                <w:sz w:val="18"/>
              </w:rPr>
            </w:pPr>
          </w:p>
        </w:tc>
        <w:tc>
          <w:tcPr>
            <w:tcW w:w="887" w:type="dxa"/>
          </w:tcPr>
          <w:p>
            <w:pPr>
              <w:pStyle w:val="TableParagraph"/>
              <w:spacing w:before="34"/>
              <w:ind w:left="6"/>
              <w:jc w:val="center"/>
              <w:rPr>
                <w:sz w:val="18"/>
              </w:rPr>
            </w:pPr>
            <w:r>
              <w:rPr>
                <w:w w:val="103"/>
                <w:sz w:val="18"/>
              </w:rPr>
              <w:t>—</w:t>
            </w:r>
          </w:p>
        </w:tc>
        <w:tc>
          <w:tcPr>
            <w:tcW w:w="221" w:type="dxa"/>
          </w:tcPr>
          <w:p>
            <w:pPr>
              <w:pStyle w:val="TableParagraph"/>
              <w:rPr>
                <w:sz w:val="18"/>
              </w:rPr>
            </w:pPr>
          </w:p>
        </w:tc>
        <w:tc>
          <w:tcPr>
            <w:tcW w:w="702" w:type="dxa"/>
          </w:tcPr>
          <w:p>
            <w:pPr>
              <w:pStyle w:val="TableParagraph"/>
              <w:spacing w:before="34"/>
              <w:ind w:left="3" w:right="-15"/>
              <w:jc w:val="center"/>
              <w:rPr>
                <w:sz w:val="18"/>
              </w:rPr>
            </w:pPr>
            <w:r>
              <w:rPr>
                <w:spacing w:val="-2"/>
                <w:w w:val="105"/>
                <w:sz w:val="18"/>
              </w:rPr>
              <w:t>$239,983</w:t>
            </w:r>
          </w:p>
        </w:tc>
      </w:tr>
      <w:tr>
        <w:trPr>
          <w:trHeight w:val="307" w:hRule="atLeast"/>
        </w:trPr>
        <w:tc>
          <w:tcPr>
            <w:tcW w:w="3509" w:type="dxa"/>
          </w:tcPr>
          <w:p>
            <w:pPr>
              <w:pStyle w:val="TableParagraph"/>
              <w:spacing w:before="40"/>
              <w:rPr>
                <w:sz w:val="18"/>
              </w:rPr>
            </w:pPr>
            <w:r>
              <w:rPr>
                <w:w w:val="105"/>
                <w:sz w:val="18"/>
              </w:rPr>
              <w:t>Jay</w:t>
            </w:r>
            <w:r>
              <w:rPr>
                <w:spacing w:val="7"/>
                <w:w w:val="105"/>
                <w:sz w:val="18"/>
              </w:rPr>
              <w:t> </w:t>
            </w:r>
            <w:r>
              <w:rPr>
                <w:w w:val="105"/>
                <w:sz w:val="18"/>
              </w:rPr>
              <w:t>K.</w:t>
            </w:r>
            <w:r>
              <w:rPr>
                <w:spacing w:val="7"/>
                <w:w w:val="105"/>
                <w:sz w:val="18"/>
              </w:rPr>
              <w:t> </w:t>
            </w:r>
            <w:r>
              <w:rPr>
                <w:spacing w:val="-2"/>
                <w:w w:val="105"/>
                <w:sz w:val="18"/>
              </w:rPr>
              <w:t>Kunkel</w:t>
            </w:r>
            <w:r>
              <w:rPr>
                <w:spacing w:val="-2"/>
                <w:w w:val="105"/>
                <w:sz w:val="18"/>
                <w:vertAlign w:val="superscript"/>
              </w:rPr>
              <w:t>(4)</w:t>
            </w:r>
          </w:p>
        </w:tc>
        <w:tc>
          <w:tcPr>
            <w:tcW w:w="223" w:type="dxa"/>
          </w:tcPr>
          <w:p>
            <w:pPr>
              <w:pStyle w:val="TableParagraph"/>
              <w:rPr>
                <w:sz w:val="18"/>
              </w:rPr>
            </w:pPr>
          </w:p>
        </w:tc>
        <w:tc>
          <w:tcPr>
            <w:tcW w:w="699" w:type="dxa"/>
          </w:tcPr>
          <w:p>
            <w:pPr>
              <w:pStyle w:val="TableParagraph"/>
              <w:spacing w:before="68"/>
              <w:ind w:right="-15"/>
              <w:jc w:val="center"/>
              <w:rPr>
                <w:sz w:val="18"/>
              </w:rPr>
            </w:pPr>
            <w:r>
              <w:rPr>
                <w:w w:val="105"/>
                <w:sz w:val="18"/>
              </w:rPr>
              <w:t>$</w:t>
            </w:r>
            <w:r>
              <w:rPr>
                <w:spacing w:val="45"/>
                <w:w w:val="105"/>
                <w:sz w:val="18"/>
              </w:rPr>
              <w:t> </w:t>
            </w:r>
            <w:r>
              <w:rPr>
                <w:spacing w:val="-2"/>
                <w:w w:val="105"/>
                <w:sz w:val="18"/>
              </w:rPr>
              <w:t>88,000</w:t>
            </w:r>
          </w:p>
        </w:tc>
        <w:tc>
          <w:tcPr>
            <w:tcW w:w="223" w:type="dxa"/>
          </w:tcPr>
          <w:p>
            <w:pPr>
              <w:pStyle w:val="TableParagraph"/>
              <w:rPr>
                <w:sz w:val="18"/>
              </w:rPr>
            </w:pPr>
          </w:p>
        </w:tc>
        <w:tc>
          <w:tcPr>
            <w:tcW w:w="702" w:type="dxa"/>
          </w:tcPr>
          <w:p>
            <w:pPr>
              <w:pStyle w:val="TableParagraph"/>
              <w:spacing w:before="68"/>
              <w:ind w:left="3" w:right="-15"/>
              <w:jc w:val="center"/>
              <w:rPr>
                <w:sz w:val="18"/>
              </w:rPr>
            </w:pPr>
            <w:r>
              <w:rPr>
                <w:spacing w:val="-2"/>
                <w:w w:val="105"/>
                <w:sz w:val="18"/>
              </w:rPr>
              <w:t>$159,983</w:t>
            </w:r>
          </w:p>
        </w:tc>
        <w:tc>
          <w:tcPr>
            <w:tcW w:w="219" w:type="dxa"/>
          </w:tcPr>
          <w:p>
            <w:pPr>
              <w:pStyle w:val="TableParagraph"/>
              <w:rPr>
                <w:sz w:val="18"/>
              </w:rPr>
            </w:pPr>
          </w:p>
        </w:tc>
        <w:tc>
          <w:tcPr>
            <w:tcW w:w="894" w:type="dxa"/>
          </w:tcPr>
          <w:p>
            <w:pPr>
              <w:pStyle w:val="TableParagraph"/>
              <w:spacing w:before="68"/>
              <w:ind w:right="348"/>
              <w:jc w:val="right"/>
              <w:rPr>
                <w:sz w:val="18"/>
              </w:rPr>
            </w:pPr>
            <w:r>
              <w:rPr>
                <w:w w:val="103"/>
                <w:sz w:val="18"/>
              </w:rPr>
              <w:t>—</w:t>
            </w:r>
          </w:p>
        </w:tc>
        <w:tc>
          <w:tcPr>
            <w:tcW w:w="217" w:type="dxa"/>
          </w:tcPr>
          <w:p>
            <w:pPr>
              <w:pStyle w:val="TableParagraph"/>
              <w:rPr>
                <w:sz w:val="18"/>
              </w:rPr>
            </w:pPr>
          </w:p>
        </w:tc>
        <w:tc>
          <w:tcPr>
            <w:tcW w:w="887" w:type="dxa"/>
          </w:tcPr>
          <w:p>
            <w:pPr>
              <w:pStyle w:val="TableParagraph"/>
              <w:spacing w:before="68"/>
              <w:ind w:left="6"/>
              <w:jc w:val="center"/>
              <w:rPr>
                <w:sz w:val="18"/>
              </w:rPr>
            </w:pPr>
            <w:r>
              <w:rPr>
                <w:w w:val="103"/>
                <w:sz w:val="18"/>
              </w:rPr>
              <w:t>—</w:t>
            </w:r>
          </w:p>
        </w:tc>
        <w:tc>
          <w:tcPr>
            <w:tcW w:w="221" w:type="dxa"/>
          </w:tcPr>
          <w:p>
            <w:pPr>
              <w:pStyle w:val="TableParagraph"/>
              <w:rPr>
                <w:sz w:val="18"/>
              </w:rPr>
            </w:pPr>
          </w:p>
        </w:tc>
        <w:tc>
          <w:tcPr>
            <w:tcW w:w="702" w:type="dxa"/>
          </w:tcPr>
          <w:p>
            <w:pPr>
              <w:pStyle w:val="TableParagraph"/>
              <w:spacing w:before="68"/>
              <w:ind w:left="3" w:right="-15"/>
              <w:jc w:val="center"/>
              <w:rPr>
                <w:sz w:val="18"/>
              </w:rPr>
            </w:pPr>
            <w:r>
              <w:rPr>
                <w:spacing w:val="-2"/>
                <w:w w:val="105"/>
                <w:sz w:val="18"/>
              </w:rPr>
              <w:t>$247,983</w:t>
            </w:r>
          </w:p>
        </w:tc>
      </w:tr>
      <w:tr>
        <w:trPr>
          <w:trHeight w:val="313" w:hRule="atLeast"/>
        </w:trPr>
        <w:tc>
          <w:tcPr>
            <w:tcW w:w="3509" w:type="dxa"/>
          </w:tcPr>
          <w:p>
            <w:pPr>
              <w:pStyle w:val="TableParagraph"/>
              <w:spacing w:before="40"/>
              <w:rPr>
                <w:sz w:val="18"/>
              </w:rPr>
            </w:pPr>
            <w:r>
              <w:rPr>
                <w:sz w:val="18"/>
              </w:rPr>
              <w:t>Ruediger</w:t>
            </w:r>
            <w:r>
              <w:rPr>
                <w:spacing w:val="72"/>
                <w:sz w:val="18"/>
              </w:rPr>
              <w:t> </w:t>
            </w:r>
            <w:r>
              <w:rPr>
                <w:sz w:val="18"/>
              </w:rPr>
              <w:t>Naumann-Etienne,</w:t>
            </w:r>
            <w:r>
              <w:rPr>
                <w:spacing w:val="72"/>
                <w:sz w:val="18"/>
              </w:rPr>
              <w:t> </w:t>
            </w:r>
            <w:r>
              <w:rPr>
                <w:spacing w:val="-2"/>
                <w:sz w:val="18"/>
              </w:rPr>
              <w:t>PhD</w:t>
            </w:r>
            <w:r>
              <w:rPr>
                <w:spacing w:val="-2"/>
                <w:sz w:val="18"/>
                <w:vertAlign w:val="superscript"/>
              </w:rPr>
              <w:t>(5)</w:t>
            </w:r>
          </w:p>
        </w:tc>
        <w:tc>
          <w:tcPr>
            <w:tcW w:w="223" w:type="dxa"/>
          </w:tcPr>
          <w:p>
            <w:pPr>
              <w:pStyle w:val="TableParagraph"/>
              <w:rPr>
                <w:sz w:val="18"/>
              </w:rPr>
            </w:pPr>
          </w:p>
        </w:tc>
        <w:tc>
          <w:tcPr>
            <w:tcW w:w="699" w:type="dxa"/>
          </w:tcPr>
          <w:p>
            <w:pPr>
              <w:pStyle w:val="TableParagraph"/>
              <w:spacing w:before="68"/>
              <w:ind w:right="-15"/>
              <w:jc w:val="center"/>
              <w:rPr>
                <w:sz w:val="18"/>
              </w:rPr>
            </w:pPr>
            <w:r>
              <w:rPr>
                <w:spacing w:val="-2"/>
                <w:w w:val="105"/>
                <w:sz w:val="18"/>
              </w:rPr>
              <w:t>$128,000</w:t>
            </w:r>
          </w:p>
        </w:tc>
        <w:tc>
          <w:tcPr>
            <w:tcW w:w="223" w:type="dxa"/>
          </w:tcPr>
          <w:p>
            <w:pPr>
              <w:pStyle w:val="TableParagraph"/>
              <w:rPr>
                <w:sz w:val="18"/>
              </w:rPr>
            </w:pPr>
          </w:p>
        </w:tc>
        <w:tc>
          <w:tcPr>
            <w:tcW w:w="702" w:type="dxa"/>
          </w:tcPr>
          <w:p>
            <w:pPr>
              <w:pStyle w:val="TableParagraph"/>
              <w:spacing w:before="68"/>
              <w:ind w:left="3" w:right="-15"/>
              <w:jc w:val="center"/>
              <w:rPr>
                <w:sz w:val="18"/>
              </w:rPr>
            </w:pPr>
            <w:r>
              <w:rPr>
                <w:spacing w:val="-2"/>
                <w:w w:val="105"/>
                <w:sz w:val="18"/>
              </w:rPr>
              <w:t>$219,992</w:t>
            </w:r>
          </w:p>
        </w:tc>
        <w:tc>
          <w:tcPr>
            <w:tcW w:w="219" w:type="dxa"/>
          </w:tcPr>
          <w:p>
            <w:pPr>
              <w:pStyle w:val="TableParagraph"/>
              <w:rPr>
                <w:sz w:val="18"/>
              </w:rPr>
            </w:pPr>
          </w:p>
        </w:tc>
        <w:tc>
          <w:tcPr>
            <w:tcW w:w="894" w:type="dxa"/>
          </w:tcPr>
          <w:p>
            <w:pPr>
              <w:pStyle w:val="TableParagraph"/>
              <w:spacing w:before="68"/>
              <w:ind w:right="348"/>
              <w:jc w:val="right"/>
              <w:rPr>
                <w:sz w:val="18"/>
              </w:rPr>
            </w:pPr>
            <w:r>
              <w:rPr>
                <w:w w:val="103"/>
                <w:sz w:val="18"/>
              </w:rPr>
              <w:t>—</w:t>
            </w:r>
          </w:p>
        </w:tc>
        <w:tc>
          <w:tcPr>
            <w:tcW w:w="217" w:type="dxa"/>
          </w:tcPr>
          <w:p>
            <w:pPr>
              <w:pStyle w:val="TableParagraph"/>
              <w:rPr>
                <w:sz w:val="18"/>
              </w:rPr>
            </w:pPr>
          </w:p>
        </w:tc>
        <w:tc>
          <w:tcPr>
            <w:tcW w:w="887" w:type="dxa"/>
          </w:tcPr>
          <w:p>
            <w:pPr>
              <w:pStyle w:val="TableParagraph"/>
              <w:spacing w:before="68"/>
              <w:ind w:left="6"/>
              <w:jc w:val="center"/>
              <w:rPr>
                <w:sz w:val="18"/>
              </w:rPr>
            </w:pPr>
            <w:r>
              <w:rPr>
                <w:w w:val="103"/>
                <w:sz w:val="18"/>
              </w:rPr>
              <w:t>—</w:t>
            </w:r>
          </w:p>
        </w:tc>
        <w:tc>
          <w:tcPr>
            <w:tcW w:w="221" w:type="dxa"/>
          </w:tcPr>
          <w:p>
            <w:pPr>
              <w:pStyle w:val="TableParagraph"/>
              <w:rPr>
                <w:sz w:val="18"/>
              </w:rPr>
            </w:pPr>
          </w:p>
        </w:tc>
        <w:tc>
          <w:tcPr>
            <w:tcW w:w="702" w:type="dxa"/>
          </w:tcPr>
          <w:p>
            <w:pPr>
              <w:pStyle w:val="TableParagraph"/>
              <w:spacing w:before="68"/>
              <w:ind w:left="3" w:right="-15"/>
              <w:jc w:val="center"/>
              <w:rPr>
                <w:sz w:val="18"/>
              </w:rPr>
            </w:pPr>
            <w:r>
              <w:rPr>
                <w:spacing w:val="-2"/>
                <w:w w:val="105"/>
                <w:sz w:val="18"/>
              </w:rPr>
              <w:t>$347,992</w:t>
            </w:r>
          </w:p>
        </w:tc>
      </w:tr>
      <w:tr>
        <w:trPr>
          <w:trHeight w:val="279" w:hRule="atLeast"/>
        </w:trPr>
        <w:tc>
          <w:tcPr>
            <w:tcW w:w="3509" w:type="dxa"/>
          </w:tcPr>
          <w:p>
            <w:pPr>
              <w:pStyle w:val="TableParagraph"/>
              <w:spacing w:before="34"/>
              <w:rPr>
                <w:sz w:val="18"/>
              </w:rPr>
            </w:pPr>
            <w:r>
              <w:rPr>
                <w:w w:val="105"/>
                <w:sz w:val="18"/>
              </w:rPr>
              <w:t>Walter</w:t>
            </w:r>
            <w:r>
              <w:rPr>
                <w:spacing w:val="6"/>
                <w:w w:val="105"/>
                <w:sz w:val="18"/>
              </w:rPr>
              <w:t> </w:t>
            </w:r>
            <w:r>
              <w:rPr>
                <w:w w:val="105"/>
                <w:sz w:val="18"/>
              </w:rPr>
              <w:t>M</w:t>
            </w:r>
            <w:r>
              <w:rPr>
                <w:spacing w:val="6"/>
                <w:w w:val="105"/>
                <w:sz w:val="18"/>
              </w:rPr>
              <w:t> </w:t>
            </w:r>
            <w:r>
              <w:rPr>
                <w:w w:val="105"/>
                <w:sz w:val="18"/>
              </w:rPr>
              <w:t>Rosebrough,</w:t>
            </w:r>
            <w:r>
              <w:rPr>
                <w:spacing w:val="6"/>
                <w:w w:val="105"/>
                <w:sz w:val="18"/>
              </w:rPr>
              <w:t> </w:t>
            </w:r>
            <w:r>
              <w:rPr>
                <w:spacing w:val="-5"/>
                <w:w w:val="105"/>
                <w:sz w:val="18"/>
              </w:rPr>
              <w:t>Jr.</w:t>
            </w:r>
          </w:p>
        </w:tc>
        <w:tc>
          <w:tcPr>
            <w:tcW w:w="223" w:type="dxa"/>
          </w:tcPr>
          <w:p>
            <w:pPr>
              <w:pStyle w:val="TableParagraph"/>
              <w:rPr>
                <w:sz w:val="18"/>
              </w:rPr>
            </w:pPr>
          </w:p>
        </w:tc>
        <w:tc>
          <w:tcPr>
            <w:tcW w:w="699" w:type="dxa"/>
          </w:tcPr>
          <w:p>
            <w:pPr>
              <w:pStyle w:val="TableParagraph"/>
              <w:spacing w:before="34"/>
              <w:ind w:right="-15"/>
              <w:jc w:val="center"/>
              <w:rPr>
                <w:sz w:val="18"/>
              </w:rPr>
            </w:pPr>
            <w:r>
              <w:rPr>
                <w:w w:val="105"/>
                <w:sz w:val="18"/>
              </w:rPr>
              <w:t>$</w:t>
            </w:r>
            <w:r>
              <w:rPr>
                <w:spacing w:val="45"/>
                <w:w w:val="105"/>
                <w:sz w:val="18"/>
              </w:rPr>
              <w:t> </w:t>
            </w:r>
            <w:r>
              <w:rPr>
                <w:spacing w:val="-2"/>
                <w:w w:val="105"/>
                <w:sz w:val="18"/>
              </w:rPr>
              <w:t>90,000</w:t>
            </w:r>
          </w:p>
        </w:tc>
        <w:tc>
          <w:tcPr>
            <w:tcW w:w="223" w:type="dxa"/>
          </w:tcPr>
          <w:p>
            <w:pPr>
              <w:pStyle w:val="TableParagraph"/>
              <w:rPr>
                <w:sz w:val="18"/>
              </w:rPr>
            </w:pPr>
          </w:p>
        </w:tc>
        <w:tc>
          <w:tcPr>
            <w:tcW w:w="702" w:type="dxa"/>
          </w:tcPr>
          <w:p>
            <w:pPr>
              <w:pStyle w:val="TableParagraph"/>
              <w:spacing w:before="34"/>
              <w:ind w:left="3" w:right="-15"/>
              <w:jc w:val="center"/>
              <w:rPr>
                <w:sz w:val="18"/>
              </w:rPr>
            </w:pPr>
            <w:r>
              <w:rPr>
                <w:spacing w:val="-2"/>
                <w:w w:val="105"/>
                <w:sz w:val="18"/>
              </w:rPr>
              <w:t>$159,983</w:t>
            </w:r>
          </w:p>
        </w:tc>
        <w:tc>
          <w:tcPr>
            <w:tcW w:w="219" w:type="dxa"/>
          </w:tcPr>
          <w:p>
            <w:pPr>
              <w:pStyle w:val="TableParagraph"/>
              <w:rPr>
                <w:sz w:val="18"/>
              </w:rPr>
            </w:pPr>
          </w:p>
        </w:tc>
        <w:tc>
          <w:tcPr>
            <w:tcW w:w="894" w:type="dxa"/>
          </w:tcPr>
          <w:p>
            <w:pPr>
              <w:pStyle w:val="TableParagraph"/>
              <w:spacing w:before="34"/>
              <w:ind w:right="348"/>
              <w:jc w:val="right"/>
              <w:rPr>
                <w:sz w:val="18"/>
              </w:rPr>
            </w:pPr>
            <w:r>
              <w:rPr>
                <w:w w:val="103"/>
                <w:sz w:val="18"/>
              </w:rPr>
              <w:t>—</w:t>
            </w:r>
          </w:p>
        </w:tc>
        <w:tc>
          <w:tcPr>
            <w:tcW w:w="217" w:type="dxa"/>
          </w:tcPr>
          <w:p>
            <w:pPr>
              <w:pStyle w:val="TableParagraph"/>
              <w:rPr>
                <w:sz w:val="18"/>
              </w:rPr>
            </w:pPr>
          </w:p>
        </w:tc>
        <w:tc>
          <w:tcPr>
            <w:tcW w:w="887" w:type="dxa"/>
          </w:tcPr>
          <w:p>
            <w:pPr>
              <w:pStyle w:val="TableParagraph"/>
              <w:spacing w:before="34"/>
              <w:ind w:left="6"/>
              <w:jc w:val="center"/>
              <w:rPr>
                <w:sz w:val="18"/>
              </w:rPr>
            </w:pPr>
            <w:r>
              <w:rPr>
                <w:w w:val="103"/>
                <w:sz w:val="18"/>
              </w:rPr>
              <w:t>—</w:t>
            </w:r>
          </w:p>
        </w:tc>
        <w:tc>
          <w:tcPr>
            <w:tcW w:w="221" w:type="dxa"/>
          </w:tcPr>
          <w:p>
            <w:pPr>
              <w:pStyle w:val="TableParagraph"/>
              <w:rPr>
                <w:sz w:val="18"/>
              </w:rPr>
            </w:pPr>
          </w:p>
        </w:tc>
        <w:tc>
          <w:tcPr>
            <w:tcW w:w="702" w:type="dxa"/>
          </w:tcPr>
          <w:p>
            <w:pPr>
              <w:pStyle w:val="TableParagraph"/>
              <w:spacing w:before="34"/>
              <w:ind w:left="3" w:right="-15"/>
              <w:jc w:val="center"/>
              <w:rPr>
                <w:sz w:val="18"/>
              </w:rPr>
            </w:pPr>
            <w:r>
              <w:rPr>
                <w:spacing w:val="-2"/>
                <w:w w:val="105"/>
                <w:sz w:val="18"/>
              </w:rPr>
              <w:t>$249,983</w:t>
            </w:r>
          </w:p>
        </w:tc>
      </w:tr>
      <w:tr>
        <w:trPr>
          <w:trHeight w:val="242" w:hRule="atLeast"/>
        </w:trPr>
        <w:tc>
          <w:tcPr>
            <w:tcW w:w="3509" w:type="dxa"/>
          </w:tcPr>
          <w:p>
            <w:pPr>
              <w:pStyle w:val="TableParagraph"/>
              <w:spacing w:line="188" w:lineRule="exact" w:before="34"/>
              <w:rPr>
                <w:sz w:val="18"/>
              </w:rPr>
            </w:pPr>
            <w:r>
              <w:rPr>
                <w:w w:val="105"/>
                <w:sz w:val="18"/>
              </w:rPr>
              <w:t>Christine A.</w:t>
            </w:r>
            <w:r>
              <w:rPr>
                <w:spacing w:val="8"/>
                <w:w w:val="105"/>
                <w:sz w:val="18"/>
              </w:rPr>
              <w:t> </w:t>
            </w:r>
            <w:r>
              <w:rPr>
                <w:spacing w:val="-2"/>
                <w:w w:val="105"/>
                <w:sz w:val="18"/>
              </w:rPr>
              <w:t>Tsingos</w:t>
            </w:r>
          </w:p>
        </w:tc>
        <w:tc>
          <w:tcPr>
            <w:tcW w:w="223" w:type="dxa"/>
          </w:tcPr>
          <w:p>
            <w:pPr>
              <w:pStyle w:val="TableParagraph"/>
              <w:rPr>
                <w:sz w:val="16"/>
              </w:rPr>
            </w:pPr>
          </w:p>
        </w:tc>
        <w:tc>
          <w:tcPr>
            <w:tcW w:w="699" w:type="dxa"/>
          </w:tcPr>
          <w:p>
            <w:pPr>
              <w:pStyle w:val="TableParagraph"/>
              <w:spacing w:line="188" w:lineRule="exact" w:before="34"/>
              <w:ind w:right="-15"/>
              <w:jc w:val="center"/>
              <w:rPr>
                <w:sz w:val="18"/>
              </w:rPr>
            </w:pPr>
            <w:r>
              <w:rPr>
                <w:spacing w:val="-2"/>
                <w:w w:val="105"/>
                <w:sz w:val="18"/>
              </w:rPr>
              <w:t>$102,000</w:t>
            </w:r>
          </w:p>
        </w:tc>
        <w:tc>
          <w:tcPr>
            <w:tcW w:w="223" w:type="dxa"/>
          </w:tcPr>
          <w:p>
            <w:pPr>
              <w:pStyle w:val="TableParagraph"/>
              <w:rPr>
                <w:sz w:val="16"/>
              </w:rPr>
            </w:pPr>
          </w:p>
        </w:tc>
        <w:tc>
          <w:tcPr>
            <w:tcW w:w="702" w:type="dxa"/>
          </w:tcPr>
          <w:p>
            <w:pPr>
              <w:pStyle w:val="TableParagraph"/>
              <w:spacing w:line="188" w:lineRule="exact" w:before="34"/>
              <w:ind w:left="3" w:right="-15"/>
              <w:jc w:val="center"/>
              <w:rPr>
                <w:sz w:val="18"/>
              </w:rPr>
            </w:pPr>
            <w:r>
              <w:rPr>
                <w:spacing w:val="-2"/>
                <w:w w:val="105"/>
                <w:sz w:val="18"/>
              </w:rPr>
              <w:t>$159,983</w:t>
            </w:r>
          </w:p>
        </w:tc>
        <w:tc>
          <w:tcPr>
            <w:tcW w:w="219" w:type="dxa"/>
          </w:tcPr>
          <w:p>
            <w:pPr>
              <w:pStyle w:val="TableParagraph"/>
              <w:rPr>
                <w:sz w:val="16"/>
              </w:rPr>
            </w:pPr>
          </w:p>
        </w:tc>
        <w:tc>
          <w:tcPr>
            <w:tcW w:w="894" w:type="dxa"/>
          </w:tcPr>
          <w:p>
            <w:pPr>
              <w:pStyle w:val="TableParagraph"/>
              <w:spacing w:line="188" w:lineRule="exact" w:before="34"/>
              <w:ind w:right="348"/>
              <w:jc w:val="right"/>
              <w:rPr>
                <w:sz w:val="18"/>
              </w:rPr>
            </w:pPr>
            <w:r>
              <w:rPr>
                <w:w w:val="103"/>
                <w:sz w:val="18"/>
              </w:rPr>
              <w:t>—</w:t>
            </w:r>
          </w:p>
        </w:tc>
        <w:tc>
          <w:tcPr>
            <w:tcW w:w="217" w:type="dxa"/>
          </w:tcPr>
          <w:p>
            <w:pPr>
              <w:pStyle w:val="TableParagraph"/>
              <w:rPr>
                <w:sz w:val="16"/>
              </w:rPr>
            </w:pPr>
          </w:p>
        </w:tc>
        <w:tc>
          <w:tcPr>
            <w:tcW w:w="887" w:type="dxa"/>
          </w:tcPr>
          <w:p>
            <w:pPr>
              <w:pStyle w:val="TableParagraph"/>
              <w:spacing w:line="188" w:lineRule="exact" w:before="34"/>
              <w:ind w:left="6"/>
              <w:jc w:val="center"/>
              <w:rPr>
                <w:sz w:val="18"/>
              </w:rPr>
            </w:pPr>
            <w:r>
              <w:rPr>
                <w:w w:val="103"/>
                <w:sz w:val="18"/>
              </w:rPr>
              <w:t>—</w:t>
            </w:r>
          </w:p>
        </w:tc>
        <w:tc>
          <w:tcPr>
            <w:tcW w:w="221" w:type="dxa"/>
          </w:tcPr>
          <w:p>
            <w:pPr>
              <w:pStyle w:val="TableParagraph"/>
              <w:rPr>
                <w:sz w:val="16"/>
              </w:rPr>
            </w:pPr>
          </w:p>
        </w:tc>
        <w:tc>
          <w:tcPr>
            <w:tcW w:w="702" w:type="dxa"/>
          </w:tcPr>
          <w:p>
            <w:pPr>
              <w:pStyle w:val="TableParagraph"/>
              <w:spacing w:line="188" w:lineRule="exact" w:before="34"/>
              <w:ind w:left="3" w:right="-15"/>
              <w:jc w:val="center"/>
              <w:rPr>
                <w:sz w:val="18"/>
              </w:rPr>
            </w:pPr>
            <w:r>
              <w:rPr>
                <w:spacing w:val="-2"/>
                <w:w w:val="105"/>
                <w:sz w:val="18"/>
              </w:rPr>
              <w:t>$261,983</w:t>
            </w:r>
          </w:p>
        </w:tc>
      </w:tr>
    </w:tbl>
    <w:p>
      <w:pPr>
        <w:pStyle w:val="BodyText"/>
        <w:spacing w:before="3"/>
        <w:rPr>
          <w:sz w:val="20"/>
        </w:rPr>
      </w:pPr>
      <w:r>
        <w:rPr/>
        <w:pict>
          <v:rect style="position:absolute;margin-left:94.006287pt;margin-top:12.880106pt;width:100.654902pt;height:.698992pt;mso-position-horizontal-relative:page;mso-position-vertical-relative:paragraph;z-index:-15655424;mso-wrap-distance-left:0;mso-wrap-distance-right:0" id="docshape480" filled="true" fillcolor="#000000" stroked="false">
            <v:fill type="solid"/>
            <w10:wrap type="topAndBottom"/>
          </v:rect>
        </w:pict>
      </w:r>
    </w:p>
    <w:p>
      <w:pPr>
        <w:pStyle w:val="ListParagraph"/>
        <w:numPr>
          <w:ilvl w:val="0"/>
          <w:numId w:val="37"/>
        </w:numPr>
        <w:tabs>
          <w:tab w:pos="1773" w:val="left" w:leader="none"/>
        </w:tabs>
        <w:spacing w:line="259" w:lineRule="auto" w:before="153" w:after="0"/>
        <w:ind w:left="1772" w:right="1449" w:hanging="373"/>
        <w:jc w:val="left"/>
        <w:rPr>
          <w:sz w:val="18"/>
        </w:rPr>
      </w:pPr>
      <w:r>
        <w:rPr>
          <w:w w:val="105"/>
          <w:sz w:val="18"/>
        </w:rPr>
        <w:t>This</w:t>
      </w:r>
      <w:r>
        <w:rPr>
          <w:spacing w:val="24"/>
          <w:w w:val="105"/>
          <w:sz w:val="18"/>
        </w:rPr>
        <w:t> </w:t>
      </w:r>
      <w:r>
        <w:rPr>
          <w:w w:val="105"/>
          <w:sz w:val="18"/>
        </w:rPr>
        <w:t>column</w:t>
      </w:r>
      <w:r>
        <w:rPr>
          <w:spacing w:val="24"/>
          <w:w w:val="105"/>
          <w:sz w:val="18"/>
        </w:rPr>
        <w:t> </w:t>
      </w:r>
      <w:r>
        <w:rPr>
          <w:w w:val="105"/>
          <w:sz w:val="18"/>
        </w:rPr>
        <w:t>represents</w:t>
      </w:r>
      <w:r>
        <w:rPr>
          <w:spacing w:val="24"/>
          <w:w w:val="105"/>
          <w:sz w:val="18"/>
        </w:rPr>
        <w:t> </w:t>
      </w:r>
      <w:r>
        <w:rPr>
          <w:w w:val="105"/>
          <w:sz w:val="18"/>
        </w:rPr>
        <w:t>the</w:t>
      </w:r>
      <w:r>
        <w:rPr>
          <w:spacing w:val="24"/>
          <w:w w:val="105"/>
          <w:sz w:val="18"/>
        </w:rPr>
        <w:t> </w:t>
      </w:r>
      <w:r>
        <w:rPr>
          <w:w w:val="105"/>
          <w:sz w:val="18"/>
        </w:rPr>
        <w:t>aggregate</w:t>
      </w:r>
      <w:r>
        <w:rPr>
          <w:spacing w:val="24"/>
          <w:w w:val="105"/>
          <w:sz w:val="18"/>
        </w:rPr>
        <w:t> </w:t>
      </w:r>
      <w:r>
        <w:rPr>
          <w:w w:val="105"/>
          <w:sz w:val="18"/>
        </w:rPr>
        <w:t>grant</w:t>
      </w:r>
      <w:r>
        <w:rPr>
          <w:spacing w:val="24"/>
          <w:w w:val="105"/>
          <w:sz w:val="18"/>
        </w:rPr>
        <w:t> </w:t>
      </w:r>
      <w:r>
        <w:rPr>
          <w:w w:val="105"/>
          <w:sz w:val="18"/>
        </w:rPr>
        <w:t>date</w:t>
      </w:r>
      <w:r>
        <w:rPr>
          <w:spacing w:val="24"/>
          <w:w w:val="105"/>
          <w:sz w:val="18"/>
        </w:rPr>
        <w:t> </w:t>
      </w:r>
      <w:r>
        <w:rPr>
          <w:w w:val="105"/>
          <w:sz w:val="18"/>
        </w:rPr>
        <w:t>fair</w:t>
      </w:r>
      <w:r>
        <w:rPr>
          <w:spacing w:val="24"/>
          <w:w w:val="105"/>
          <w:sz w:val="18"/>
        </w:rPr>
        <w:t> </w:t>
      </w:r>
      <w:r>
        <w:rPr>
          <w:w w:val="105"/>
          <w:sz w:val="18"/>
        </w:rPr>
        <w:t>value</w:t>
      </w:r>
      <w:r>
        <w:rPr>
          <w:spacing w:val="24"/>
          <w:w w:val="105"/>
          <w:sz w:val="18"/>
        </w:rPr>
        <w:t> </w:t>
      </w:r>
      <w:r>
        <w:rPr>
          <w:w w:val="105"/>
          <w:sz w:val="18"/>
        </w:rPr>
        <w:t>of</w:t>
      </w:r>
      <w:r>
        <w:rPr>
          <w:spacing w:val="24"/>
          <w:w w:val="105"/>
          <w:sz w:val="18"/>
        </w:rPr>
        <w:t> </w:t>
      </w:r>
      <w:r>
        <w:rPr>
          <w:w w:val="105"/>
          <w:sz w:val="18"/>
        </w:rPr>
        <w:t>DSUs</w:t>
      </w:r>
      <w:r>
        <w:rPr>
          <w:spacing w:val="24"/>
          <w:w w:val="105"/>
          <w:sz w:val="18"/>
        </w:rPr>
        <w:t> </w:t>
      </w:r>
      <w:r>
        <w:rPr>
          <w:w w:val="105"/>
          <w:sz w:val="18"/>
        </w:rPr>
        <w:t>granted</w:t>
      </w:r>
      <w:r>
        <w:rPr>
          <w:spacing w:val="24"/>
          <w:w w:val="105"/>
          <w:sz w:val="18"/>
        </w:rPr>
        <w:t> </w:t>
      </w:r>
      <w:r>
        <w:rPr>
          <w:w w:val="105"/>
          <w:sz w:val="18"/>
        </w:rPr>
        <w:t>in</w:t>
      </w:r>
      <w:r>
        <w:rPr>
          <w:spacing w:val="24"/>
          <w:w w:val="105"/>
          <w:sz w:val="18"/>
        </w:rPr>
        <w:t> </w:t>
      </w:r>
      <w:r>
        <w:rPr>
          <w:w w:val="105"/>
          <w:sz w:val="18"/>
        </w:rPr>
        <w:t>fiscal</w:t>
      </w:r>
      <w:r>
        <w:rPr>
          <w:spacing w:val="24"/>
          <w:w w:val="105"/>
          <w:sz w:val="18"/>
        </w:rPr>
        <w:t> </w:t>
      </w:r>
      <w:r>
        <w:rPr>
          <w:w w:val="105"/>
          <w:sz w:val="18"/>
        </w:rPr>
        <w:t>year</w:t>
      </w:r>
      <w:r>
        <w:rPr>
          <w:spacing w:val="24"/>
          <w:w w:val="105"/>
          <w:sz w:val="18"/>
        </w:rPr>
        <w:t> </w:t>
      </w:r>
      <w:r>
        <w:rPr>
          <w:w w:val="105"/>
          <w:sz w:val="18"/>
        </w:rPr>
        <w:t>2022, computed in accordance with ASC 718. The grant date fair value for DSU awards granted in fiscal year 2022 was determined using the closing price of our common stock on the grant date multiplied by the</w:t>
      </w:r>
      <w:r>
        <w:rPr>
          <w:spacing w:val="40"/>
          <w:w w:val="105"/>
          <w:sz w:val="18"/>
        </w:rPr>
        <w:t> </w:t>
      </w:r>
      <w:r>
        <w:rPr>
          <w:w w:val="105"/>
          <w:sz w:val="18"/>
        </w:rPr>
        <w:t>number</w:t>
      </w:r>
      <w:r>
        <w:rPr>
          <w:spacing w:val="23"/>
          <w:w w:val="105"/>
          <w:sz w:val="18"/>
        </w:rPr>
        <w:t> </w:t>
      </w:r>
      <w:r>
        <w:rPr>
          <w:w w:val="105"/>
          <w:sz w:val="18"/>
        </w:rPr>
        <w:t>of</w:t>
      </w:r>
      <w:r>
        <w:rPr>
          <w:spacing w:val="23"/>
          <w:w w:val="105"/>
          <w:sz w:val="18"/>
        </w:rPr>
        <w:t> </w:t>
      </w:r>
      <w:r>
        <w:rPr>
          <w:w w:val="105"/>
          <w:sz w:val="18"/>
        </w:rPr>
        <w:t>shares</w:t>
      </w:r>
      <w:r>
        <w:rPr>
          <w:spacing w:val="23"/>
          <w:w w:val="105"/>
          <w:sz w:val="18"/>
        </w:rPr>
        <w:t> </w:t>
      </w:r>
      <w:r>
        <w:rPr>
          <w:w w:val="105"/>
          <w:sz w:val="18"/>
        </w:rPr>
        <w:t>subject</w:t>
      </w:r>
      <w:r>
        <w:rPr>
          <w:spacing w:val="23"/>
          <w:w w:val="105"/>
          <w:sz w:val="18"/>
        </w:rPr>
        <w:t> </w:t>
      </w:r>
      <w:r>
        <w:rPr>
          <w:w w:val="105"/>
          <w:sz w:val="18"/>
        </w:rPr>
        <w:t>to</w:t>
      </w:r>
      <w:r>
        <w:rPr>
          <w:spacing w:val="23"/>
          <w:w w:val="105"/>
          <w:sz w:val="18"/>
        </w:rPr>
        <w:t> </w:t>
      </w:r>
      <w:r>
        <w:rPr>
          <w:w w:val="105"/>
          <w:sz w:val="18"/>
        </w:rPr>
        <w:t>the</w:t>
      </w:r>
      <w:r>
        <w:rPr>
          <w:spacing w:val="23"/>
          <w:w w:val="105"/>
          <w:sz w:val="18"/>
        </w:rPr>
        <w:t> </w:t>
      </w:r>
      <w:r>
        <w:rPr>
          <w:w w:val="105"/>
          <w:sz w:val="18"/>
        </w:rPr>
        <w:t>award. These</w:t>
      </w:r>
      <w:r>
        <w:rPr>
          <w:spacing w:val="23"/>
          <w:w w:val="105"/>
          <w:sz w:val="18"/>
        </w:rPr>
        <w:t> </w:t>
      </w:r>
      <w:r>
        <w:rPr>
          <w:w w:val="105"/>
          <w:sz w:val="18"/>
        </w:rPr>
        <w:t>amounts</w:t>
      </w:r>
      <w:r>
        <w:rPr>
          <w:spacing w:val="23"/>
          <w:w w:val="105"/>
          <w:sz w:val="18"/>
        </w:rPr>
        <w:t> </w:t>
      </w:r>
      <w:r>
        <w:rPr>
          <w:w w:val="105"/>
          <w:sz w:val="18"/>
        </w:rPr>
        <w:t>reflect</w:t>
      </w:r>
      <w:r>
        <w:rPr>
          <w:spacing w:val="23"/>
          <w:w w:val="105"/>
          <w:sz w:val="18"/>
        </w:rPr>
        <w:t> </w:t>
      </w:r>
      <w:r>
        <w:rPr>
          <w:w w:val="105"/>
          <w:sz w:val="18"/>
        </w:rPr>
        <w:t>our</w:t>
      </w:r>
      <w:r>
        <w:rPr>
          <w:spacing w:val="23"/>
          <w:w w:val="105"/>
          <w:sz w:val="18"/>
        </w:rPr>
        <w:t> </w:t>
      </w:r>
      <w:r>
        <w:rPr>
          <w:w w:val="105"/>
          <w:sz w:val="18"/>
        </w:rPr>
        <w:t>calculation</w:t>
      </w:r>
      <w:r>
        <w:rPr>
          <w:spacing w:val="23"/>
          <w:w w:val="105"/>
          <w:sz w:val="18"/>
        </w:rPr>
        <w:t> </w:t>
      </w:r>
      <w:r>
        <w:rPr>
          <w:w w:val="105"/>
          <w:sz w:val="18"/>
        </w:rPr>
        <w:t>of</w:t>
      </w:r>
      <w:r>
        <w:rPr>
          <w:spacing w:val="23"/>
          <w:w w:val="105"/>
          <w:sz w:val="18"/>
        </w:rPr>
        <w:t> </w:t>
      </w:r>
      <w:r>
        <w:rPr>
          <w:w w:val="105"/>
          <w:sz w:val="18"/>
        </w:rPr>
        <w:t>the</w:t>
      </w:r>
      <w:r>
        <w:rPr>
          <w:spacing w:val="23"/>
          <w:w w:val="105"/>
          <w:sz w:val="18"/>
        </w:rPr>
        <w:t> </w:t>
      </w:r>
      <w:r>
        <w:rPr>
          <w:w w:val="105"/>
          <w:sz w:val="18"/>
        </w:rPr>
        <w:t>value</w:t>
      </w:r>
      <w:r>
        <w:rPr>
          <w:spacing w:val="23"/>
          <w:w w:val="105"/>
          <w:sz w:val="18"/>
        </w:rPr>
        <w:t> </w:t>
      </w:r>
      <w:r>
        <w:rPr>
          <w:w w:val="105"/>
          <w:sz w:val="18"/>
        </w:rPr>
        <w:t>of</w:t>
      </w:r>
      <w:r>
        <w:rPr>
          <w:spacing w:val="23"/>
          <w:w w:val="105"/>
          <w:sz w:val="18"/>
        </w:rPr>
        <w:t> </w:t>
      </w:r>
      <w:r>
        <w:rPr>
          <w:w w:val="105"/>
          <w:sz w:val="18"/>
        </w:rPr>
        <w:t>these awards, and do not necessarily correspond to the actual value that may ultimately be realized by the</w:t>
      </w:r>
      <w:r>
        <w:rPr>
          <w:spacing w:val="40"/>
          <w:w w:val="105"/>
          <w:sz w:val="18"/>
        </w:rPr>
        <w:t> </w:t>
      </w:r>
      <w:r>
        <w:rPr>
          <w:spacing w:val="-2"/>
          <w:w w:val="105"/>
          <w:sz w:val="18"/>
        </w:rPr>
        <w:t>directors.</w:t>
      </w:r>
    </w:p>
    <w:p>
      <w:pPr>
        <w:pStyle w:val="ListParagraph"/>
        <w:numPr>
          <w:ilvl w:val="0"/>
          <w:numId w:val="37"/>
        </w:numPr>
        <w:tabs>
          <w:tab w:pos="1773" w:val="left" w:leader="none"/>
        </w:tabs>
        <w:spacing w:line="259" w:lineRule="auto" w:before="71" w:after="0"/>
        <w:ind w:left="1772" w:right="1871" w:hanging="373"/>
        <w:jc w:val="left"/>
        <w:rPr>
          <w:sz w:val="18"/>
        </w:rPr>
      </w:pPr>
      <w:r>
        <w:rPr>
          <w:w w:val="105"/>
          <w:sz w:val="18"/>
        </w:rPr>
        <w:t>Ms. Bardwell joined the Board effective July 29, 2022 and amounts represent pro-rata payment of applicable compensation.</w:t>
      </w:r>
    </w:p>
    <w:p>
      <w:pPr>
        <w:pStyle w:val="ListParagraph"/>
        <w:numPr>
          <w:ilvl w:val="0"/>
          <w:numId w:val="37"/>
        </w:numPr>
        <w:tabs>
          <w:tab w:pos="1773" w:val="left" w:leader="none"/>
        </w:tabs>
        <w:spacing w:line="240" w:lineRule="auto" w:before="84" w:after="0"/>
        <w:ind w:left="1772" w:right="0" w:hanging="373"/>
        <w:jc w:val="left"/>
        <w:rPr>
          <w:sz w:val="18"/>
        </w:rPr>
      </w:pPr>
      <w:r>
        <w:rPr>
          <w:w w:val="105"/>
          <w:sz w:val="18"/>
        </w:rPr>
        <w:t>Annual</w:t>
      </w:r>
      <w:r>
        <w:rPr>
          <w:spacing w:val="11"/>
          <w:w w:val="105"/>
          <w:sz w:val="18"/>
        </w:rPr>
        <w:t> </w:t>
      </w:r>
      <w:r>
        <w:rPr>
          <w:w w:val="105"/>
          <w:sz w:val="18"/>
        </w:rPr>
        <w:t>cash</w:t>
      </w:r>
      <w:r>
        <w:rPr>
          <w:spacing w:val="11"/>
          <w:w w:val="105"/>
          <w:sz w:val="18"/>
        </w:rPr>
        <w:t> </w:t>
      </w:r>
      <w:r>
        <w:rPr>
          <w:w w:val="105"/>
          <w:sz w:val="18"/>
        </w:rPr>
        <w:t>director</w:t>
      </w:r>
      <w:r>
        <w:rPr>
          <w:spacing w:val="11"/>
          <w:w w:val="105"/>
          <w:sz w:val="18"/>
        </w:rPr>
        <w:t> </w:t>
      </w:r>
      <w:r>
        <w:rPr>
          <w:w w:val="105"/>
          <w:sz w:val="18"/>
        </w:rPr>
        <w:t>fees</w:t>
      </w:r>
      <w:r>
        <w:rPr>
          <w:spacing w:val="12"/>
          <w:w w:val="105"/>
          <w:sz w:val="18"/>
        </w:rPr>
        <w:t> </w:t>
      </w:r>
      <w:r>
        <w:rPr>
          <w:w w:val="105"/>
          <w:sz w:val="18"/>
        </w:rPr>
        <w:t>were</w:t>
      </w:r>
      <w:r>
        <w:rPr>
          <w:spacing w:val="11"/>
          <w:w w:val="105"/>
          <w:sz w:val="18"/>
        </w:rPr>
        <w:t> </w:t>
      </w:r>
      <w:r>
        <w:rPr>
          <w:w w:val="105"/>
          <w:sz w:val="18"/>
        </w:rPr>
        <w:t>deferred</w:t>
      </w:r>
      <w:r>
        <w:rPr>
          <w:spacing w:val="11"/>
          <w:w w:val="105"/>
          <w:sz w:val="18"/>
        </w:rPr>
        <w:t> </w:t>
      </w:r>
      <w:r>
        <w:rPr>
          <w:w w:val="105"/>
          <w:sz w:val="18"/>
        </w:rPr>
        <w:t>into</w:t>
      </w:r>
      <w:r>
        <w:rPr>
          <w:spacing w:val="11"/>
          <w:w w:val="105"/>
          <w:sz w:val="18"/>
        </w:rPr>
        <w:t> </w:t>
      </w:r>
      <w:r>
        <w:rPr>
          <w:w w:val="105"/>
          <w:sz w:val="18"/>
        </w:rPr>
        <w:t>the</w:t>
      </w:r>
      <w:r>
        <w:rPr>
          <w:spacing w:val="12"/>
          <w:w w:val="105"/>
          <w:sz w:val="18"/>
        </w:rPr>
        <w:t> </w:t>
      </w:r>
      <w:r>
        <w:rPr>
          <w:spacing w:val="-4"/>
          <w:w w:val="105"/>
          <w:sz w:val="18"/>
        </w:rPr>
        <w:t>DCP.</w:t>
      </w:r>
    </w:p>
    <w:p>
      <w:pPr>
        <w:pStyle w:val="ListParagraph"/>
        <w:numPr>
          <w:ilvl w:val="0"/>
          <w:numId w:val="37"/>
        </w:numPr>
        <w:tabs>
          <w:tab w:pos="1773" w:val="left" w:leader="none"/>
        </w:tabs>
        <w:spacing w:line="240" w:lineRule="auto" w:before="87" w:after="0"/>
        <w:ind w:left="1772" w:right="0" w:hanging="373"/>
        <w:jc w:val="left"/>
        <w:rPr>
          <w:sz w:val="18"/>
        </w:rPr>
      </w:pPr>
      <w:r>
        <w:rPr>
          <w:w w:val="105"/>
          <w:sz w:val="18"/>
        </w:rPr>
        <w:t>Does</w:t>
      </w:r>
      <w:r>
        <w:rPr>
          <w:spacing w:val="9"/>
          <w:w w:val="105"/>
          <w:sz w:val="18"/>
        </w:rPr>
        <w:t> </w:t>
      </w:r>
      <w:r>
        <w:rPr>
          <w:w w:val="105"/>
          <w:sz w:val="18"/>
        </w:rPr>
        <w:t>not</w:t>
      </w:r>
      <w:r>
        <w:rPr>
          <w:spacing w:val="10"/>
          <w:w w:val="105"/>
          <w:sz w:val="18"/>
        </w:rPr>
        <w:t> </w:t>
      </w:r>
      <w:r>
        <w:rPr>
          <w:w w:val="105"/>
          <w:sz w:val="18"/>
        </w:rPr>
        <w:t>include</w:t>
      </w:r>
      <w:r>
        <w:rPr>
          <w:spacing w:val="10"/>
          <w:w w:val="105"/>
          <w:sz w:val="18"/>
        </w:rPr>
        <w:t> </w:t>
      </w:r>
      <w:r>
        <w:rPr>
          <w:w w:val="105"/>
          <w:sz w:val="18"/>
        </w:rPr>
        <w:t>an</w:t>
      </w:r>
      <w:r>
        <w:rPr>
          <w:spacing w:val="10"/>
          <w:w w:val="105"/>
          <w:sz w:val="18"/>
        </w:rPr>
        <w:t> </w:t>
      </w:r>
      <w:r>
        <w:rPr>
          <w:w w:val="105"/>
          <w:sz w:val="18"/>
        </w:rPr>
        <w:t>amount</w:t>
      </w:r>
      <w:r>
        <w:rPr>
          <w:spacing w:val="9"/>
          <w:w w:val="105"/>
          <w:sz w:val="18"/>
        </w:rPr>
        <w:t> </w:t>
      </w:r>
      <w:r>
        <w:rPr>
          <w:w w:val="105"/>
          <w:sz w:val="18"/>
        </w:rPr>
        <w:t>of</w:t>
      </w:r>
      <w:r>
        <w:rPr>
          <w:spacing w:val="10"/>
          <w:w w:val="105"/>
          <w:sz w:val="18"/>
        </w:rPr>
        <w:t> </w:t>
      </w:r>
      <w:r>
        <w:rPr>
          <w:w w:val="105"/>
          <w:sz w:val="18"/>
        </w:rPr>
        <w:t>$24,000</w:t>
      </w:r>
      <w:r>
        <w:rPr>
          <w:spacing w:val="10"/>
          <w:w w:val="105"/>
          <w:sz w:val="18"/>
        </w:rPr>
        <w:t> </w:t>
      </w:r>
      <w:r>
        <w:rPr>
          <w:w w:val="105"/>
          <w:sz w:val="18"/>
        </w:rPr>
        <w:t>earned</w:t>
      </w:r>
      <w:r>
        <w:rPr>
          <w:spacing w:val="10"/>
          <w:w w:val="105"/>
          <w:sz w:val="18"/>
        </w:rPr>
        <w:t> </w:t>
      </w:r>
      <w:r>
        <w:rPr>
          <w:w w:val="105"/>
          <w:sz w:val="18"/>
        </w:rPr>
        <w:t>in</w:t>
      </w:r>
      <w:r>
        <w:rPr>
          <w:spacing w:val="10"/>
          <w:w w:val="105"/>
          <w:sz w:val="18"/>
        </w:rPr>
        <w:t> </w:t>
      </w:r>
      <w:r>
        <w:rPr>
          <w:w w:val="105"/>
          <w:sz w:val="18"/>
        </w:rPr>
        <w:t>fiscal</w:t>
      </w:r>
      <w:r>
        <w:rPr>
          <w:spacing w:val="9"/>
          <w:w w:val="105"/>
          <w:sz w:val="18"/>
        </w:rPr>
        <w:t> </w:t>
      </w:r>
      <w:r>
        <w:rPr>
          <w:w w:val="105"/>
          <w:sz w:val="18"/>
        </w:rPr>
        <w:t>year</w:t>
      </w:r>
      <w:r>
        <w:rPr>
          <w:spacing w:val="10"/>
          <w:w w:val="105"/>
          <w:sz w:val="18"/>
        </w:rPr>
        <w:t> </w:t>
      </w:r>
      <w:r>
        <w:rPr>
          <w:w w:val="105"/>
          <w:sz w:val="18"/>
        </w:rPr>
        <w:t>2018</w:t>
      </w:r>
      <w:r>
        <w:rPr>
          <w:spacing w:val="10"/>
          <w:w w:val="105"/>
          <w:sz w:val="18"/>
        </w:rPr>
        <w:t> </w:t>
      </w:r>
      <w:r>
        <w:rPr>
          <w:w w:val="105"/>
          <w:sz w:val="18"/>
        </w:rPr>
        <w:t>and</w:t>
      </w:r>
      <w:r>
        <w:rPr>
          <w:spacing w:val="10"/>
          <w:w w:val="105"/>
          <w:sz w:val="18"/>
        </w:rPr>
        <w:t> </w:t>
      </w:r>
      <w:r>
        <w:rPr>
          <w:w w:val="105"/>
          <w:sz w:val="18"/>
        </w:rPr>
        <w:t>paid</w:t>
      </w:r>
      <w:r>
        <w:rPr>
          <w:spacing w:val="10"/>
          <w:w w:val="105"/>
          <w:sz w:val="18"/>
        </w:rPr>
        <w:t> </w:t>
      </w:r>
      <w:r>
        <w:rPr>
          <w:w w:val="105"/>
          <w:sz w:val="18"/>
        </w:rPr>
        <w:t>in</w:t>
      </w:r>
      <w:r>
        <w:rPr>
          <w:spacing w:val="9"/>
          <w:w w:val="105"/>
          <w:sz w:val="18"/>
        </w:rPr>
        <w:t> </w:t>
      </w:r>
      <w:r>
        <w:rPr>
          <w:w w:val="105"/>
          <w:sz w:val="18"/>
        </w:rPr>
        <w:t>fiscal</w:t>
      </w:r>
      <w:r>
        <w:rPr>
          <w:spacing w:val="10"/>
          <w:w w:val="105"/>
          <w:sz w:val="18"/>
        </w:rPr>
        <w:t> </w:t>
      </w:r>
      <w:r>
        <w:rPr>
          <w:w w:val="105"/>
          <w:sz w:val="18"/>
        </w:rPr>
        <w:t>year</w:t>
      </w:r>
      <w:r>
        <w:rPr>
          <w:spacing w:val="10"/>
          <w:w w:val="105"/>
          <w:sz w:val="18"/>
        </w:rPr>
        <w:t> </w:t>
      </w:r>
      <w:r>
        <w:rPr>
          <w:spacing w:val="-2"/>
          <w:w w:val="105"/>
          <w:sz w:val="18"/>
        </w:rPr>
        <w:t>2022.</w:t>
      </w:r>
    </w:p>
    <w:p>
      <w:pPr>
        <w:pStyle w:val="ListParagraph"/>
        <w:numPr>
          <w:ilvl w:val="0"/>
          <w:numId w:val="37"/>
        </w:numPr>
        <w:tabs>
          <w:tab w:pos="1773" w:val="left" w:leader="none"/>
        </w:tabs>
        <w:spacing w:line="240" w:lineRule="auto" w:before="86" w:after="0"/>
        <w:ind w:left="1772" w:right="0" w:hanging="373"/>
        <w:jc w:val="left"/>
        <w:rPr>
          <w:sz w:val="18"/>
        </w:rPr>
      </w:pPr>
      <w:r>
        <w:rPr>
          <w:w w:val="105"/>
          <w:sz w:val="18"/>
        </w:rPr>
        <w:t>Mr.</w:t>
      </w:r>
      <w:r>
        <w:rPr>
          <w:spacing w:val="9"/>
          <w:w w:val="105"/>
          <w:sz w:val="18"/>
        </w:rPr>
        <w:t> </w:t>
      </w:r>
      <w:r>
        <w:rPr>
          <w:w w:val="105"/>
          <w:sz w:val="18"/>
        </w:rPr>
        <w:t>Naumann-Etienne</w:t>
      </w:r>
      <w:r>
        <w:rPr>
          <w:spacing w:val="10"/>
          <w:w w:val="105"/>
          <w:sz w:val="18"/>
        </w:rPr>
        <w:t> </w:t>
      </w:r>
      <w:r>
        <w:rPr>
          <w:w w:val="105"/>
          <w:sz w:val="18"/>
        </w:rPr>
        <w:t>will</w:t>
      </w:r>
      <w:r>
        <w:rPr>
          <w:spacing w:val="10"/>
          <w:w w:val="105"/>
          <w:sz w:val="18"/>
        </w:rPr>
        <w:t> </w:t>
      </w:r>
      <w:r>
        <w:rPr>
          <w:w w:val="105"/>
          <w:sz w:val="18"/>
        </w:rPr>
        <w:t>not</w:t>
      </w:r>
      <w:r>
        <w:rPr>
          <w:spacing w:val="10"/>
          <w:w w:val="105"/>
          <w:sz w:val="18"/>
        </w:rPr>
        <w:t> </w:t>
      </w:r>
      <w:r>
        <w:rPr>
          <w:w w:val="105"/>
          <w:sz w:val="18"/>
        </w:rPr>
        <w:t>seek</w:t>
      </w:r>
      <w:r>
        <w:rPr>
          <w:spacing w:val="10"/>
          <w:w w:val="105"/>
          <w:sz w:val="18"/>
        </w:rPr>
        <w:t> </w:t>
      </w:r>
      <w:r>
        <w:rPr>
          <w:w w:val="105"/>
          <w:sz w:val="18"/>
        </w:rPr>
        <w:t>re-election</w:t>
      </w:r>
      <w:r>
        <w:rPr>
          <w:spacing w:val="10"/>
          <w:w w:val="105"/>
          <w:sz w:val="18"/>
        </w:rPr>
        <w:t> </w:t>
      </w:r>
      <w:r>
        <w:rPr>
          <w:w w:val="105"/>
          <w:sz w:val="18"/>
        </w:rPr>
        <w:t>to</w:t>
      </w:r>
      <w:r>
        <w:rPr>
          <w:spacing w:val="10"/>
          <w:w w:val="105"/>
          <w:sz w:val="18"/>
        </w:rPr>
        <w:t> </w:t>
      </w:r>
      <w:r>
        <w:rPr>
          <w:w w:val="105"/>
          <w:sz w:val="18"/>
        </w:rPr>
        <w:t>the</w:t>
      </w:r>
      <w:r>
        <w:rPr>
          <w:spacing w:val="10"/>
          <w:w w:val="105"/>
          <w:sz w:val="18"/>
        </w:rPr>
        <w:t> </w:t>
      </w:r>
      <w:r>
        <w:rPr>
          <w:w w:val="105"/>
          <w:sz w:val="18"/>
        </w:rPr>
        <w:t>Board</w:t>
      </w:r>
      <w:r>
        <w:rPr>
          <w:spacing w:val="10"/>
          <w:w w:val="105"/>
          <w:sz w:val="18"/>
        </w:rPr>
        <w:t> </w:t>
      </w:r>
      <w:r>
        <w:rPr>
          <w:w w:val="105"/>
          <w:sz w:val="18"/>
        </w:rPr>
        <w:t>at</w:t>
      </w:r>
      <w:r>
        <w:rPr>
          <w:spacing w:val="10"/>
          <w:w w:val="105"/>
          <w:sz w:val="18"/>
        </w:rPr>
        <w:t> </w:t>
      </w:r>
      <w:r>
        <w:rPr>
          <w:w w:val="105"/>
          <w:sz w:val="18"/>
        </w:rPr>
        <w:t>our</w:t>
      </w:r>
      <w:r>
        <w:rPr>
          <w:spacing w:val="10"/>
          <w:w w:val="105"/>
          <w:sz w:val="18"/>
        </w:rPr>
        <w:t> </w:t>
      </w:r>
      <w:r>
        <w:rPr>
          <w:w w:val="105"/>
          <w:sz w:val="18"/>
        </w:rPr>
        <w:t>2023</w:t>
      </w:r>
      <w:r>
        <w:rPr>
          <w:spacing w:val="-1"/>
          <w:w w:val="105"/>
          <w:sz w:val="18"/>
        </w:rPr>
        <w:t> </w:t>
      </w:r>
      <w:r>
        <w:rPr>
          <w:w w:val="105"/>
          <w:sz w:val="18"/>
        </w:rPr>
        <w:t>Annual</w:t>
      </w:r>
      <w:r>
        <w:rPr>
          <w:spacing w:val="10"/>
          <w:w w:val="105"/>
          <w:sz w:val="18"/>
        </w:rPr>
        <w:t> </w:t>
      </w:r>
      <w:r>
        <w:rPr>
          <w:spacing w:val="-2"/>
          <w:w w:val="105"/>
          <w:sz w:val="18"/>
        </w:rPr>
        <w:t>Meeting.</w:t>
      </w:r>
    </w:p>
    <w:p>
      <w:pPr>
        <w:spacing w:after="0" w:line="240" w:lineRule="auto"/>
        <w:jc w:val="left"/>
        <w:rPr>
          <w:sz w:val="18"/>
        </w:rPr>
        <w:sectPr>
          <w:type w:val="continuous"/>
          <w:pgSz w:w="12240" w:h="15840"/>
          <w:pgMar w:header="529" w:footer="1833" w:top="600" w:bottom="960" w:left="480" w:right="460"/>
        </w:sectPr>
      </w:pPr>
    </w:p>
    <w:p>
      <w:pPr>
        <w:pStyle w:val="BodyText"/>
        <w:rPr>
          <w:sz w:val="20"/>
        </w:rPr>
      </w:pPr>
    </w:p>
    <w:p>
      <w:pPr>
        <w:pStyle w:val="BodyText"/>
        <w:rPr>
          <w:sz w:val="20"/>
        </w:rPr>
      </w:pPr>
    </w:p>
    <w:p>
      <w:pPr>
        <w:pStyle w:val="BodyText"/>
        <w:spacing w:before="2"/>
        <w:rPr>
          <w:sz w:val="27"/>
        </w:rPr>
      </w:pPr>
    </w:p>
    <w:p>
      <w:pPr>
        <w:pStyle w:val="BodyText"/>
        <w:spacing w:line="259" w:lineRule="auto" w:before="98"/>
        <w:ind w:left="1400" w:right="1551" w:firstLine="372"/>
      </w:pPr>
      <w:r>
        <w:rPr>
          <w:w w:val="105"/>
        </w:rPr>
        <w:t>The following table sets forth the aggregate number of outstanding DSUs held by each nonemployee director as of the end of fiscal year 2022:</w:t>
      </w:r>
    </w:p>
    <w:p>
      <w:pPr>
        <w:pStyle w:val="BodyText"/>
        <w:spacing w:before="6"/>
        <w:rPr>
          <w:sz w:val="16"/>
        </w:rPr>
      </w:pPr>
    </w:p>
    <w:tbl>
      <w:tblPr>
        <w:tblW w:w="0" w:type="auto"/>
        <w:jc w:val="left"/>
        <w:tblInd w:w="1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57"/>
        <w:gridCol w:w="224"/>
        <w:gridCol w:w="774"/>
      </w:tblGrid>
      <w:tr>
        <w:trPr>
          <w:trHeight w:val="166" w:hRule="atLeast"/>
        </w:trPr>
        <w:tc>
          <w:tcPr>
            <w:tcW w:w="6981" w:type="dxa"/>
            <w:gridSpan w:val="2"/>
          </w:tcPr>
          <w:p>
            <w:pPr>
              <w:pStyle w:val="TableParagraph"/>
              <w:rPr>
                <w:sz w:val="10"/>
              </w:rPr>
            </w:pPr>
          </w:p>
        </w:tc>
        <w:tc>
          <w:tcPr>
            <w:tcW w:w="774" w:type="dxa"/>
          </w:tcPr>
          <w:p>
            <w:pPr>
              <w:pStyle w:val="TableParagraph"/>
              <w:spacing w:line="146" w:lineRule="exact"/>
              <w:ind w:left="7"/>
              <w:jc w:val="center"/>
              <w:rPr>
                <w:b/>
                <w:sz w:val="15"/>
              </w:rPr>
            </w:pPr>
            <w:r>
              <w:rPr>
                <w:b/>
                <w:spacing w:val="-5"/>
                <w:sz w:val="15"/>
              </w:rPr>
              <w:t>Outstanding</w:t>
            </w:r>
          </w:p>
        </w:tc>
      </w:tr>
      <w:tr>
        <w:trPr>
          <w:trHeight w:val="217" w:hRule="atLeast"/>
        </w:trPr>
        <w:tc>
          <w:tcPr>
            <w:tcW w:w="6757" w:type="dxa"/>
            <w:tcBorders>
              <w:bottom w:val="single" w:sz="6" w:space="0" w:color="000000"/>
            </w:tcBorders>
          </w:tcPr>
          <w:p>
            <w:pPr>
              <w:pStyle w:val="TableParagraph"/>
              <w:spacing w:line="167" w:lineRule="exact"/>
              <w:rPr>
                <w:b/>
                <w:sz w:val="15"/>
              </w:rPr>
            </w:pPr>
            <w:r>
              <w:rPr>
                <w:b/>
                <w:spacing w:val="-4"/>
                <w:sz w:val="15"/>
              </w:rPr>
              <w:t>Name</w:t>
            </w:r>
          </w:p>
        </w:tc>
        <w:tc>
          <w:tcPr>
            <w:tcW w:w="224" w:type="dxa"/>
          </w:tcPr>
          <w:p>
            <w:pPr>
              <w:pStyle w:val="TableParagraph"/>
              <w:rPr>
                <w:sz w:val="14"/>
              </w:rPr>
            </w:pPr>
          </w:p>
        </w:tc>
        <w:tc>
          <w:tcPr>
            <w:tcW w:w="774" w:type="dxa"/>
            <w:tcBorders>
              <w:bottom w:val="single" w:sz="6" w:space="0" w:color="000000"/>
            </w:tcBorders>
          </w:tcPr>
          <w:p>
            <w:pPr>
              <w:pStyle w:val="TableParagraph"/>
              <w:spacing w:line="167" w:lineRule="exact"/>
              <w:ind w:left="7"/>
              <w:jc w:val="center"/>
              <w:rPr>
                <w:b/>
                <w:sz w:val="15"/>
              </w:rPr>
            </w:pPr>
            <w:r>
              <w:rPr>
                <w:b/>
                <w:spacing w:val="-4"/>
                <w:sz w:val="15"/>
              </w:rPr>
              <w:t>DSUs</w:t>
            </w:r>
          </w:p>
        </w:tc>
      </w:tr>
      <w:tr>
        <w:trPr>
          <w:trHeight w:val="286" w:hRule="atLeast"/>
        </w:trPr>
        <w:tc>
          <w:tcPr>
            <w:tcW w:w="6757" w:type="dxa"/>
            <w:tcBorders>
              <w:top w:val="single" w:sz="6" w:space="0" w:color="000000"/>
            </w:tcBorders>
          </w:tcPr>
          <w:p>
            <w:pPr>
              <w:pStyle w:val="TableParagraph"/>
              <w:spacing w:before="41"/>
              <w:rPr>
                <w:sz w:val="18"/>
              </w:rPr>
            </w:pPr>
            <w:r>
              <w:rPr>
                <w:w w:val="105"/>
                <w:sz w:val="18"/>
              </w:rPr>
              <w:t>Kathleen</w:t>
            </w:r>
            <w:r>
              <w:rPr>
                <w:spacing w:val="10"/>
                <w:w w:val="105"/>
                <w:sz w:val="18"/>
              </w:rPr>
              <w:t> </w:t>
            </w:r>
            <w:r>
              <w:rPr>
                <w:w w:val="105"/>
                <w:sz w:val="18"/>
              </w:rPr>
              <w:t>L.</w:t>
            </w:r>
            <w:r>
              <w:rPr>
                <w:spacing w:val="11"/>
                <w:w w:val="105"/>
                <w:sz w:val="18"/>
              </w:rPr>
              <w:t> </w:t>
            </w:r>
            <w:r>
              <w:rPr>
                <w:spacing w:val="-2"/>
                <w:w w:val="105"/>
                <w:sz w:val="18"/>
              </w:rPr>
              <w:t>Bardwell</w:t>
            </w:r>
          </w:p>
        </w:tc>
        <w:tc>
          <w:tcPr>
            <w:tcW w:w="224" w:type="dxa"/>
          </w:tcPr>
          <w:p>
            <w:pPr>
              <w:pStyle w:val="TableParagraph"/>
              <w:rPr>
                <w:sz w:val="18"/>
              </w:rPr>
            </w:pPr>
          </w:p>
        </w:tc>
        <w:tc>
          <w:tcPr>
            <w:tcW w:w="774" w:type="dxa"/>
            <w:tcBorders>
              <w:top w:val="single" w:sz="6" w:space="0" w:color="000000"/>
            </w:tcBorders>
          </w:tcPr>
          <w:p>
            <w:pPr>
              <w:pStyle w:val="TableParagraph"/>
              <w:spacing w:before="41"/>
              <w:ind w:left="102"/>
              <w:jc w:val="center"/>
              <w:rPr>
                <w:sz w:val="18"/>
              </w:rPr>
            </w:pPr>
            <w:r>
              <w:rPr>
                <w:spacing w:val="-2"/>
                <w:w w:val="105"/>
                <w:sz w:val="18"/>
              </w:rPr>
              <w:t>3,619</w:t>
            </w:r>
          </w:p>
        </w:tc>
      </w:tr>
      <w:tr>
        <w:trPr>
          <w:trHeight w:val="279" w:hRule="atLeast"/>
        </w:trPr>
        <w:tc>
          <w:tcPr>
            <w:tcW w:w="6757" w:type="dxa"/>
          </w:tcPr>
          <w:p>
            <w:pPr>
              <w:pStyle w:val="TableParagraph"/>
              <w:spacing w:before="34"/>
              <w:rPr>
                <w:sz w:val="18"/>
              </w:rPr>
            </w:pPr>
            <w:r>
              <w:rPr>
                <w:w w:val="105"/>
                <w:sz w:val="18"/>
              </w:rPr>
              <w:t>Jocelyn</w:t>
            </w:r>
            <w:r>
              <w:rPr>
                <w:spacing w:val="11"/>
                <w:w w:val="105"/>
                <w:sz w:val="18"/>
              </w:rPr>
              <w:t> </w:t>
            </w:r>
            <w:r>
              <w:rPr>
                <w:w w:val="105"/>
                <w:sz w:val="18"/>
              </w:rPr>
              <w:t>D.</w:t>
            </w:r>
            <w:r>
              <w:rPr>
                <w:spacing w:val="12"/>
                <w:w w:val="105"/>
                <w:sz w:val="18"/>
              </w:rPr>
              <w:t> </w:t>
            </w:r>
            <w:r>
              <w:rPr>
                <w:w w:val="105"/>
                <w:sz w:val="18"/>
              </w:rPr>
              <w:t>Chertoff,</w:t>
            </w:r>
            <w:r>
              <w:rPr>
                <w:spacing w:val="11"/>
                <w:w w:val="105"/>
                <w:sz w:val="18"/>
              </w:rPr>
              <w:t> </w:t>
            </w:r>
            <w:r>
              <w:rPr>
                <w:spacing w:val="-5"/>
                <w:w w:val="105"/>
                <w:sz w:val="18"/>
              </w:rPr>
              <w:t>M.D</w:t>
            </w:r>
          </w:p>
        </w:tc>
        <w:tc>
          <w:tcPr>
            <w:tcW w:w="224" w:type="dxa"/>
          </w:tcPr>
          <w:p>
            <w:pPr>
              <w:pStyle w:val="TableParagraph"/>
              <w:rPr>
                <w:sz w:val="18"/>
              </w:rPr>
            </w:pPr>
          </w:p>
        </w:tc>
        <w:tc>
          <w:tcPr>
            <w:tcW w:w="774" w:type="dxa"/>
          </w:tcPr>
          <w:p>
            <w:pPr>
              <w:pStyle w:val="TableParagraph"/>
              <w:spacing w:before="34"/>
              <w:ind w:left="8"/>
              <w:jc w:val="center"/>
              <w:rPr>
                <w:sz w:val="18"/>
              </w:rPr>
            </w:pPr>
            <w:r>
              <w:rPr>
                <w:spacing w:val="-2"/>
                <w:w w:val="105"/>
                <w:sz w:val="18"/>
              </w:rPr>
              <w:t>19,614</w:t>
            </w:r>
          </w:p>
        </w:tc>
      </w:tr>
      <w:tr>
        <w:trPr>
          <w:trHeight w:val="279" w:hRule="atLeast"/>
        </w:trPr>
        <w:tc>
          <w:tcPr>
            <w:tcW w:w="6757" w:type="dxa"/>
          </w:tcPr>
          <w:p>
            <w:pPr>
              <w:pStyle w:val="TableParagraph"/>
              <w:spacing w:before="34"/>
              <w:rPr>
                <w:sz w:val="18"/>
              </w:rPr>
            </w:pPr>
            <w:r>
              <w:rPr>
                <w:w w:val="105"/>
                <w:sz w:val="18"/>
              </w:rPr>
              <w:t>Timothy</w:t>
            </w:r>
            <w:r>
              <w:rPr>
                <w:spacing w:val="6"/>
                <w:w w:val="105"/>
                <w:sz w:val="18"/>
              </w:rPr>
              <w:t> </w:t>
            </w:r>
            <w:r>
              <w:rPr>
                <w:w w:val="105"/>
                <w:sz w:val="18"/>
              </w:rPr>
              <w:t>E.</w:t>
            </w:r>
            <w:r>
              <w:rPr>
                <w:spacing w:val="7"/>
                <w:w w:val="105"/>
                <w:sz w:val="18"/>
              </w:rPr>
              <w:t> </w:t>
            </w:r>
            <w:r>
              <w:rPr>
                <w:spacing w:val="-2"/>
                <w:w w:val="105"/>
                <w:sz w:val="18"/>
              </w:rPr>
              <w:t>Guertin</w:t>
            </w:r>
          </w:p>
        </w:tc>
        <w:tc>
          <w:tcPr>
            <w:tcW w:w="224" w:type="dxa"/>
          </w:tcPr>
          <w:p>
            <w:pPr>
              <w:pStyle w:val="TableParagraph"/>
              <w:rPr>
                <w:sz w:val="18"/>
              </w:rPr>
            </w:pPr>
          </w:p>
        </w:tc>
        <w:tc>
          <w:tcPr>
            <w:tcW w:w="774" w:type="dxa"/>
          </w:tcPr>
          <w:p>
            <w:pPr>
              <w:pStyle w:val="TableParagraph"/>
              <w:spacing w:before="34"/>
              <w:ind w:left="8"/>
              <w:jc w:val="center"/>
              <w:rPr>
                <w:sz w:val="18"/>
              </w:rPr>
            </w:pPr>
            <w:r>
              <w:rPr>
                <w:spacing w:val="-2"/>
                <w:w w:val="105"/>
                <w:sz w:val="18"/>
              </w:rPr>
              <w:t>18,294</w:t>
            </w:r>
          </w:p>
        </w:tc>
      </w:tr>
      <w:tr>
        <w:trPr>
          <w:trHeight w:val="279" w:hRule="atLeast"/>
        </w:trPr>
        <w:tc>
          <w:tcPr>
            <w:tcW w:w="6757" w:type="dxa"/>
          </w:tcPr>
          <w:p>
            <w:pPr>
              <w:pStyle w:val="TableParagraph"/>
              <w:spacing w:before="34"/>
              <w:rPr>
                <w:sz w:val="18"/>
              </w:rPr>
            </w:pPr>
            <w:r>
              <w:rPr>
                <w:w w:val="105"/>
                <w:sz w:val="18"/>
              </w:rPr>
              <w:t>Jay</w:t>
            </w:r>
            <w:r>
              <w:rPr>
                <w:spacing w:val="7"/>
                <w:w w:val="105"/>
                <w:sz w:val="18"/>
              </w:rPr>
              <w:t> </w:t>
            </w:r>
            <w:r>
              <w:rPr>
                <w:w w:val="105"/>
                <w:sz w:val="18"/>
              </w:rPr>
              <w:t>K.</w:t>
            </w:r>
            <w:r>
              <w:rPr>
                <w:spacing w:val="7"/>
                <w:w w:val="105"/>
                <w:sz w:val="18"/>
              </w:rPr>
              <w:t> </w:t>
            </w:r>
            <w:r>
              <w:rPr>
                <w:spacing w:val="-2"/>
                <w:w w:val="105"/>
                <w:sz w:val="18"/>
              </w:rPr>
              <w:t>Kunkel</w:t>
            </w:r>
          </w:p>
        </w:tc>
        <w:tc>
          <w:tcPr>
            <w:tcW w:w="224" w:type="dxa"/>
          </w:tcPr>
          <w:p>
            <w:pPr>
              <w:pStyle w:val="TableParagraph"/>
              <w:rPr>
                <w:sz w:val="18"/>
              </w:rPr>
            </w:pPr>
          </w:p>
        </w:tc>
        <w:tc>
          <w:tcPr>
            <w:tcW w:w="774" w:type="dxa"/>
          </w:tcPr>
          <w:p>
            <w:pPr>
              <w:pStyle w:val="TableParagraph"/>
              <w:spacing w:before="34"/>
              <w:ind w:left="8"/>
              <w:jc w:val="center"/>
              <w:rPr>
                <w:sz w:val="18"/>
              </w:rPr>
            </w:pPr>
            <w:r>
              <w:rPr>
                <w:spacing w:val="-2"/>
                <w:w w:val="105"/>
                <w:sz w:val="18"/>
              </w:rPr>
              <w:t>19,614</w:t>
            </w:r>
          </w:p>
        </w:tc>
      </w:tr>
      <w:tr>
        <w:trPr>
          <w:trHeight w:val="279" w:hRule="atLeast"/>
        </w:trPr>
        <w:tc>
          <w:tcPr>
            <w:tcW w:w="6757" w:type="dxa"/>
          </w:tcPr>
          <w:p>
            <w:pPr>
              <w:pStyle w:val="TableParagraph"/>
              <w:spacing w:before="34"/>
              <w:rPr>
                <w:sz w:val="18"/>
              </w:rPr>
            </w:pPr>
            <w:r>
              <w:rPr>
                <w:sz w:val="18"/>
              </w:rPr>
              <w:t>Ruediger</w:t>
            </w:r>
            <w:r>
              <w:rPr>
                <w:spacing w:val="72"/>
                <w:sz w:val="18"/>
              </w:rPr>
              <w:t> </w:t>
            </w:r>
            <w:r>
              <w:rPr>
                <w:sz w:val="18"/>
              </w:rPr>
              <w:t>Naumann-Etienne,</w:t>
            </w:r>
            <w:r>
              <w:rPr>
                <w:spacing w:val="72"/>
                <w:sz w:val="18"/>
              </w:rPr>
              <w:t> </w:t>
            </w:r>
            <w:r>
              <w:rPr>
                <w:spacing w:val="-5"/>
                <w:sz w:val="18"/>
              </w:rPr>
              <w:t>PhD</w:t>
            </w:r>
          </w:p>
        </w:tc>
        <w:tc>
          <w:tcPr>
            <w:tcW w:w="224" w:type="dxa"/>
          </w:tcPr>
          <w:p>
            <w:pPr>
              <w:pStyle w:val="TableParagraph"/>
              <w:rPr>
                <w:sz w:val="18"/>
              </w:rPr>
            </w:pPr>
          </w:p>
        </w:tc>
        <w:tc>
          <w:tcPr>
            <w:tcW w:w="774" w:type="dxa"/>
          </w:tcPr>
          <w:p>
            <w:pPr>
              <w:pStyle w:val="TableParagraph"/>
              <w:spacing w:before="34"/>
              <w:ind w:left="8"/>
              <w:jc w:val="center"/>
              <w:rPr>
                <w:sz w:val="18"/>
              </w:rPr>
            </w:pPr>
            <w:r>
              <w:rPr>
                <w:spacing w:val="-2"/>
                <w:w w:val="105"/>
                <w:sz w:val="18"/>
              </w:rPr>
              <w:t>26,971</w:t>
            </w:r>
          </w:p>
        </w:tc>
      </w:tr>
      <w:tr>
        <w:trPr>
          <w:trHeight w:val="279" w:hRule="atLeast"/>
        </w:trPr>
        <w:tc>
          <w:tcPr>
            <w:tcW w:w="6757" w:type="dxa"/>
          </w:tcPr>
          <w:p>
            <w:pPr>
              <w:pStyle w:val="TableParagraph"/>
              <w:spacing w:before="34"/>
              <w:rPr>
                <w:sz w:val="18"/>
              </w:rPr>
            </w:pPr>
            <w:r>
              <w:rPr>
                <w:w w:val="105"/>
                <w:sz w:val="18"/>
              </w:rPr>
              <w:t>Walter</w:t>
            </w:r>
            <w:r>
              <w:rPr>
                <w:spacing w:val="6"/>
                <w:w w:val="105"/>
                <w:sz w:val="18"/>
              </w:rPr>
              <w:t> </w:t>
            </w:r>
            <w:r>
              <w:rPr>
                <w:w w:val="105"/>
                <w:sz w:val="18"/>
              </w:rPr>
              <w:t>M</w:t>
            </w:r>
            <w:r>
              <w:rPr>
                <w:spacing w:val="6"/>
                <w:w w:val="105"/>
                <w:sz w:val="18"/>
              </w:rPr>
              <w:t> </w:t>
            </w:r>
            <w:r>
              <w:rPr>
                <w:w w:val="105"/>
                <w:sz w:val="18"/>
              </w:rPr>
              <w:t>Rosebrough,</w:t>
            </w:r>
            <w:r>
              <w:rPr>
                <w:spacing w:val="6"/>
                <w:w w:val="105"/>
                <w:sz w:val="18"/>
              </w:rPr>
              <w:t> </w:t>
            </w:r>
            <w:r>
              <w:rPr>
                <w:spacing w:val="-5"/>
                <w:w w:val="105"/>
                <w:sz w:val="18"/>
              </w:rPr>
              <w:t>Jr.</w:t>
            </w:r>
          </w:p>
        </w:tc>
        <w:tc>
          <w:tcPr>
            <w:tcW w:w="224" w:type="dxa"/>
          </w:tcPr>
          <w:p>
            <w:pPr>
              <w:pStyle w:val="TableParagraph"/>
              <w:rPr>
                <w:sz w:val="18"/>
              </w:rPr>
            </w:pPr>
          </w:p>
        </w:tc>
        <w:tc>
          <w:tcPr>
            <w:tcW w:w="774" w:type="dxa"/>
          </w:tcPr>
          <w:p>
            <w:pPr>
              <w:pStyle w:val="TableParagraph"/>
              <w:spacing w:before="34"/>
              <w:ind w:left="8"/>
              <w:jc w:val="center"/>
              <w:rPr>
                <w:sz w:val="18"/>
              </w:rPr>
            </w:pPr>
            <w:r>
              <w:rPr>
                <w:spacing w:val="-2"/>
                <w:w w:val="105"/>
                <w:sz w:val="18"/>
              </w:rPr>
              <w:t>19,614</w:t>
            </w:r>
          </w:p>
        </w:tc>
      </w:tr>
      <w:tr>
        <w:trPr>
          <w:trHeight w:val="242" w:hRule="atLeast"/>
        </w:trPr>
        <w:tc>
          <w:tcPr>
            <w:tcW w:w="6757" w:type="dxa"/>
          </w:tcPr>
          <w:p>
            <w:pPr>
              <w:pStyle w:val="TableParagraph"/>
              <w:spacing w:line="188" w:lineRule="exact" w:before="34"/>
              <w:rPr>
                <w:sz w:val="18"/>
              </w:rPr>
            </w:pPr>
            <w:r>
              <w:rPr>
                <w:w w:val="105"/>
                <w:sz w:val="18"/>
              </w:rPr>
              <w:t>Christine A.</w:t>
            </w:r>
            <w:r>
              <w:rPr>
                <w:spacing w:val="8"/>
                <w:w w:val="105"/>
                <w:sz w:val="18"/>
              </w:rPr>
              <w:t> </w:t>
            </w:r>
            <w:r>
              <w:rPr>
                <w:spacing w:val="-2"/>
                <w:w w:val="105"/>
                <w:sz w:val="18"/>
              </w:rPr>
              <w:t>Tsingos</w:t>
            </w:r>
          </w:p>
        </w:tc>
        <w:tc>
          <w:tcPr>
            <w:tcW w:w="224" w:type="dxa"/>
          </w:tcPr>
          <w:p>
            <w:pPr>
              <w:pStyle w:val="TableParagraph"/>
              <w:rPr>
                <w:sz w:val="16"/>
              </w:rPr>
            </w:pPr>
          </w:p>
        </w:tc>
        <w:tc>
          <w:tcPr>
            <w:tcW w:w="774" w:type="dxa"/>
          </w:tcPr>
          <w:p>
            <w:pPr>
              <w:pStyle w:val="TableParagraph"/>
              <w:spacing w:line="188" w:lineRule="exact" w:before="34"/>
              <w:ind w:left="8"/>
              <w:jc w:val="center"/>
              <w:rPr>
                <w:sz w:val="18"/>
              </w:rPr>
            </w:pPr>
            <w:r>
              <w:rPr>
                <w:spacing w:val="-2"/>
                <w:w w:val="105"/>
                <w:sz w:val="18"/>
              </w:rPr>
              <w:t>19,614</w:t>
            </w:r>
          </w:p>
        </w:tc>
      </w:tr>
    </w:tbl>
    <w:p>
      <w:pPr>
        <w:pStyle w:val="BodyText"/>
        <w:spacing w:line="259" w:lineRule="auto" w:before="174"/>
        <w:ind w:left="1400" w:right="1551" w:firstLine="372"/>
      </w:pPr>
      <w:r>
        <w:rPr>
          <w:w w:val="105"/>
        </w:rPr>
        <w:t>In November 2022, the Board modified the director compensation program such that commencing in</w:t>
      </w:r>
      <w:r>
        <w:rPr>
          <w:spacing w:val="40"/>
          <w:w w:val="105"/>
        </w:rPr>
        <w:t> </w:t>
      </w:r>
      <w:r>
        <w:rPr>
          <w:w w:val="105"/>
        </w:rPr>
        <w:t>fiscal year 2023, the Non-Executive Board Chair Retainer will be reduced to $35,000 from $40,000 and the</w:t>
      </w:r>
      <w:r>
        <w:rPr>
          <w:spacing w:val="40"/>
          <w:w w:val="105"/>
        </w:rPr>
        <w:t> </w:t>
      </w:r>
      <w:r>
        <w:rPr>
          <w:w w:val="105"/>
        </w:rPr>
        <w:t>additional annual equity award payable to the non-employee chair of the Board of Directors will be reduced</w:t>
      </w:r>
      <w:r>
        <w:rPr>
          <w:spacing w:val="40"/>
          <w:w w:val="105"/>
        </w:rPr>
        <w:t> </w:t>
      </w:r>
      <w:r>
        <w:rPr>
          <w:w w:val="105"/>
        </w:rPr>
        <w:t>from a grant date fair value of $60,000 to a grant date fair value of $35,000.</w:t>
      </w:r>
    </w:p>
    <w:p>
      <w:pPr>
        <w:pStyle w:val="BodyText"/>
        <w:spacing w:before="5"/>
        <w:rPr>
          <w:sz w:val="19"/>
        </w:rPr>
      </w:pPr>
    </w:p>
    <w:p>
      <w:pPr>
        <w:pStyle w:val="Heading2"/>
        <w:spacing w:before="1"/>
      </w:pPr>
      <w:bookmarkStart w:name="_TOC_250003" w:id="40"/>
      <w:r>
        <w:rPr>
          <w:spacing w:val="-2"/>
        </w:rPr>
        <w:t>Compensation</w:t>
      </w:r>
      <w:r>
        <w:rPr>
          <w:spacing w:val="3"/>
        </w:rPr>
        <w:t> </w:t>
      </w:r>
      <w:r>
        <w:rPr>
          <w:spacing w:val="-2"/>
        </w:rPr>
        <w:t>Committee</w:t>
      </w:r>
      <w:r>
        <w:rPr>
          <w:spacing w:val="3"/>
        </w:rPr>
        <w:t> </w:t>
      </w:r>
      <w:r>
        <w:rPr>
          <w:spacing w:val="-2"/>
        </w:rPr>
        <w:t>Interlocks</w:t>
      </w:r>
      <w:r>
        <w:rPr>
          <w:spacing w:val="3"/>
        </w:rPr>
        <w:t> </w:t>
      </w:r>
      <w:r>
        <w:rPr>
          <w:spacing w:val="-2"/>
        </w:rPr>
        <w:t>and</w:t>
      </w:r>
      <w:r>
        <w:rPr>
          <w:spacing w:val="4"/>
        </w:rPr>
        <w:t> </w:t>
      </w:r>
      <w:bookmarkEnd w:id="40"/>
      <w:r>
        <w:rPr>
          <w:spacing w:val="-2"/>
        </w:rPr>
        <w:t>Insider Participation</w:t>
      </w:r>
    </w:p>
    <w:p>
      <w:pPr>
        <w:pStyle w:val="BodyText"/>
        <w:spacing w:line="259" w:lineRule="auto" w:before="156"/>
        <w:ind w:left="1400" w:right="1533" w:firstLine="372"/>
      </w:pPr>
      <w:r>
        <w:rPr>
          <w:w w:val="105"/>
        </w:rPr>
        <w:t>No</w:t>
      </w:r>
      <w:r>
        <w:rPr>
          <w:spacing w:val="21"/>
          <w:w w:val="105"/>
        </w:rPr>
        <w:t> </w:t>
      </w:r>
      <w:r>
        <w:rPr>
          <w:w w:val="105"/>
        </w:rPr>
        <w:t>member</w:t>
      </w:r>
      <w:r>
        <w:rPr>
          <w:spacing w:val="21"/>
          <w:w w:val="105"/>
        </w:rPr>
        <w:t> </w:t>
      </w:r>
      <w:r>
        <w:rPr>
          <w:w w:val="105"/>
        </w:rPr>
        <w:t>of</w:t>
      </w:r>
      <w:r>
        <w:rPr>
          <w:spacing w:val="21"/>
          <w:w w:val="105"/>
        </w:rPr>
        <w:t> </w:t>
      </w:r>
      <w:r>
        <w:rPr>
          <w:w w:val="105"/>
        </w:rPr>
        <w:t>the</w:t>
      </w:r>
      <w:r>
        <w:rPr>
          <w:spacing w:val="21"/>
          <w:w w:val="105"/>
        </w:rPr>
        <w:t> </w:t>
      </w:r>
      <w:r>
        <w:rPr>
          <w:w w:val="105"/>
        </w:rPr>
        <w:t>Compensation</w:t>
      </w:r>
      <w:r>
        <w:rPr>
          <w:spacing w:val="21"/>
          <w:w w:val="105"/>
        </w:rPr>
        <w:t> </w:t>
      </w:r>
      <w:r>
        <w:rPr>
          <w:w w:val="105"/>
        </w:rPr>
        <w:t>Committee</w:t>
      </w:r>
      <w:r>
        <w:rPr>
          <w:spacing w:val="21"/>
          <w:w w:val="105"/>
        </w:rPr>
        <w:t> </w:t>
      </w:r>
      <w:r>
        <w:rPr>
          <w:w w:val="105"/>
        </w:rPr>
        <w:t>was</w:t>
      </w:r>
      <w:r>
        <w:rPr>
          <w:spacing w:val="21"/>
          <w:w w:val="105"/>
        </w:rPr>
        <w:t> </w:t>
      </w:r>
      <w:r>
        <w:rPr>
          <w:w w:val="105"/>
        </w:rPr>
        <w:t>at</w:t>
      </w:r>
      <w:r>
        <w:rPr>
          <w:spacing w:val="21"/>
          <w:w w:val="105"/>
        </w:rPr>
        <w:t> </w:t>
      </w:r>
      <w:r>
        <w:rPr>
          <w:w w:val="105"/>
        </w:rPr>
        <w:t>any</w:t>
      </w:r>
      <w:r>
        <w:rPr>
          <w:spacing w:val="21"/>
          <w:w w:val="105"/>
        </w:rPr>
        <w:t> </w:t>
      </w:r>
      <w:r>
        <w:rPr>
          <w:w w:val="105"/>
        </w:rPr>
        <w:t>time</w:t>
      </w:r>
      <w:r>
        <w:rPr>
          <w:spacing w:val="21"/>
          <w:w w:val="105"/>
        </w:rPr>
        <w:t> </w:t>
      </w:r>
      <w:r>
        <w:rPr>
          <w:w w:val="105"/>
        </w:rPr>
        <w:t>during</w:t>
      </w:r>
      <w:r>
        <w:rPr>
          <w:spacing w:val="21"/>
          <w:w w:val="105"/>
        </w:rPr>
        <w:t> </w:t>
      </w:r>
      <w:r>
        <w:rPr>
          <w:w w:val="105"/>
        </w:rPr>
        <w:t>fiscal</w:t>
      </w:r>
      <w:r>
        <w:rPr>
          <w:spacing w:val="21"/>
          <w:w w:val="105"/>
        </w:rPr>
        <w:t> </w:t>
      </w:r>
      <w:r>
        <w:rPr>
          <w:w w:val="105"/>
        </w:rPr>
        <w:t>year</w:t>
      </w:r>
      <w:r>
        <w:rPr>
          <w:spacing w:val="21"/>
          <w:w w:val="105"/>
        </w:rPr>
        <w:t> </w:t>
      </w:r>
      <w:r>
        <w:rPr>
          <w:w w:val="105"/>
        </w:rPr>
        <w:t>2022</w:t>
      </w:r>
      <w:r>
        <w:rPr>
          <w:spacing w:val="21"/>
          <w:w w:val="105"/>
        </w:rPr>
        <w:t> </w:t>
      </w:r>
      <w:r>
        <w:rPr>
          <w:w w:val="105"/>
        </w:rPr>
        <w:t>or</w:t>
      </w:r>
      <w:r>
        <w:rPr>
          <w:spacing w:val="21"/>
          <w:w w:val="105"/>
        </w:rPr>
        <w:t> </w:t>
      </w:r>
      <w:r>
        <w:rPr>
          <w:w w:val="105"/>
        </w:rPr>
        <w:t>at</w:t>
      </w:r>
      <w:r>
        <w:rPr>
          <w:spacing w:val="21"/>
          <w:w w:val="105"/>
        </w:rPr>
        <w:t> </w:t>
      </w:r>
      <w:r>
        <w:rPr>
          <w:w w:val="105"/>
        </w:rPr>
        <w:t>any</w:t>
      </w:r>
      <w:r>
        <w:rPr>
          <w:spacing w:val="21"/>
          <w:w w:val="105"/>
        </w:rPr>
        <w:t> </w:t>
      </w:r>
      <w:r>
        <w:rPr>
          <w:w w:val="105"/>
        </w:rPr>
        <w:t>other time</w:t>
      </w:r>
      <w:r>
        <w:rPr>
          <w:spacing w:val="21"/>
          <w:w w:val="105"/>
        </w:rPr>
        <w:t> </w:t>
      </w:r>
      <w:r>
        <w:rPr>
          <w:w w:val="105"/>
        </w:rPr>
        <w:t>an</w:t>
      </w:r>
      <w:r>
        <w:rPr>
          <w:spacing w:val="21"/>
          <w:w w:val="105"/>
        </w:rPr>
        <w:t> </w:t>
      </w:r>
      <w:r>
        <w:rPr>
          <w:w w:val="105"/>
        </w:rPr>
        <w:t>officer</w:t>
      </w:r>
      <w:r>
        <w:rPr>
          <w:spacing w:val="21"/>
          <w:w w:val="105"/>
        </w:rPr>
        <w:t> </w:t>
      </w:r>
      <w:r>
        <w:rPr>
          <w:w w:val="105"/>
        </w:rPr>
        <w:t>or</w:t>
      </w:r>
      <w:r>
        <w:rPr>
          <w:spacing w:val="21"/>
          <w:w w:val="105"/>
        </w:rPr>
        <w:t> </w:t>
      </w:r>
      <w:r>
        <w:rPr>
          <w:w w:val="105"/>
        </w:rPr>
        <w:t>employee</w:t>
      </w:r>
      <w:r>
        <w:rPr>
          <w:spacing w:val="21"/>
          <w:w w:val="105"/>
        </w:rPr>
        <w:t> </w:t>
      </w:r>
      <w:r>
        <w:rPr>
          <w:w w:val="105"/>
        </w:rPr>
        <w:t>of</w:t>
      </w:r>
      <w:r>
        <w:rPr>
          <w:spacing w:val="21"/>
          <w:w w:val="105"/>
        </w:rPr>
        <w:t> </w:t>
      </w:r>
      <w:r>
        <w:rPr>
          <w:w w:val="105"/>
        </w:rPr>
        <w:t>the</w:t>
      </w:r>
      <w:r>
        <w:rPr>
          <w:spacing w:val="21"/>
          <w:w w:val="105"/>
        </w:rPr>
        <w:t> </w:t>
      </w:r>
      <w:r>
        <w:rPr>
          <w:w w:val="105"/>
        </w:rPr>
        <w:t>Company,</w:t>
      </w:r>
      <w:r>
        <w:rPr>
          <w:spacing w:val="21"/>
          <w:w w:val="105"/>
        </w:rPr>
        <w:t> </w:t>
      </w:r>
      <w:r>
        <w:rPr>
          <w:w w:val="105"/>
        </w:rPr>
        <w:t>and</w:t>
      </w:r>
      <w:r>
        <w:rPr>
          <w:spacing w:val="21"/>
          <w:w w:val="105"/>
        </w:rPr>
        <w:t> </w:t>
      </w:r>
      <w:r>
        <w:rPr>
          <w:w w:val="105"/>
        </w:rPr>
        <w:t>no</w:t>
      </w:r>
      <w:r>
        <w:rPr>
          <w:spacing w:val="21"/>
          <w:w w:val="105"/>
        </w:rPr>
        <w:t> </w:t>
      </w:r>
      <w:r>
        <w:rPr>
          <w:w w:val="105"/>
        </w:rPr>
        <w:t>member</w:t>
      </w:r>
      <w:r>
        <w:rPr>
          <w:spacing w:val="21"/>
          <w:w w:val="105"/>
        </w:rPr>
        <w:t> </w:t>
      </w:r>
      <w:r>
        <w:rPr>
          <w:w w:val="105"/>
        </w:rPr>
        <w:t>of</w:t>
      </w:r>
      <w:r>
        <w:rPr>
          <w:spacing w:val="21"/>
          <w:w w:val="105"/>
        </w:rPr>
        <w:t> </w:t>
      </w:r>
      <w:r>
        <w:rPr>
          <w:w w:val="105"/>
        </w:rPr>
        <w:t>this</w:t>
      </w:r>
      <w:r>
        <w:rPr>
          <w:spacing w:val="21"/>
          <w:w w:val="105"/>
        </w:rPr>
        <w:t> </w:t>
      </w:r>
      <w:r>
        <w:rPr>
          <w:w w:val="105"/>
        </w:rPr>
        <w:t>committee</w:t>
      </w:r>
      <w:r>
        <w:rPr>
          <w:spacing w:val="21"/>
          <w:w w:val="105"/>
        </w:rPr>
        <w:t> </w:t>
      </w:r>
      <w:r>
        <w:rPr>
          <w:w w:val="105"/>
        </w:rPr>
        <w:t>had</w:t>
      </w:r>
      <w:r>
        <w:rPr>
          <w:spacing w:val="21"/>
          <w:w w:val="105"/>
        </w:rPr>
        <w:t> </w:t>
      </w:r>
      <w:r>
        <w:rPr>
          <w:w w:val="105"/>
        </w:rPr>
        <w:t>any</w:t>
      </w:r>
      <w:r>
        <w:rPr>
          <w:spacing w:val="21"/>
          <w:w w:val="105"/>
        </w:rPr>
        <w:t> </w:t>
      </w:r>
      <w:r>
        <w:rPr>
          <w:w w:val="105"/>
        </w:rPr>
        <w:t>relationship</w:t>
      </w:r>
      <w:r>
        <w:rPr>
          <w:spacing w:val="21"/>
          <w:w w:val="105"/>
        </w:rPr>
        <w:t> </w:t>
      </w:r>
      <w:r>
        <w:rPr>
          <w:w w:val="105"/>
        </w:rPr>
        <w:t>with the Company requiring disclosure under Item 404 of Regulation S-K. No executive officer of the Company</w:t>
      </w:r>
      <w:r>
        <w:rPr>
          <w:spacing w:val="40"/>
          <w:w w:val="105"/>
        </w:rPr>
        <w:t> </w:t>
      </w:r>
      <w:r>
        <w:rPr>
          <w:w w:val="105"/>
        </w:rPr>
        <w:t>has</w:t>
      </w:r>
      <w:r>
        <w:rPr>
          <w:spacing w:val="14"/>
          <w:w w:val="105"/>
        </w:rPr>
        <w:t> </w:t>
      </w:r>
      <w:r>
        <w:rPr>
          <w:w w:val="105"/>
        </w:rPr>
        <w:t>served</w:t>
      </w:r>
      <w:r>
        <w:rPr>
          <w:spacing w:val="14"/>
          <w:w w:val="105"/>
        </w:rPr>
        <w:t> </w:t>
      </w:r>
      <w:r>
        <w:rPr>
          <w:w w:val="105"/>
        </w:rPr>
        <w:t>on</w:t>
      </w:r>
      <w:r>
        <w:rPr>
          <w:spacing w:val="14"/>
          <w:w w:val="105"/>
        </w:rPr>
        <w:t> </w:t>
      </w:r>
      <w:r>
        <w:rPr>
          <w:w w:val="105"/>
        </w:rPr>
        <w:t>the</w:t>
      </w:r>
      <w:r>
        <w:rPr>
          <w:spacing w:val="14"/>
          <w:w w:val="105"/>
        </w:rPr>
        <w:t> </w:t>
      </w:r>
      <w:r>
        <w:rPr>
          <w:w w:val="105"/>
        </w:rPr>
        <w:t>board</w:t>
      </w:r>
      <w:r>
        <w:rPr>
          <w:spacing w:val="14"/>
          <w:w w:val="105"/>
        </w:rPr>
        <w:t> </w:t>
      </w:r>
      <w:r>
        <w:rPr>
          <w:w w:val="105"/>
        </w:rPr>
        <w:t>of</w:t>
      </w:r>
      <w:r>
        <w:rPr>
          <w:spacing w:val="14"/>
          <w:w w:val="105"/>
        </w:rPr>
        <w:t> </w:t>
      </w:r>
      <w:r>
        <w:rPr>
          <w:w w:val="105"/>
        </w:rPr>
        <w:t>directors</w:t>
      </w:r>
      <w:r>
        <w:rPr>
          <w:spacing w:val="14"/>
          <w:w w:val="105"/>
        </w:rPr>
        <w:t> </w:t>
      </w:r>
      <w:r>
        <w:rPr>
          <w:w w:val="105"/>
        </w:rPr>
        <w:t>or</w:t>
      </w:r>
      <w:r>
        <w:rPr>
          <w:spacing w:val="14"/>
          <w:w w:val="105"/>
        </w:rPr>
        <w:t> </w:t>
      </w:r>
      <w:r>
        <w:rPr>
          <w:w w:val="105"/>
        </w:rPr>
        <w:t>compensation</w:t>
      </w:r>
      <w:r>
        <w:rPr>
          <w:spacing w:val="14"/>
          <w:w w:val="105"/>
        </w:rPr>
        <w:t> </w:t>
      </w:r>
      <w:r>
        <w:rPr>
          <w:w w:val="105"/>
        </w:rPr>
        <w:t>committee</w:t>
      </w:r>
      <w:r>
        <w:rPr>
          <w:spacing w:val="14"/>
          <w:w w:val="105"/>
        </w:rPr>
        <w:t> </w:t>
      </w:r>
      <w:r>
        <w:rPr>
          <w:w w:val="105"/>
        </w:rPr>
        <w:t>of</w:t>
      </w:r>
      <w:r>
        <w:rPr>
          <w:spacing w:val="14"/>
          <w:w w:val="105"/>
        </w:rPr>
        <w:t> </w:t>
      </w:r>
      <w:r>
        <w:rPr>
          <w:w w:val="105"/>
        </w:rPr>
        <w:t>any</w:t>
      </w:r>
      <w:r>
        <w:rPr>
          <w:spacing w:val="14"/>
          <w:w w:val="105"/>
        </w:rPr>
        <w:t> </w:t>
      </w:r>
      <w:r>
        <w:rPr>
          <w:w w:val="105"/>
        </w:rPr>
        <w:t>other</w:t>
      </w:r>
      <w:r>
        <w:rPr>
          <w:spacing w:val="14"/>
          <w:w w:val="105"/>
        </w:rPr>
        <w:t> </w:t>
      </w:r>
      <w:r>
        <w:rPr>
          <w:w w:val="105"/>
        </w:rPr>
        <w:t>entity</w:t>
      </w:r>
      <w:r>
        <w:rPr>
          <w:spacing w:val="14"/>
          <w:w w:val="105"/>
        </w:rPr>
        <w:t> </w:t>
      </w:r>
      <w:r>
        <w:rPr>
          <w:w w:val="105"/>
        </w:rPr>
        <w:t>that</w:t>
      </w:r>
      <w:r>
        <w:rPr>
          <w:spacing w:val="14"/>
          <w:w w:val="105"/>
        </w:rPr>
        <w:t> </w:t>
      </w:r>
      <w:r>
        <w:rPr>
          <w:w w:val="105"/>
        </w:rPr>
        <w:t>has</w:t>
      </w:r>
      <w:r>
        <w:rPr>
          <w:spacing w:val="14"/>
          <w:w w:val="105"/>
        </w:rPr>
        <w:t> </w:t>
      </w:r>
      <w:r>
        <w:rPr>
          <w:w w:val="105"/>
        </w:rPr>
        <w:t>or</w:t>
      </w:r>
      <w:r>
        <w:rPr>
          <w:spacing w:val="14"/>
          <w:w w:val="105"/>
        </w:rPr>
        <w:t> </w:t>
      </w:r>
      <w:r>
        <w:rPr>
          <w:w w:val="105"/>
        </w:rPr>
        <w:t>has</w:t>
      </w:r>
      <w:r>
        <w:rPr>
          <w:spacing w:val="14"/>
          <w:w w:val="105"/>
        </w:rPr>
        <w:t> </w:t>
      </w:r>
      <w:r>
        <w:rPr>
          <w:w w:val="105"/>
        </w:rPr>
        <w:t>had</w:t>
      </w:r>
      <w:r>
        <w:rPr>
          <w:spacing w:val="14"/>
          <w:w w:val="105"/>
        </w:rPr>
        <w:t> </w:t>
      </w:r>
      <w:r>
        <w:rPr>
          <w:w w:val="105"/>
        </w:rPr>
        <w:t>one or</w:t>
      </w:r>
      <w:r>
        <w:rPr>
          <w:spacing w:val="24"/>
          <w:w w:val="105"/>
        </w:rPr>
        <w:t> </w:t>
      </w:r>
      <w:r>
        <w:rPr>
          <w:w w:val="105"/>
        </w:rPr>
        <w:t>more</w:t>
      </w:r>
      <w:r>
        <w:rPr>
          <w:spacing w:val="24"/>
          <w:w w:val="105"/>
        </w:rPr>
        <w:t> </w:t>
      </w:r>
      <w:r>
        <w:rPr>
          <w:w w:val="105"/>
        </w:rPr>
        <w:t>executive</w:t>
      </w:r>
      <w:r>
        <w:rPr>
          <w:spacing w:val="23"/>
          <w:w w:val="105"/>
        </w:rPr>
        <w:t> </w:t>
      </w:r>
      <w:r>
        <w:rPr>
          <w:w w:val="105"/>
        </w:rPr>
        <w:t>officers</w:t>
      </w:r>
      <w:r>
        <w:rPr>
          <w:spacing w:val="24"/>
          <w:w w:val="105"/>
        </w:rPr>
        <w:t> </w:t>
      </w:r>
      <w:r>
        <w:rPr>
          <w:w w:val="105"/>
        </w:rPr>
        <w:t>who</w:t>
      </w:r>
      <w:r>
        <w:rPr>
          <w:spacing w:val="24"/>
          <w:w w:val="105"/>
        </w:rPr>
        <w:t> </w:t>
      </w:r>
      <w:r>
        <w:rPr>
          <w:w w:val="105"/>
        </w:rPr>
        <w:t>served</w:t>
      </w:r>
      <w:r>
        <w:rPr>
          <w:spacing w:val="23"/>
          <w:w w:val="105"/>
        </w:rPr>
        <w:t> </w:t>
      </w:r>
      <w:r>
        <w:rPr>
          <w:w w:val="105"/>
        </w:rPr>
        <w:t>as</w:t>
      </w:r>
      <w:r>
        <w:rPr>
          <w:spacing w:val="24"/>
          <w:w w:val="105"/>
        </w:rPr>
        <w:t> </w:t>
      </w:r>
      <w:r>
        <w:rPr>
          <w:w w:val="105"/>
        </w:rPr>
        <w:t>a</w:t>
      </w:r>
      <w:r>
        <w:rPr>
          <w:spacing w:val="24"/>
          <w:w w:val="105"/>
        </w:rPr>
        <w:t> </w:t>
      </w:r>
      <w:r>
        <w:rPr>
          <w:w w:val="105"/>
        </w:rPr>
        <w:t>member</w:t>
      </w:r>
      <w:r>
        <w:rPr>
          <w:spacing w:val="23"/>
          <w:w w:val="105"/>
        </w:rPr>
        <w:t> </w:t>
      </w:r>
      <w:r>
        <w:rPr>
          <w:w w:val="105"/>
        </w:rPr>
        <w:t>of</w:t>
      </w:r>
      <w:r>
        <w:rPr>
          <w:spacing w:val="24"/>
          <w:w w:val="105"/>
        </w:rPr>
        <w:t> </w:t>
      </w:r>
      <w:r>
        <w:rPr>
          <w:w w:val="105"/>
        </w:rPr>
        <w:t>the</w:t>
      </w:r>
      <w:r>
        <w:rPr>
          <w:spacing w:val="24"/>
          <w:w w:val="105"/>
        </w:rPr>
        <w:t> </w:t>
      </w:r>
      <w:r>
        <w:rPr>
          <w:w w:val="105"/>
        </w:rPr>
        <w:t>Compensation</w:t>
      </w:r>
      <w:r>
        <w:rPr>
          <w:spacing w:val="23"/>
          <w:w w:val="105"/>
        </w:rPr>
        <w:t> </w:t>
      </w:r>
      <w:r>
        <w:rPr>
          <w:w w:val="105"/>
        </w:rPr>
        <w:t>Committee</w:t>
      </w:r>
      <w:r>
        <w:rPr>
          <w:spacing w:val="24"/>
          <w:w w:val="105"/>
        </w:rPr>
        <w:t> </w:t>
      </w:r>
      <w:r>
        <w:rPr>
          <w:w w:val="105"/>
        </w:rPr>
        <w:t>during</w:t>
      </w:r>
      <w:r>
        <w:rPr>
          <w:spacing w:val="24"/>
          <w:w w:val="105"/>
        </w:rPr>
        <w:t> </w:t>
      </w:r>
      <w:r>
        <w:rPr>
          <w:w w:val="105"/>
        </w:rPr>
        <w:t>fiscal</w:t>
      </w:r>
      <w:r>
        <w:rPr>
          <w:spacing w:val="23"/>
          <w:w w:val="105"/>
        </w:rPr>
        <w:t> </w:t>
      </w:r>
      <w:r>
        <w:rPr>
          <w:w w:val="105"/>
        </w:rPr>
        <w:t>year </w:t>
      </w:r>
      <w:r>
        <w:rPr>
          <w:spacing w:val="-2"/>
          <w:w w:val="105"/>
        </w:rPr>
        <w:t>2022.</w:t>
      </w:r>
    </w:p>
    <w:p>
      <w:pPr>
        <w:pStyle w:val="BodyText"/>
        <w:spacing w:before="6"/>
        <w:rPr>
          <w:sz w:val="19"/>
        </w:rPr>
      </w:pPr>
    </w:p>
    <w:p>
      <w:pPr>
        <w:pStyle w:val="Heading2"/>
      </w:pPr>
      <w:bookmarkStart w:name="_TOC_250002" w:id="41"/>
      <w:r>
        <w:rPr/>
        <w:t>CEO</w:t>
      </w:r>
      <w:r>
        <w:rPr>
          <w:spacing w:val="-4"/>
        </w:rPr>
        <w:t> </w:t>
      </w:r>
      <w:r>
        <w:rPr/>
        <w:t>Pay</w:t>
      </w:r>
      <w:r>
        <w:rPr>
          <w:spacing w:val="-4"/>
        </w:rPr>
        <w:t> </w:t>
      </w:r>
      <w:bookmarkEnd w:id="41"/>
      <w:r>
        <w:rPr>
          <w:spacing w:val="-2"/>
        </w:rPr>
        <w:t>Ratio</w:t>
      </w:r>
    </w:p>
    <w:p>
      <w:pPr>
        <w:pStyle w:val="BodyText"/>
        <w:spacing w:line="259" w:lineRule="auto" w:before="171"/>
        <w:ind w:left="1400" w:right="1551" w:firstLine="372"/>
      </w:pPr>
      <w:r>
        <w:rPr>
          <w:w w:val="105"/>
        </w:rPr>
        <w:t>For fiscal year 2022, based on reasonable estimates, the median of the annual total compensation of our</w:t>
      </w:r>
      <w:r>
        <w:rPr>
          <w:spacing w:val="40"/>
          <w:w w:val="105"/>
        </w:rPr>
        <w:t> </w:t>
      </w:r>
      <w:r>
        <w:rPr>
          <w:w w:val="105"/>
        </w:rPr>
        <w:t>employees (other than our CEO) was $64,197, and the annual total compensation of our CEO, as reported in</w:t>
      </w:r>
      <w:r>
        <w:rPr>
          <w:spacing w:val="40"/>
          <w:w w:val="105"/>
        </w:rPr>
        <w:t> </w:t>
      </w:r>
      <w:r>
        <w:rPr>
          <w:w w:val="105"/>
        </w:rPr>
        <w:t>our Summary Compensation Table, was $4,479,188. Based on this information, the ratio of the annual total compensation</w:t>
      </w:r>
      <w:r>
        <w:rPr>
          <w:spacing w:val="22"/>
          <w:w w:val="105"/>
        </w:rPr>
        <w:t> </w:t>
      </w:r>
      <w:r>
        <w:rPr>
          <w:w w:val="105"/>
        </w:rPr>
        <w:t>of</w:t>
      </w:r>
      <w:r>
        <w:rPr>
          <w:spacing w:val="22"/>
          <w:w w:val="105"/>
        </w:rPr>
        <w:t> </w:t>
      </w:r>
      <w:r>
        <w:rPr>
          <w:w w:val="105"/>
        </w:rPr>
        <w:t>our</w:t>
      </w:r>
      <w:r>
        <w:rPr>
          <w:spacing w:val="22"/>
          <w:w w:val="105"/>
        </w:rPr>
        <w:t> </w:t>
      </w:r>
      <w:r>
        <w:rPr>
          <w:w w:val="105"/>
        </w:rPr>
        <w:t>CEO</w:t>
      </w:r>
      <w:r>
        <w:rPr>
          <w:spacing w:val="22"/>
          <w:w w:val="105"/>
        </w:rPr>
        <w:t> </w:t>
      </w:r>
      <w:r>
        <w:rPr>
          <w:w w:val="105"/>
        </w:rPr>
        <w:t>to</w:t>
      </w:r>
      <w:r>
        <w:rPr>
          <w:spacing w:val="22"/>
          <w:w w:val="105"/>
        </w:rPr>
        <w:t> </w:t>
      </w:r>
      <w:r>
        <w:rPr>
          <w:w w:val="105"/>
        </w:rPr>
        <w:t>the</w:t>
      </w:r>
      <w:r>
        <w:rPr>
          <w:spacing w:val="22"/>
          <w:w w:val="105"/>
        </w:rPr>
        <w:t> </w:t>
      </w:r>
      <w:r>
        <w:rPr>
          <w:w w:val="105"/>
        </w:rPr>
        <w:t>annual</w:t>
      </w:r>
      <w:r>
        <w:rPr>
          <w:spacing w:val="22"/>
          <w:w w:val="105"/>
        </w:rPr>
        <w:t> </w:t>
      </w:r>
      <w:r>
        <w:rPr>
          <w:w w:val="105"/>
        </w:rPr>
        <w:t>total</w:t>
      </w:r>
      <w:r>
        <w:rPr>
          <w:spacing w:val="22"/>
          <w:w w:val="105"/>
        </w:rPr>
        <w:t> </w:t>
      </w:r>
      <w:r>
        <w:rPr>
          <w:w w:val="105"/>
        </w:rPr>
        <w:t>compensation</w:t>
      </w:r>
      <w:r>
        <w:rPr>
          <w:spacing w:val="22"/>
          <w:w w:val="105"/>
        </w:rPr>
        <w:t> </w:t>
      </w:r>
      <w:r>
        <w:rPr>
          <w:w w:val="105"/>
        </w:rPr>
        <w:t>of</w:t>
      </w:r>
      <w:r>
        <w:rPr>
          <w:spacing w:val="22"/>
          <w:w w:val="105"/>
        </w:rPr>
        <w:t> </w:t>
      </w:r>
      <w:r>
        <w:rPr>
          <w:w w:val="105"/>
        </w:rPr>
        <w:t>the</w:t>
      </w:r>
      <w:r>
        <w:rPr>
          <w:spacing w:val="22"/>
          <w:w w:val="105"/>
        </w:rPr>
        <w:t> </w:t>
      </w:r>
      <w:r>
        <w:rPr>
          <w:w w:val="105"/>
        </w:rPr>
        <w:t>median</w:t>
      </w:r>
      <w:r>
        <w:rPr>
          <w:spacing w:val="22"/>
          <w:w w:val="105"/>
        </w:rPr>
        <w:t> </w:t>
      </w:r>
      <w:r>
        <w:rPr>
          <w:w w:val="105"/>
        </w:rPr>
        <w:t>off</w:t>
      </w:r>
      <w:r>
        <w:rPr>
          <w:spacing w:val="22"/>
          <w:w w:val="105"/>
        </w:rPr>
        <w:t> </w:t>
      </w:r>
      <w:r>
        <w:rPr>
          <w:w w:val="105"/>
        </w:rPr>
        <w:t>all</w:t>
      </w:r>
      <w:r>
        <w:rPr>
          <w:spacing w:val="22"/>
          <w:w w:val="105"/>
        </w:rPr>
        <w:t> </w:t>
      </w:r>
      <w:r>
        <w:rPr>
          <w:w w:val="105"/>
        </w:rPr>
        <w:t>employees</w:t>
      </w:r>
      <w:r>
        <w:rPr>
          <w:spacing w:val="22"/>
          <w:w w:val="105"/>
        </w:rPr>
        <w:t> </w:t>
      </w:r>
      <w:r>
        <w:rPr>
          <w:w w:val="105"/>
        </w:rPr>
        <w:t>was</w:t>
      </w:r>
      <w:r>
        <w:rPr>
          <w:spacing w:val="22"/>
          <w:w w:val="105"/>
        </w:rPr>
        <w:t> </w:t>
      </w:r>
      <w:r>
        <w:rPr>
          <w:w w:val="105"/>
        </w:rPr>
        <w:t>69.8:1.</w:t>
      </w:r>
    </w:p>
    <w:p>
      <w:pPr>
        <w:pStyle w:val="BodyText"/>
        <w:spacing w:line="259" w:lineRule="auto" w:before="154"/>
        <w:ind w:left="1400" w:right="1450" w:firstLine="372"/>
        <w:jc w:val="both"/>
      </w:pPr>
      <w:r>
        <w:rPr>
          <w:b/>
          <w:w w:val="105"/>
        </w:rPr>
        <w:t>Employees</w:t>
      </w:r>
      <w:r>
        <w:rPr>
          <w:b/>
          <w:spacing w:val="-9"/>
          <w:w w:val="105"/>
        </w:rPr>
        <w:t> </w:t>
      </w:r>
      <w:r>
        <w:rPr>
          <w:b/>
          <w:w w:val="105"/>
        </w:rPr>
        <w:t>Included.</w:t>
      </w:r>
      <w:r>
        <w:rPr>
          <w:b/>
          <w:spacing w:val="40"/>
          <w:w w:val="105"/>
        </w:rPr>
        <w:t> </w:t>
      </w:r>
      <w:r>
        <w:rPr>
          <w:w w:val="105"/>
        </w:rPr>
        <w:t>October 1, 2022 was used to determine the median employee (the “determination date”). At the determination date, we had 2,297 employees worldwide. In identifying the worldwide median employee, we included all our employees (except for our CEO).</w:t>
      </w:r>
    </w:p>
    <w:p>
      <w:pPr>
        <w:pStyle w:val="BodyText"/>
        <w:spacing w:line="259" w:lineRule="auto" w:before="140"/>
        <w:ind w:left="1400" w:right="1551" w:firstLine="372"/>
      </w:pPr>
      <w:r>
        <w:rPr>
          <w:b/>
          <w:w w:val="105"/>
        </w:rPr>
        <w:t>Selecting</w:t>
      </w:r>
      <w:r>
        <w:rPr>
          <w:b/>
          <w:spacing w:val="-9"/>
          <w:w w:val="105"/>
        </w:rPr>
        <w:t> </w:t>
      </w:r>
      <w:r>
        <w:rPr>
          <w:b/>
          <w:w w:val="105"/>
        </w:rPr>
        <w:t>Median</w:t>
      </w:r>
      <w:r>
        <w:rPr>
          <w:b/>
          <w:spacing w:val="-9"/>
          <w:w w:val="105"/>
        </w:rPr>
        <w:t> </w:t>
      </w:r>
      <w:r>
        <w:rPr>
          <w:b/>
          <w:w w:val="105"/>
        </w:rPr>
        <w:t>Employee.</w:t>
      </w:r>
      <w:r>
        <w:rPr>
          <w:b/>
          <w:spacing w:val="80"/>
          <w:w w:val="105"/>
        </w:rPr>
        <w:t> </w:t>
      </w:r>
      <w:r>
        <w:rPr>
          <w:w w:val="105"/>
        </w:rPr>
        <w:t>In identifying the median employee, we used base salary (or hourly rate multiplied by 2022 work schedule for hourly employees) for fiscal year 2022 plus each employees’ annual cash incentive opportunity as of the determination date (in each case annualized for regular part-time</w:t>
      </w:r>
      <w:r>
        <w:rPr>
          <w:spacing w:val="40"/>
          <w:w w:val="105"/>
        </w:rPr>
        <w:t> </w:t>
      </w:r>
      <w:r>
        <w:rPr>
          <w:w w:val="105"/>
        </w:rPr>
        <w:t>employees</w:t>
      </w:r>
      <w:r>
        <w:rPr>
          <w:spacing w:val="15"/>
          <w:w w:val="105"/>
        </w:rPr>
        <w:t> </w:t>
      </w:r>
      <w:r>
        <w:rPr>
          <w:w w:val="105"/>
        </w:rPr>
        <w:t>and</w:t>
      </w:r>
      <w:r>
        <w:rPr>
          <w:spacing w:val="15"/>
          <w:w w:val="105"/>
        </w:rPr>
        <w:t> </w:t>
      </w:r>
      <w:r>
        <w:rPr>
          <w:w w:val="105"/>
        </w:rPr>
        <w:t>full-time</w:t>
      </w:r>
      <w:r>
        <w:rPr>
          <w:spacing w:val="15"/>
          <w:w w:val="105"/>
        </w:rPr>
        <w:t> </w:t>
      </w:r>
      <w:r>
        <w:rPr>
          <w:w w:val="105"/>
        </w:rPr>
        <w:t>employees</w:t>
      </w:r>
      <w:r>
        <w:rPr>
          <w:spacing w:val="15"/>
          <w:w w:val="105"/>
        </w:rPr>
        <w:t> </w:t>
      </w:r>
      <w:r>
        <w:rPr>
          <w:w w:val="105"/>
        </w:rPr>
        <w:t>who</w:t>
      </w:r>
      <w:r>
        <w:rPr>
          <w:spacing w:val="15"/>
          <w:w w:val="105"/>
        </w:rPr>
        <w:t> </w:t>
      </w:r>
      <w:r>
        <w:rPr>
          <w:w w:val="105"/>
        </w:rPr>
        <w:t>joined</w:t>
      </w:r>
      <w:r>
        <w:rPr>
          <w:spacing w:val="15"/>
          <w:w w:val="105"/>
        </w:rPr>
        <w:t> </w:t>
      </w:r>
      <w:r>
        <w:rPr>
          <w:w w:val="105"/>
        </w:rPr>
        <w:t>during</w:t>
      </w:r>
      <w:r>
        <w:rPr>
          <w:spacing w:val="15"/>
          <w:w w:val="105"/>
        </w:rPr>
        <w:t> </w:t>
      </w:r>
      <w:r>
        <w:rPr>
          <w:w w:val="105"/>
        </w:rPr>
        <w:t>the</w:t>
      </w:r>
      <w:r>
        <w:rPr>
          <w:spacing w:val="15"/>
          <w:w w:val="105"/>
        </w:rPr>
        <w:t> </w:t>
      </w:r>
      <w:r>
        <w:rPr>
          <w:w w:val="105"/>
        </w:rPr>
        <w:t>fiscal</w:t>
      </w:r>
      <w:r>
        <w:rPr>
          <w:spacing w:val="15"/>
          <w:w w:val="105"/>
        </w:rPr>
        <w:t> </w:t>
      </w:r>
      <w:r>
        <w:rPr>
          <w:w w:val="105"/>
        </w:rPr>
        <w:t>year).</w:t>
      </w:r>
      <w:r>
        <w:rPr>
          <w:spacing w:val="15"/>
          <w:w w:val="105"/>
        </w:rPr>
        <w:t> </w:t>
      </w:r>
      <w:r>
        <w:rPr>
          <w:w w:val="105"/>
        </w:rPr>
        <w:t>No</w:t>
      </w:r>
      <w:r>
        <w:rPr>
          <w:spacing w:val="15"/>
          <w:w w:val="105"/>
        </w:rPr>
        <w:t> </w:t>
      </w:r>
      <w:r>
        <w:rPr>
          <w:w w:val="105"/>
        </w:rPr>
        <w:t>adjustments</w:t>
      </w:r>
      <w:r>
        <w:rPr>
          <w:spacing w:val="15"/>
          <w:w w:val="105"/>
        </w:rPr>
        <w:t> </w:t>
      </w:r>
      <w:r>
        <w:rPr>
          <w:w w:val="105"/>
        </w:rPr>
        <w:t>were</w:t>
      </w:r>
      <w:r>
        <w:rPr>
          <w:spacing w:val="15"/>
          <w:w w:val="105"/>
        </w:rPr>
        <w:t> </w:t>
      </w:r>
      <w:r>
        <w:rPr>
          <w:w w:val="105"/>
        </w:rPr>
        <w:t>made</w:t>
      </w:r>
      <w:r>
        <w:rPr>
          <w:spacing w:val="15"/>
          <w:w w:val="105"/>
        </w:rPr>
        <w:t> </w:t>
      </w:r>
      <w:r>
        <w:rPr>
          <w:w w:val="105"/>
        </w:rPr>
        <w:t>for</w:t>
      </w:r>
      <w:r>
        <w:rPr>
          <w:spacing w:val="15"/>
          <w:w w:val="105"/>
        </w:rPr>
        <w:t> </w:t>
      </w:r>
      <w:r>
        <w:rPr>
          <w:w w:val="105"/>
        </w:rPr>
        <w:t>cost of</w:t>
      </w:r>
      <w:r>
        <w:rPr>
          <w:spacing w:val="24"/>
          <w:w w:val="105"/>
        </w:rPr>
        <w:t> </w:t>
      </w:r>
      <w:r>
        <w:rPr>
          <w:w w:val="105"/>
        </w:rPr>
        <w:t>living</w:t>
      </w:r>
      <w:r>
        <w:rPr>
          <w:spacing w:val="24"/>
          <w:w w:val="105"/>
        </w:rPr>
        <w:t> </w:t>
      </w:r>
      <w:r>
        <w:rPr>
          <w:w w:val="105"/>
        </w:rPr>
        <w:t>or</w:t>
      </w:r>
      <w:r>
        <w:rPr>
          <w:spacing w:val="24"/>
          <w:w w:val="105"/>
        </w:rPr>
        <w:t> </w:t>
      </w:r>
      <w:r>
        <w:rPr>
          <w:w w:val="105"/>
        </w:rPr>
        <w:t>low</w:t>
      </w:r>
      <w:r>
        <w:rPr>
          <w:spacing w:val="24"/>
          <w:w w:val="105"/>
        </w:rPr>
        <w:t> </w:t>
      </w:r>
      <w:r>
        <w:rPr>
          <w:w w:val="105"/>
        </w:rPr>
        <w:t>compensation</w:t>
      </w:r>
      <w:r>
        <w:rPr>
          <w:spacing w:val="24"/>
          <w:w w:val="105"/>
        </w:rPr>
        <w:t> </w:t>
      </w:r>
      <w:r>
        <w:rPr>
          <w:w w:val="105"/>
        </w:rPr>
        <w:t>standards</w:t>
      </w:r>
      <w:r>
        <w:rPr>
          <w:spacing w:val="24"/>
          <w:w w:val="105"/>
        </w:rPr>
        <w:t> </w:t>
      </w:r>
      <w:r>
        <w:rPr>
          <w:w w:val="105"/>
        </w:rPr>
        <w:t>in</w:t>
      </w:r>
      <w:r>
        <w:rPr>
          <w:spacing w:val="24"/>
          <w:w w:val="105"/>
        </w:rPr>
        <w:t> </w:t>
      </w:r>
      <w:r>
        <w:rPr>
          <w:w w:val="105"/>
        </w:rPr>
        <w:t>any</w:t>
      </w:r>
      <w:r>
        <w:rPr>
          <w:spacing w:val="24"/>
          <w:w w:val="105"/>
        </w:rPr>
        <w:t> </w:t>
      </w:r>
      <w:r>
        <w:rPr>
          <w:w w:val="105"/>
        </w:rPr>
        <w:t>countries.</w:t>
      </w:r>
      <w:r>
        <w:rPr>
          <w:spacing w:val="24"/>
          <w:w w:val="105"/>
        </w:rPr>
        <w:t> </w:t>
      </w:r>
      <w:r>
        <w:rPr>
          <w:w w:val="105"/>
        </w:rPr>
        <w:t>Pay</w:t>
      </w:r>
      <w:r>
        <w:rPr>
          <w:spacing w:val="24"/>
          <w:w w:val="105"/>
        </w:rPr>
        <w:t> </w:t>
      </w:r>
      <w:r>
        <w:rPr>
          <w:w w:val="105"/>
        </w:rPr>
        <w:t>for</w:t>
      </w:r>
      <w:r>
        <w:rPr>
          <w:spacing w:val="24"/>
          <w:w w:val="105"/>
        </w:rPr>
        <w:t> </w:t>
      </w:r>
      <w:r>
        <w:rPr>
          <w:w w:val="105"/>
        </w:rPr>
        <w:t>non-U.S.</w:t>
      </w:r>
      <w:r>
        <w:rPr>
          <w:spacing w:val="24"/>
          <w:w w:val="105"/>
        </w:rPr>
        <w:t> </w:t>
      </w:r>
      <w:r>
        <w:rPr>
          <w:w w:val="105"/>
        </w:rPr>
        <w:t>employees</w:t>
      </w:r>
      <w:r>
        <w:rPr>
          <w:spacing w:val="24"/>
          <w:w w:val="105"/>
        </w:rPr>
        <w:t> </w:t>
      </w:r>
      <w:r>
        <w:rPr>
          <w:w w:val="105"/>
        </w:rPr>
        <w:t>was</w:t>
      </w:r>
      <w:r>
        <w:rPr>
          <w:spacing w:val="24"/>
          <w:w w:val="105"/>
        </w:rPr>
        <w:t> </w:t>
      </w:r>
      <w:r>
        <w:rPr>
          <w:w w:val="105"/>
        </w:rPr>
        <w:t>converted</w:t>
      </w:r>
      <w:r>
        <w:rPr>
          <w:spacing w:val="24"/>
          <w:w w:val="105"/>
        </w:rPr>
        <w:t> </w:t>
      </w:r>
      <w:r>
        <w:rPr>
          <w:w w:val="105"/>
        </w:rPr>
        <w:t>to</w:t>
      </w:r>
    </w:p>
    <w:p>
      <w:pPr>
        <w:pStyle w:val="BodyText"/>
        <w:spacing w:line="259" w:lineRule="auto" w:before="1"/>
        <w:ind w:left="1400" w:right="1551"/>
      </w:pPr>
      <w:r>
        <w:rPr>
          <w:w w:val="105"/>
        </w:rPr>
        <w:t>U.S. dollars using currency exchange rates as of the determination date. There were two median employees</w:t>
      </w:r>
      <w:r>
        <w:rPr>
          <w:spacing w:val="40"/>
          <w:w w:val="105"/>
        </w:rPr>
        <w:t> </w:t>
      </w:r>
      <w:r>
        <w:rPr>
          <w:w w:val="105"/>
        </w:rPr>
        <w:t>identified. In accordance with SEC rules, we selected the employee with the most representative set of</w:t>
      </w:r>
      <w:r>
        <w:rPr>
          <w:spacing w:val="40"/>
          <w:w w:val="105"/>
        </w:rPr>
        <w:t> </w:t>
      </w:r>
      <w:r>
        <w:rPr>
          <w:w w:val="105"/>
        </w:rPr>
        <w:t>compensation components with respect to our workforce as a whole.</w:t>
      </w:r>
    </w:p>
    <w:p>
      <w:pPr>
        <w:pStyle w:val="BodyText"/>
        <w:spacing w:line="259" w:lineRule="auto" w:before="154"/>
        <w:ind w:left="1400" w:right="1680" w:firstLine="372"/>
      </w:pPr>
      <w:r>
        <w:rPr>
          <w:w w:val="105"/>
        </w:rPr>
        <w:t>The SEC’s rules for identifying the median compensated employee and calculating the CEO pay ratio allow companies to adopt a variety of methodologies, to apply certain exclusions, and to make reasonable</w:t>
      </w:r>
      <w:r>
        <w:rPr>
          <w:spacing w:val="40"/>
          <w:w w:val="105"/>
        </w:rPr>
        <w:t> </w:t>
      </w:r>
      <w:r>
        <w:rPr>
          <w:w w:val="105"/>
        </w:rPr>
        <w:t>estimates and assumptions that reflect their employee populations and compensation practices. As a result,</w:t>
      </w:r>
      <w:r>
        <w:rPr>
          <w:spacing w:val="40"/>
          <w:w w:val="105"/>
        </w:rPr>
        <w:t> </w:t>
      </w:r>
      <w:r>
        <w:rPr>
          <w:w w:val="105"/>
        </w:rPr>
        <w:t>the pay ratio reported by other companies may not be comparable to the pay ratio reported above, as other</w:t>
      </w:r>
      <w:r>
        <w:rPr>
          <w:spacing w:val="40"/>
          <w:w w:val="105"/>
        </w:rPr>
        <w:t> </w:t>
      </w:r>
      <w:r>
        <w:rPr>
          <w:w w:val="105"/>
        </w:rPr>
        <w:t>companies have different employee populations and compensation practices and may utilize different methodologies, exclusions, estimates, and assumptions in calculating their own pay ratios.</w:t>
      </w:r>
    </w:p>
    <w:p>
      <w:pPr>
        <w:spacing w:after="0" w:line="259" w:lineRule="auto"/>
        <w:sectPr>
          <w:headerReference w:type="default" r:id="rId163"/>
          <w:footerReference w:type="default" r:id="rId164"/>
          <w:pgSz w:w="12240" w:h="15840"/>
          <w:pgMar w:header="529" w:footer="1931" w:top="720" w:bottom="2120" w:left="480" w:right="460"/>
        </w:sectPr>
      </w:pPr>
    </w:p>
    <w:p>
      <w:pPr>
        <w:pStyle w:val="BodyText"/>
        <w:rPr>
          <w:sz w:val="20"/>
        </w:rPr>
      </w:pPr>
      <w:r>
        <w:rPr/>
        <w:pict>
          <v:group style="position:absolute;margin-left:28.999998pt;margin-top:701.424866pt;width:555pt;height:1.4pt;mso-position-horizontal-relative:page;mso-position-vertical-relative:page;z-index:15802880" id="docshapegroup489" coordorigin="580,14028" coordsize="11100,28">
            <v:rect style="position:absolute;left:580;top:14028;width:11100;height:14" id="docshape490" filled="true" fillcolor="#999999" stroked="false">
              <v:fill type="solid"/>
            </v:rect>
            <v:shape style="position:absolute;left:579;top:14028;width:11100;height:28" id="docshape491" coordorigin="580,14028" coordsize="11100,28" path="m11680,14028l11666,14042,580,14042,580,14056,11666,14056,11680,14056,11680,14042,11680,14028xe" filled="true" fillcolor="#ededed" stroked="false">
              <v:path arrowok="t"/>
              <v:fill type="solid"/>
            </v:shape>
            <v:shape style="position:absolute;left:580;top:14028;width:14;height:28" id="docshape492" coordorigin="580,14028" coordsize="14,28" path="m580,14056l580,14028,594,14028,594,14042,580,14056xe" filled="true" fillcolor="#999999" stroked="false">
              <v:path arrowok="t"/>
              <v:fill type="solid"/>
            </v:shape>
            <w10:wrap type="none"/>
          </v:group>
        </w:pict>
      </w:r>
    </w:p>
    <w:p>
      <w:pPr>
        <w:pStyle w:val="BodyText"/>
        <w:rPr>
          <w:sz w:val="20"/>
        </w:rPr>
      </w:pPr>
    </w:p>
    <w:p>
      <w:pPr>
        <w:pStyle w:val="BodyText"/>
        <w:spacing w:before="2"/>
        <w:rPr>
          <w:sz w:val="27"/>
        </w:rPr>
      </w:pPr>
    </w:p>
    <w:p>
      <w:pPr>
        <w:pStyle w:val="Heading1"/>
      </w:pPr>
      <w:bookmarkStart w:name="_TOC_250001" w:id="42"/>
      <w:r>
        <w:rPr>
          <w:spacing w:val="-2"/>
        </w:rPr>
        <w:t>CERTAIN</w:t>
      </w:r>
      <w:r>
        <w:rPr>
          <w:spacing w:val="-3"/>
        </w:rPr>
        <w:t> </w:t>
      </w:r>
      <w:r>
        <w:rPr>
          <w:spacing w:val="-2"/>
        </w:rPr>
        <w:t>RELATIONSHIPS</w:t>
      </w:r>
      <w:r>
        <w:rPr>
          <w:spacing w:val="-14"/>
        </w:rPr>
        <w:t> </w:t>
      </w:r>
      <w:r>
        <w:rPr>
          <w:spacing w:val="-2"/>
        </w:rPr>
        <w:t>AND RELATED</w:t>
      </w:r>
      <w:r>
        <w:rPr>
          <w:spacing w:val="-6"/>
        </w:rPr>
        <w:t> </w:t>
      </w:r>
      <w:bookmarkEnd w:id="42"/>
      <w:r>
        <w:rPr>
          <w:spacing w:val="-2"/>
        </w:rPr>
        <w:t>TRANSACTIONS</w:t>
      </w:r>
    </w:p>
    <w:p>
      <w:pPr>
        <w:pStyle w:val="BodyText"/>
        <w:spacing w:before="11"/>
        <w:rPr>
          <w:b/>
          <w:sz w:val="20"/>
        </w:rPr>
      </w:pPr>
    </w:p>
    <w:p>
      <w:pPr>
        <w:pStyle w:val="Heading2"/>
      </w:pPr>
      <w:bookmarkStart w:name="_TOC_250000" w:id="43"/>
      <w:r>
        <w:rPr>
          <w:spacing w:val="-2"/>
        </w:rPr>
        <w:t>Review,</w:t>
      </w:r>
      <w:r>
        <w:rPr>
          <w:spacing w:val="-14"/>
        </w:rPr>
        <w:t> </w:t>
      </w:r>
      <w:r>
        <w:rPr>
          <w:spacing w:val="-2"/>
        </w:rPr>
        <w:t>Approval</w:t>
      </w:r>
      <w:r>
        <w:rPr/>
        <w:t> </w:t>
      </w:r>
      <w:r>
        <w:rPr>
          <w:spacing w:val="-2"/>
        </w:rPr>
        <w:t>or</w:t>
      </w:r>
      <w:r>
        <w:rPr>
          <w:spacing w:val="-5"/>
        </w:rPr>
        <w:t> </w:t>
      </w:r>
      <w:r>
        <w:rPr>
          <w:spacing w:val="-2"/>
        </w:rPr>
        <w:t>Ratification</w:t>
      </w:r>
      <w:r>
        <w:rPr>
          <w:spacing w:val="-1"/>
        </w:rPr>
        <w:t> </w:t>
      </w:r>
      <w:r>
        <w:rPr>
          <w:spacing w:val="-2"/>
        </w:rPr>
        <w:t>of</w:t>
      </w:r>
      <w:r>
        <w:rPr/>
        <w:t> </w:t>
      </w:r>
      <w:r>
        <w:rPr>
          <w:spacing w:val="-2"/>
        </w:rPr>
        <w:t>Related</w:t>
      </w:r>
      <w:r>
        <w:rPr>
          <w:spacing w:val="-1"/>
        </w:rPr>
        <w:t> </w:t>
      </w:r>
      <w:r>
        <w:rPr>
          <w:spacing w:val="-2"/>
        </w:rPr>
        <w:t>Person</w:t>
      </w:r>
      <w:r>
        <w:rPr>
          <w:spacing w:val="-5"/>
        </w:rPr>
        <w:t> </w:t>
      </w:r>
      <w:bookmarkEnd w:id="43"/>
      <w:r>
        <w:rPr>
          <w:spacing w:val="-2"/>
        </w:rPr>
        <w:t>Transactions</w:t>
      </w:r>
    </w:p>
    <w:p>
      <w:pPr>
        <w:pStyle w:val="BodyText"/>
        <w:spacing w:line="259" w:lineRule="auto" w:before="170"/>
        <w:ind w:left="1400" w:right="1423" w:firstLine="372"/>
      </w:pPr>
      <w:r>
        <w:rPr>
          <w:w w:val="105"/>
        </w:rPr>
        <w:t>The Nominating Committee is responsible for the review, approval, or ratification of “related person transactions”</w:t>
      </w:r>
      <w:r>
        <w:rPr>
          <w:spacing w:val="26"/>
          <w:w w:val="105"/>
        </w:rPr>
        <w:t> </w:t>
      </w:r>
      <w:r>
        <w:rPr>
          <w:w w:val="105"/>
        </w:rPr>
        <w:t>between</w:t>
      </w:r>
      <w:r>
        <w:rPr>
          <w:spacing w:val="26"/>
          <w:w w:val="105"/>
        </w:rPr>
        <w:t> </w:t>
      </w:r>
      <w:r>
        <w:rPr>
          <w:w w:val="105"/>
        </w:rPr>
        <w:t>the</w:t>
      </w:r>
      <w:r>
        <w:rPr>
          <w:spacing w:val="26"/>
          <w:w w:val="105"/>
        </w:rPr>
        <w:t> </w:t>
      </w:r>
      <w:r>
        <w:rPr>
          <w:w w:val="105"/>
        </w:rPr>
        <w:t>Company</w:t>
      </w:r>
      <w:r>
        <w:rPr>
          <w:spacing w:val="26"/>
          <w:w w:val="105"/>
        </w:rPr>
        <w:t> </w:t>
      </w:r>
      <w:r>
        <w:rPr>
          <w:w w:val="105"/>
        </w:rPr>
        <w:t>or</w:t>
      </w:r>
      <w:r>
        <w:rPr>
          <w:spacing w:val="26"/>
          <w:w w:val="105"/>
        </w:rPr>
        <w:t> </w:t>
      </w:r>
      <w:r>
        <w:rPr>
          <w:w w:val="105"/>
        </w:rPr>
        <w:t>its</w:t>
      </w:r>
      <w:r>
        <w:rPr>
          <w:spacing w:val="26"/>
          <w:w w:val="105"/>
        </w:rPr>
        <w:t> </w:t>
      </w:r>
      <w:r>
        <w:rPr>
          <w:w w:val="105"/>
        </w:rPr>
        <w:t>subsidiaries</w:t>
      </w:r>
      <w:r>
        <w:rPr>
          <w:spacing w:val="26"/>
          <w:w w:val="105"/>
        </w:rPr>
        <w:t> </w:t>
      </w:r>
      <w:r>
        <w:rPr>
          <w:w w:val="105"/>
        </w:rPr>
        <w:t>and</w:t>
      </w:r>
      <w:r>
        <w:rPr>
          <w:spacing w:val="26"/>
          <w:w w:val="105"/>
        </w:rPr>
        <w:t> </w:t>
      </w:r>
      <w:r>
        <w:rPr>
          <w:w w:val="105"/>
        </w:rPr>
        <w:t>related</w:t>
      </w:r>
      <w:r>
        <w:rPr>
          <w:spacing w:val="26"/>
          <w:w w:val="105"/>
        </w:rPr>
        <w:t> </w:t>
      </w:r>
      <w:r>
        <w:rPr>
          <w:w w:val="105"/>
        </w:rPr>
        <w:t>persons.</w:t>
      </w:r>
      <w:r>
        <w:rPr>
          <w:spacing w:val="26"/>
          <w:w w:val="105"/>
        </w:rPr>
        <w:t> </w:t>
      </w:r>
      <w:r>
        <w:rPr>
          <w:w w:val="105"/>
        </w:rPr>
        <w:t>Under</w:t>
      </w:r>
      <w:r>
        <w:rPr>
          <w:spacing w:val="26"/>
          <w:w w:val="105"/>
        </w:rPr>
        <w:t> </w:t>
      </w:r>
      <w:r>
        <w:rPr>
          <w:w w:val="105"/>
        </w:rPr>
        <w:t>SEC</w:t>
      </w:r>
      <w:r>
        <w:rPr>
          <w:spacing w:val="26"/>
          <w:w w:val="105"/>
        </w:rPr>
        <w:t> </w:t>
      </w:r>
      <w:r>
        <w:rPr>
          <w:w w:val="105"/>
        </w:rPr>
        <w:t>rules,</w:t>
      </w:r>
      <w:r>
        <w:rPr>
          <w:spacing w:val="26"/>
          <w:w w:val="105"/>
        </w:rPr>
        <w:t> </w:t>
      </w:r>
      <w:r>
        <w:rPr>
          <w:w w:val="105"/>
        </w:rPr>
        <w:t>a</w:t>
      </w:r>
      <w:r>
        <w:rPr>
          <w:spacing w:val="26"/>
          <w:w w:val="105"/>
        </w:rPr>
        <w:t> </w:t>
      </w:r>
      <w:r>
        <w:rPr>
          <w:w w:val="105"/>
        </w:rPr>
        <w:t>related</w:t>
      </w:r>
      <w:r>
        <w:rPr>
          <w:w w:val="105"/>
        </w:rPr>
        <w:t> person is a director, nominee for director, or executive officer since the beginning of the last fiscal year, or a</w:t>
      </w:r>
      <w:r>
        <w:rPr>
          <w:spacing w:val="40"/>
          <w:w w:val="105"/>
        </w:rPr>
        <w:t> </w:t>
      </w:r>
      <w:r>
        <w:rPr>
          <w:w w:val="105"/>
        </w:rPr>
        <w:t>more than five percent stockholder, and their immediate family members. Such transactions may include employment or consulting relationships with a related person or contracts under which we receive goods or</w:t>
      </w:r>
      <w:r>
        <w:rPr>
          <w:spacing w:val="40"/>
          <w:w w:val="105"/>
        </w:rPr>
        <w:t> </w:t>
      </w:r>
      <w:r>
        <w:rPr>
          <w:w w:val="105"/>
        </w:rPr>
        <w:t>services</w:t>
      </w:r>
      <w:r>
        <w:rPr>
          <w:spacing w:val="16"/>
          <w:w w:val="105"/>
        </w:rPr>
        <w:t> </w:t>
      </w:r>
      <w:r>
        <w:rPr>
          <w:w w:val="105"/>
        </w:rPr>
        <w:t>from</w:t>
      </w:r>
      <w:r>
        <w:rPr>
          <w:spacing w:val="16"/>
          <w:w w:val="105"/>
        </w:rPr>
        <w:t> </w:t>
      </w:r>
      <w:r>
        <w:rPr>
          <w:w w:val="105"/>
        </w:rPr>
        <w:t>(or</w:t>
      </w:r>
      <w:r>
        <w:rPr>
          <w:spacing w:val="16"/>
          <w:w w:val="105"/>
        </w:rPr>
        <w:t> </w:t>
      </w:r>
      <w:r>
        <w:rPr>
          <w:w w:val="105"/>
        </w:rPr>
        <w:t>provide</w:t>
      </w:r>
      <w:r>
        <w:rPr>
          <w:spacing w:val="16"/>
          <w:w w:val="105"/>
        </w:rPr>
        <w:t> </w:t>
      </w:r>
      <w:r>
        <w:rPr>
          <w:w w:val="105"/>
        </w:rPr>
        <w:t>goods</w:t>
      </w:r>
      <w:r>
        <w:rPr>
          <w:spacing w:val="16"/>
          <w:w w:val="105"/>
        </w:rPr>
        <w:t> </w:t>
      </w:r>
      <w:r>
        <w:rPr>
          <w:w w:val="105"/>
        </w:rPr>
        <w:t>and</w:t>
      </w:r>
      <w:r>
        <w:rPr>
          <w:spacing w:val="16"/>
          <w:w w:val="105"/>
        </w:rPr>
        <w:t> </w:t>
      </w:r>
      <w:r>
        <w:rPr>
          <w:w w:val="105"/>
        </w:rPr>
        <w:t>services</w:t>
      </w:r>
      <w:r>
        <w:rPr>
          <w:spacing w:val="16"/>
          <w:w w:val="105"/>
        </w:rPr>
        <w:t> </w:t>
      </w:r>
      <w:r>
        <w:rPr>
          <w:w w:val="105"/>
        </w:rPr>
        <w:t>to)</w:t>
      </w:r>
      <w:r>
        <w:rPr>
          <w:spacing w:val="16"/>
          <w:w w:val="105"/>
        </w:rPr>
        <w:t> </w:t>
      </w:r>
      <w:r>
        <w:rPr>
          <w:w w:val="105"/>
        </w:rPr>
        <w:t>a</w:t>
      </w:r>
      <w:r>
        <w:rPr>
          <w:spacing w:val="16"/>
          <w:w w:val="105"/>
        </w:rPr>
        <w:t> </w:t>
      </w:r>
      <w:r>
        <w:rPr>
          <w:w w:val="105"/>
        </w:rPr>
        <w:t>related</w:t>
      </w:r>
      <w:r>
        <w:rPr>
          <w:spacing w:val="16"/>
          <w:w w:val="105"/>
        </w:rPr>
        <w:t> </w:t>
      </w:r>
      <w:r>
        <w:rPr>
          <w:w w:val="105"/>
        </w:rPr>
        <w:t>person</w:t>
      </w:r>
      <w:r>
        <w:rPr>
          <w:spacing w:val="16"/>
          <w:w w:val="105"/>
        </w:rPr>
        <w:t> </w:t>
      </w:r>
      <w:r>
        <w:rPr>
          <w:w w:val="105"/>
        </w:rPr>
        <w:t>or</w:t>
      </w:r>
      <w:r>
        <w:rPr>
          <w:spacing w:val="16"/>
          <w:w w:val="105"/>
        </w:rPr>
        <w:t> </w:t>
      </w:r>
      <w:r>
        <w:rPr>
          <w:w w:val="105"/>
        </w:rPr>
        <w:t>a</w:t>
      </w:r>
      <w:r>
        <w:rPr>
          <w:spacing w:val="16"/>
          <w:w w:val="105"/>
        </w:rPr>
        <w:t> </w:t>
      </w:r>
      <w:r>
        <w:rPr>
          <w:w w:val="105"/>
        </w:rPr>
        <w:t>company</w:t>
      </w:r>
      <w:r>
        <w:rPr>
          <w:spacing w:val="16"/>
          <w:w w:val="105"/>
        </w:rPr>
        <w:t> </w:t>
      </w:r>
      <w:r>
        <w:rPr>
          <w:w w:val="105"/>
        </w:rPr>
        <w:t>for</w:t>
      </w:r>
      <w:r>
        <w:rPr>
          <w:spacing w:val="16"/>
          <w:w w:val="105"/>
        </w:rPr>
        <w:t> </w:t>
      </w:r>
      <w:r>
        <w:rPr>
          <w:w w:val="105"/>
        </w:rPr>
        <w:t>which</w:t>
      </w:r>
      <w:r>
        <w:rPr>
          <w:spacing w:val="16"/>
          <w:w w:val="105"/>
        </w:rPr>
        <w:t> </w:t>
      </w:r>
      <w:r>
        <w:rPr>
          <w:w w:val="105"/>
        </w:rPr>
        <w:t>the</w:t>
      </w:r>
      <w:r>
        <w:rPr>
          <w:spacing w:val="16"/>
          <w:w w:val="105"/>
        </w:rPr>
        <w:t> </w:t>
      </w:r>
      <w:r>
        <w:rPr>
          <w:w w:val="105"/>
        </w:rPr>
        <w:t>related</w:t>
      </w:r>
      <w:r>
        <w:rPr>
          <w:spacing w:val="16"/>
          <w:w w:val="105"/>
        </w:rPr>
        <w:t> </w:t>
      </w:r>
      <w:r>
        <w:rPr>
          <w:w w:val="105"/>
        </w:rPr>
        <w:t>person is</w:t>
      </w:r>
      <w:r>
        <w:rPr>
          <w:spacing w:val="21"/>
          <w:w w:val="105"/>
        </w:rPr>
        <w:t> </w:t>
      </w:r>
      <w:r>
        <w:rPr>
          <w:w w:val="105"/>
        </w:rPr>
        <w:t>an</w:t>
      </w:r>
      <w:r>
        <w:rPr>
          <w:spacing w:val="21"/>
          <w:w w:val="105"/>
        </w:rPr>
        <w:t> </w:t>
      </w:r>
      <w:r>
        <w:rPr>
          <w:w w:val="105"/>
        </w:rPr>
        <w:t>employee</w:t>
      </w:r>
      <w:r>
        <w:rPr>
          <w:spacing w:val="21"/>
          <w:w w:val="105"/>
        </w:rPr>
        <w:t> </w:t>
      </w:r>
      <w:r>
        <w:rPr>
          <w:w w:val="105"/>
        </w:rPr>
        <w:t>or</w:t>
      </w:r>
      <w:r>
        <w:rPr>
          <w:spacing w:val="21"/>
          <w:w w:val="105"/>
        </w:rPr>
        <w:t> </w:t>
      </w:r>
      <w:r>
        <w:rPr>
          <w:w w:val="105"/>
        </w:rPr>
        <w:t>otherwise</w:t>
      </w:r>
      <w:r>
        <w:rPr>
          <w:spacing w:val="21"/>
          <w:w w:val="105"/>
        </w:rPr>
        <w:t> </w:t>
      </w:r>
      <w:r>
        <w:rPr>
          <w:w w:val="105"/>
        </w:rPr>
        <w:t>affiliated. The</w:t>
      </w:r>
      <w:r>
        <w:rPr>
          <w:spacing w:val="21"/>
          <w:w w:val="105"/>
        </w:rPr>
        <w:t> </w:t>
      </w:r>
      <w:r>
        <w:rPr>
          <w:w w:val="105"/>
        </w:rPr>
        <w:t>Board</w:t>
      </w:r>
      <w:r>
        <w:rPr>
          <w:spacing w:val="21"/>
          <w:w w:val="105"/>
        </w:rPr>
        <w:t> </w:t>
      </w:r>
      <w:r>
        <w:rPr>
          <w:w w:val="105"/>
        </w:rPr>
        <w:t>has</w:t>
      </w:r>
      <w:r>
        <w:rPr>
          <w:spacing w:val="21"/>
          <w:w w:val="105"/>
        </w:rPr>
        <w:t> </w:t>
      </w:r>
      <w:r>
        <w:rPr>
          <w:w w:val="105"/>
        </w:rPr>
        <w:t>adopted</w:t>
      </w:r>
      <w:r>
        <w:rPr>
          <w:spacing w:val="21"/>
          <w:w w:val="105"/>
        </w:rPr>
        <w:t> </w:t>
      </w:r>
      <w:r>
        <w:rPr>
          <w:w w:val="105"/>
        </w:rPr>
        <w:t>written</w:t>
      </w:r>
      <w:r>
        <w:rPr>
          <w:spacing w:val="21"/>
          <w:w w:val="105"/>
        </w:rPr>
        <w:t> </w:t>
      </w:r>
      <w:r>
        <w:rPr>
          <w:w w:val="105"/>
        </w:rPr>
        <w:t>policies</w:t>
      </w:r>
      <w:r>
        <w:rPr>
          <w:spacing w:val="21"/>
          <w:w w:val="105"/>
        </w:rPr>
        <w:t> </w:t>
      </w:r>
      <w:r>
        <w:rPr>
          <w:w w:val="105"/>
        </w:rPr>
        <w:t>and</w:t>
      </w:r>
      <w:r>
        <w:rPr>
          <w:spacing w:val="21"/>
          <w:w w:val="105"/>
        </w:rPr>
        <w:t> </w:t>
      </w:r>
      <w:r>
        <w:rPr>
          <w:w w:val="105"/>
        </w:rPr>
        <w:t>procedures</w:t>
      </w:r>
      <w:r>
        <w:rPr>
          <w:spacing w:val="21"/>
          <w:w w:val="105"/>
        </w:rPr>
        <w:t> </w:t>
      </w:r>
      <w:r>
        <w:rPr>
          <w:w w:val="105"/>
        </w:rPr>
        <w:t>that</w:t>
      </w:r>
      <w:r>
        <w:rPr>
          <w:spacing w:val="21"/>
          <w:w w:val="105"/>
        </w:rPr>
        <w:t> </w:t>
      </w:r>
      <w:r>
        <w:rPr>
          <w:w w:val="105"/>
        </w:rPr>
        <w:t>apply</w:t>
      </w:r>
      <w:r>
        <w:rPr>
          <w:spacing w:val="21"/>
          <w:w w:val="105"/>
        </w:rPr>
        <w:t> </w:t>
      </w:r>
      <w:r>
        <w:rPr>
          <w:w w:val="105"/>
        </w:rPr>
        <w:t>to any</w:t>
      </w:r>
      <w:r>
        <w:rPr>
          <w:spacing w:val="17"/>
          <w:w w:val="105"/>
        </w:rPr>
        <w:t> </w:t>
      </w:r>
      <w:r>
        <w:rPr>
          <w:w w:val="105"/>
        </w:rPr>
        <w:t>transaction</w:t>
      </w:r>
      <w:r>
        <w:rPr>
          <w:spacing w:val="17"/>
          <w:w w:val="105"/>
        </w:rPr>
        <w:t> </w:t>
      </w:r>
      <w:r>
        <w:rPr>
          <w:w w:val="105"/>
        </w:rPr>
        <w:t>or</w:t>
      </w:r>
      <w:r>
        <w:rPr>
          <w:spacing w:val="17"/>
          <w:w w:val="105"/>
        </w:rPr>
        <w:t> </w:t>
      </w:r>
      <w:r>
        <w:rPr>
          <w:w w:val="105"/>
        </w:rPr>
        <w:t>series</w:t>
      </w:r>
      <w:r>
        <w:rPr>
          <w:spacing w:val="17"/>
          <w:w w:val="105"/>
        </w:rPr>
        <w:t> </w:t>
      </w:r>
      <w:r>
        <w:rPr>
          <w:w w:val="105"/>
        </w:rPr>
        <w:t>of</w:t>
      </w:r>
      <w:r>
        <w:rPr>
          <w:spacing w:val="17"/>
          <w:w w:val="105"/>
        </w:rPr>
        <w:t> </w:t>
      </w:r>
      <w:r>
        <w:rPr>
          <w:w w:val="105"/>
        </w:rPr>
        <w:t>transactions</w:t>
      </w:r>
      <w:r>
        <w:rPr>
          <w:spacing w:val="17"/>
          <w:w w:val="105"/>
        </w:rPr>
        <w:t> </w:t>
      </w:r>
      <w:r>
        <w:rPr>
          <w:w w:val="105"/>
        </w:rPr>
        <w:t>in</w:t>
      </w:r>
      <w:r>
        <w:rPr>
          <w:spacing w:val="17"/>
          <w:w w:val="105"/>
        </w:rPr>
        <w:t> </w:t>
      </w:r>
      <w:r>
        <w:rPr>
          <w:w w:val="105"/>
        </w:rPr>
        <w:t>which</w:t>
      </w:r>
      <w:r>
        <w:rPr>
          <w:spacing w:val="17"/>
          <w:w w:val="105"/>
        </w:rPr>
        <w:t> </w:t>
      </w:r>
      <w:r>
        <w:rPr>
          <w:w w:val="105"/>
        </w:rPr>
        <w:t>the</w:t>
      </w:r>
      <w:r>
        <w:rPr>
          <w:spacing w:val="17"/>
          <w:w w:val="105"/>
        </w:rPr>
        <w:t> </w:t>
      </w:r>
      <w:r>
        <w:rPr>
          <w:w w:val="105"/>
        </w:rPr>
        <w:t>Company</w:t>
      </w:r>
      <w:r>
        <w:rPr>
          <w:spacing w:val="17"/>
          <w:w w:val="105"/>
        </w:rPr>
        <w:t> </w:t>
      </w:r>
      <w:r>
        <w:rPr>
          <w:w w:val="105"/>
        </w:rPr>
        <w:t>or</w:t>
      </w:r>
      <w:r>
        <w:rPr>
          <w:spacing w:val="17"/>
          <w:w w:val="105"/>
        </w:rPr>
        <w:t> </w:t>
      </w:r>
      <w:r>
        <w:rPr>
          <w:w w:val="105"/>
        </w:rPr>
        <w:t>one</w:t>
      </w:r>
      <w:r>
        <w:rPr>
          <w:spacing w:val="17"/>
          <w:w w:val="105"/>
        </w:rPr>
        <w:t> </w:t>
      </w:r>
      <w:r>
        <w:rPr>
          <w:w w:val="105"/>
        </w:rPr>
        <w:t>of</w:t>
      </w:r>
      <w:r>
        <w:rPr>
          <w:spacing w:val="17"/>
          <w:w w:val="105"/>
        </w:rPr>
        <w:t> </w:t>
      </w:r>
      <w:r>
        <w:rPr>
          <w:w w:val="105"/>
        </w:rPr>
        <w:t>its</w:t>
      </w:r>
      <w:r>
        <w:rPr>
          <w:spacing w:val="17"/>
          <w:w w:val="105"/>
        </w:rPr>
        <w:t> </w:t>
      </w:r>
      <w:r>
        <w:rPr>
          <w:w w:val="105"/>
        </w:rPr>
        <w:t>subsidiaries</w:t>
      </w:r>
      <w:r>
        <w:rPr>
          <w:spacing w:val="17"/>
          <w:w w:val="105"/>
        </w:rPr>
        <w:t> </w:t>
      </w:r>
      <w:r>
        <w:rPr>
          <w:w w:val="105"/>
        </w:rPr>
        <w:t>is</w:t>
      </w:r>
      <w:r>
        <w:rPr>
          <w:spacing w:val="17"/>
          <w:w w:val="105"/>
        </w:rPr>
        <w:t> </w:t>
      </w:r>
      <w:r>
        <w:rPr>
          <w:w w:val="105"/>
        </w:rPr>
        <w:t>a</w:t>
      </w:r>
      <w:r>
        <w:rPr>
          <w:spacing w:val="17"/>
          <w:w w:val="105"/>
        </w:rPr>
        <w:t> </w:t>
      </w:r>
      <w:r>
        <w:rPr>
          <w:w w:val="105"/>
        </w:rPr>
        <w:t>participant</w:t>
      </w:r>
      <w:r>
        <w:rPr>
          <w:spacing w:val="17"/>
          <w:w w:val="105"/>
        </w:rPr>
        <w:t> </w:t>
      </w:r>
      <w:r>
        <w:rPr>
          <w:w w:val="105"/>
        </w:rPr>
        <w:t>and a related person has a direct or indirect material interest. Generally for a transaction to be approved, the</w:t>
      </w:r>
      <w:r>
        <w:rPr>
          <w:spacing w:val="40"/>
          <w:w w:val="105"/>
        </w:rPr>
        <w:t> </w:t>
      </w:r>
      <w:r>
        <w:rPr>
          <w:w w:val="105"/>
        </w:rPr>
        <w:t>Nominating Committee must be informed or have knowledge of (i) the related person’s relationship with the</w:t>
      </w:r>
      <w:r>
        <w:rPr>
          <w:spacing w:val="40"/>
          <w:w w:val="105"/>
        </w:rPr>
        <w:t> </w:t>
      </w:r>
      <w:r>
        <w:rPr>
          <w:w w:val="105"/>
        </w:rPr>
        <w:t>Company and interest in the transaction; (ii) the material facts of the proposed transaction, including a</w:t>
      </w:r>
      <w:r>
        <w:rPr>
          <w:spacing w:val="40"/>
          <w:w w:val="105"/>
        </w:rPr>
        <w:t> </w:t>
      </w:r>
      <w:r>
        <w:rPr>
          <w:w w:val="105"/>
        </w:rPr>
        <w:t>description</w:t>
      </w:r>
      <w:r>
        <w:rPr>
          <w:spacing w:val="21"/>
          <w:w w:val="105"/>
        </w:rPr>
        <w:t> </w:t>
      </w:r>
      <w:r>
        <w:rPr>
          <w:w w:val="105"/>
        </w:rPr>
        <w:t>of</w:t>
      </w:r>
      <w:r>
        <w:rPr>
          <w:spacing w:val="21"/>
          <w:w w:val="105"/>
        </w:rPr>
        <w:t> </w:t>
      </w:r>
      <w:r>
        <w:rPr>
          <w:w w:val="105"/>
        </w:rPr>
        <w:t>the</w:t>
      </w:r>
      <w:r>
        <w:rPr>
          <w:spacing w:val="21"/>
          <w:w w:val="105"/>
        </w:rPr>
        <w:t> </w:t>
      </w:r>
      <w:r>
        <w:rPr>
          <w:w w:val="105"/>
        </w:rPr>
        <w:t>nature</w:t>
      </w:r>
      <w:r>
        <w:rPr>
          <w:spacing w:val="21"/>
          <w:w w:val="105"/>
        </w:rPr>
        <w:t> </w:t>
      </w:r>
      <w:r>
        <w:rPr>
          <w:w w:val="105"/>
        </w:rPr>
        <w:t>and</w:t>
      </w:r>
      <w:r>
        <w:rPr>
          <w:spacing w:val="21"/>
          <w:w w:val="105"/>
        </w:rPr>
        <w:t> </w:t>
      </w:r>
      <w:r>
        <w:rPr>
          <w:w w:val="105"/>
        </w:rPr>
        <w:t>potential</w:t>
      </w:r>
      <w:r>
        <w:rPr>
          <w:spacing w:val="21"/>
          <w:w w:val="105"/>
        </w:rPr>
        <w:t> </w:t>
      </w:r>
      <w:r>
        <w:rPr>
          <w:w w:val="105"/>
        </w:rPr>
        <w:t>aggregate</w:t>
      </w:r>
      <w:r>
        <w:rPr>
          <w:spacing w:val="21"/>
          <w:w w:val="105"/>
        </w:rPr>
        <w:t> </w:t>
      </w:r>
      <w:r>
        <w:rPr>
          <w:w w:val="105"/>
        </w:rPr>
        <w:t>value</w:t>
      </w:r>
      <w:r>
        <w:rPr>
          <w:spacing w:val="21"/>
          <w:w w:val="105"/>
        </w:rPr>
        <w:t> </w:t>
      </w:r>
      <w:r>
        <w:rPr>
          <w:w w:val="105"/>
        </w:rPr>
        <w:t>of</w:t>
      </w:r>
      <w:r>
        <w:rPr>
          <w:spacing w:val="21"/>
          <w:w w:val="105"/>
        </w:rPr>
        <w:t> </w:t>
      </w:r>
      <w:r>
        <w:rPr>
          <w:w w:val="105"/>
        </w:rPr>
        <w:t>the</w:t>
      </w:r>
      <w:r>
        <w:rPr>
          <w:spacing w:val="21"/>
          <w:w w:val="105"/>
        </w:rPr>
        <w:t> </w:t>
      </w:r>
      <w:r>
        <w:rPr>
          <w:w w:val="105"/>
        </w:rPr>
        <w:t>proposed</w:t>
      </w:r>
      <w:r>
        <w:rPr>
          <w:spacing w:val="21"/>
          <w:w w:val="105"/>
        </w:rPr>
        <w:t> </w:t>
      </w:r>
      <w:r>
        <w:rPr>
          <w:w w:val="105"/>
        </w:rPr>
        <w:t>transaction;</w:t>
      </w:r>
      <w:r>
        <w:rPr>
          <w:spacing w:val="21"/>
          <w:w w:val="105"/>
        </w:rPr>
        <w:t> </w:t>
      </w:r>
      <w:r>
        <w:rPr>
          <w:w w:val="105"/>
        </w:rPr>
        <w:t>(iii)</w:t>
      </w:r>
      <w:r>
        <w:rPr>
          <w:spacing w:val="21"/>
          <w:w w:val="105"/>
        </w:rPr>
        <w:t> </w:t>
      </w:r>
      <w:r>
        <w:rPr>
          <w:w w:val="105"/>
        </w:rPr>
        <w:t>the</w:t>
      </w:r>
      <w:r>
        <w:rPr>
          <w:spacing w:val="21"/>
          <w:w w:val="105"/>
        </w:rPr>
        <w:t> </w:t>
      </w:r>
      <w:r>
        <w:rPr>
          <w:w w:val="105"/>
        </w:rPr>
        <w:t>benefits,</w:t>
      </w:r>
      <w:r>
        <w:rPr>
          <w:spacing w:val="21"/>
          <w:w w:val="105"/>
        </w:rPr>
        <w:t> </w:t>
      </w:r>
      <w:r>
        <w:rPr>
          <w:w w:val="105"/>
        </w:rPr>
        <w:t>if</w:t>
      </w:r>
      <w:r>
        <w:rPr>
          <w:spacing w:val="21"/>
          <w:w w:val="105"/>
        </w:rPr>
        <w:t> </w:t>
      </w:r>
      <w:r>
        <w:rPr>
          <w:w w:val="105"/>
        </w:rPr>
        <w:t>any, to</w:t>
      </w:r>
      <w:r>
        <w:rPr>
          <w:spacing w:val="25"/>
          <w:w w:val="105"/>
        </w:rPr>
        <w:t> </w:t>
      </w:r>
      <w:r>
        <w:rPr>
          <w:w w:val="105"/>
        </w:rPr>
        <w:t>the</w:t>
      </w:r>
      <w:r>
        <w:rPr>
          <w:spacing w:val="25"/>
          <w:w w:val="105"/>
        </w:rPr>
        <w:t> </w:t>
      </w:r>
      <w:r>
        <w:rPr>
          <w:w w:val="105"/>
        </w:rPr>
        <w:t>Company</w:t>
      </w:r>
      <w:r>
        <w:rPr>
          <w:spacing w:val="25"/>
          <w:w w:val="105"/>
        </w:rPr>
        <w:t> </w:t>
      </w:r>
      <w:r>
        <w:rPr>
          <w:w w:val="105"/>
        </w:rPr>
        <w:t>of</w:t>
      </w:r>
      <w:r>
        <w:rPr>
          <w:spacing w:val="25"/>
          <w:w w:val="105"/>
        </w:rPr>
        <w:t> </w:t>
      </w:r>
      <w:r>
        <w:rPr>
          <w:w w:val="105"/>
        </w:rPr>
        <w:t>the</w:t>
      </w:r>
      <w:r>
        <w:rPr>
          <w:spacing w:val="25"/>
          <w:w w:val="105"/>
        </w:rPr>
        <w:t> </w:t>
      </w:r>
      <w:r>
        <w:rPr>
          <w:w w:val="105"/>
        </w:rPr>
        <w:t>proposed</w:t>
      </w:r>
      <w:r>
        <w:rPr>
          <w:spacing w:val="25"/>
          <w:w w:val="105"/>
        </w:rPr>
        <w:t> </w:t>
      </w:r>
      <w:r>
        <w:rPr>
          <w:w w:val="105"/>
        </w:rPr>
        <w:t>transaction;</w:t>
      </w:r>
      <w:r>
        <w:rPr>
          <w:spacing w:val="25"/>
          <w:w w:val="105"/>
        </w:rPr>
        <w:t> </w:t>
      </w:r>
      <w:r>
        <w:rPr>
          <w:w w:val="105"/>
        </w:rPr>
        <w:t>(iv)</w:t>
      </w:r>
      <w:r>
        <w:rPr>
          <w:spacing w:val="25"/>
          <w:w w:val="105"/>
        </w:rPr>
        <w:t> </w:t>
      </w:r>
      <w:r>
        <w:rPr>
          <w:w w:val="105"/>
        </w:rPr>
        <w:t>if</w:t>
      </w:r>
      <w:r>
        <w:rPr>
          <w:spacing w:val="25"/>
          <w:w w:val="105"/>
        </w:rPr>
        <w:t> </w:t>
      </w:r>
      <w:r>
        <w:rPr>
          <w:w w:val="105"/>
        </w:rPr>
        <w:t>applicable,</w:t>
      </w:r>
      <w:r>
        <w:rPr>
          <w:spacing w:val="25"/>
          <w:w w:val="105"/>
        </w:rPr>
        <w:t> </w:t>
      </w:r>
      <w:r>
        <w:rPr>
          <w:w w:val="105"/>
        </w:rPr>
        <w:t>the</w:t>
      </w:r>
      <w:r>
        <w:rPr>
          <w:spacing w:val="25"/>
          <w:w w:val="105"/>
        </w:rPr>
        <w:t> </w:t>
      </w:r>
      <w:r>
        <w:rPr>
          <w:w w:val="105"/>
        </w:rPr>
        <w:t>availability</w:t>
      </w:r>
      <w:r>
        <w:rPr>
          <w:spacing w:val="25"/>
          <w:w w:val="105"/>
        </w:rPr>
        <w:t> </w:t>
      </w:r>
      <w:r>
        <w:rPr>
          <w:w w:val="105"/>
        </w:rPr>
        <w:t>of</w:t>
      </w:r>
      <w:r>
        <w:rPr>
          <w:spacing w:val="25"/>
          <w:w w:val="105"/>
        </w:rPr>
        <w:t> </w:t>
      </w:r>
      <w:r>
        <w:rPr>
          <w:w w:val="105"/>
        </w:rPr>
        <w:t>other</w:t>
      </w:r>
      <w:r>
        <w:rPr>
          <w:spacing w:val="25"/>
          <w:w w:val="105"/>
        </w:rPr>
        <w:t> </w:t>
      </w:r>
      <w:r>
        <w:rPr>
          <w:w w:val="105"/>
        </w:rPr>
        <w:t>sources</w:t>
      </w:r>
      <w:r>
        <w:rPr>
          <w:spacing w:val="25"/>
          <w:w w:val="105"/>
        </w:rPr>
        <w:t> </w:t>
      </w:r>
      <w:r>
        <w:rPr>
          <w:w w:val="105"/>
        </w:rPr>
        <w:t>of comparable</w:t>
      </w:r>
      <w:r>
        <w:rPr>
          <w:spacing w:val="25"/>
          <w:w w:val="105"/>
        </w:rPr>
        <w:t> </w:t>
      </w:r>
      <w:r>
        <w:rPr>
          <w:w w:val="105"/>
        </w:rPr>
        <w:t>products</w:t>
      </w:r>
      <w:r>
        <w:rPr>
          <w:spacing w:val="25"/>
          <w:w w:val="105"/>
        </w:rPr>
        <w:t> </w:t>
      </w:r>
      <w:r>
        <w:rPr>
          <w:w w:val="105"/>
        </w:rPr>
        <w:t>or</w:t>
      </w:r>
      <w:r>
        <w:rPr>
          <w:spacing w:val="25"/>
          <w:w w:val="105"/>
        </w:rPr>
        <w:t> </w:t>
      </w:r>
      <w:r>
        <w:rPr>
          <w:w w:val="105"/>
        </w:rPr>
        <w:t>services;</w:t>
      </w:r>
      <w:r>
        <w:rPr>
          <w:spacing w:val="25"/>
          <w:w w:val="105"/>
        </w:rPr>
        <w:t> </w:t>
      </w:r>
      <w:r>
        <w:rPr>
          <w:w w:val="105"/>
        </w:rPr>
        <w:t>and</w:t>
      </w:r>
      <w:r>
        <w:rPr>
          <w:spacing w:val="25"/>
          <w:w w:val="105"/>
        </w:rPr>
        <w:t> </w:t>
      </w:r>
      <w:r>
        <w:rPr>
          <w:w w:val="105"/>
        </w:rPr>
        <w:t>(v)</w:t>
      </w:r>
      <w:r>
        <w:rPr>
          <w:spacing w:val="25"/>
          <w:w w:val="105"/>
        </w:rPr>
        <w:t> </w:t>
      </w:r>
      <w:r>
        <w:rPr>
          <w:w w:val="105"/>
        </w:rPr>
        <w:t>an</w:t>
      </w:r>
      <w:r>
        <w:rPr>
          <w:spacing w:val="25"/>
          <w:w w:val="105"/>
        </w:rPr>
        <w:t> </w:t>
      </w:r>
      <w:r>
        <w:rPr>
          <w:w w:val="105"/>
        </w:rPr>
        <w:t>assessment</w:t>
      </w:r>
      <w:r>
        <w:rPr>
          <w:spacing w:val="25"/>
          <w:w w:val="105"/>
        </w:rPr>
        <w:t> </w:t>
      </w:r>
      <w:r>
        <w:rPr>
          <w:w w:val="105"/>
        </w:rPr>
        <w:t>of</w:t>
      </w:r>
      <w:r>
        <w:rPr>
          <w:spacing w:val="25"/>
          <w:w w:val="105"/>
        </w:rPr>
        <w:t> </w:t>
      </w:r>
      <w:r>
        <w:rPr>
          <w:w w:val="105"/>
        </w:rPr>
        <w:t>whether</w:t>
      </w:r>
      <w:r>
        <w:rPr>
          <w:spacing w:val="25"/>
          <w:w w:val="105"/>
        </w:rPr>
        <w:t> </w:t>
      </w:r>
      <w:r>
        <w:rPr>
          <w:w w:val="105"/>
        </w:rPr>
        <w:t>the</w:t>
      </w:r>
      <w:r>
        <w:rPr>
          <w:spacing w:val="25"/>
          <w:w w:val="105"/>
        </w:rPr>
        <w:t> </w:t>
      </w:r>
      <w:r>
        <w:rPr>
          <w:w w:val="105"/>
        </w:rPr>
        <w:t>proposed</w:t>
      </w:r>
      <w:r>
        <w:rPr>
          <w:spacing w:val="25"/>
          <w:w w:val="105"/>
        </w:rPr>
        <w:t> </w:t>
      </w:r>
      <w:r>
        <w:rPr>
          <w:w w:val="105"/>
        </w:rPr>
        <w:t>transaction</w:t>
      </w:r>
      <w:r>
        <w:rPr>
          <w:spacing w:val="25"/>
          <w:w w:val="105"/>
        </w:rPr>
        <w:t> </w:t>
      </w:r>
      <w:r>
        <w:rPr>
          <w:w w:val="105"/>
        </w:rPr>
        <w:t>or</w:t>
      </w:r>
      <w:r>
        <w:rPr>
          <w:spacing w:val="25"/>
          <w:w w:val="105"/>
        </w:rPr>
        <w:t> </w:t>
      </w:r>
      <w:r>
        <w:rPr>
          <w:w w:val="105"/>
        </w:rPr>
        <w:t>situation</w:t>
      </w:r>
      <w:r>
        <w:rPr>
          <w:spacing w:val="25"/>
          <w:w w:val="105"/>
        </w:rPr>
        <w:t> </w:t>
      </w:r>
      <w:r>
        <w:rPr>
          <w:w w:val="105"/>
        </w:rPr>
        <w:t>is on</w:t>
      </w:r>
      <w:r>
        <w:rPr>
          <w:spacing w:val="22"/>
          <w:w w:val="105"/>
        </w:rPr>
        <w:t> </w:t>
      </w:r>
      <w:r>
        <w:rPr>
          <w:w w:val="105"/>
        </w:rPr>
        <w:t>terms</w:t>
      </w:r>
      <w:r>
        <w:rPr>
          <w:spacing w:val="22"/>
          <w:w w:val="105"/>
        </w:rPr>
        <w:t> </w:t>
      </w:r>
      <w:r>
        <w:rPr>
          <w:w w:val="105"/>
        </w:rPr>
        <w:t>that</w:t>
      </w:r>
      <w:r>
        <w:rPr>
          <w:spacing w:val="22"/>
          <w:w w:val="105"/>
        </w:rPr>
        <w:t> </w:t>
      </w:r>
      <w:r>
        <w:rPr>
          <w:w w:val="105"/>
        </w:rPr>
        <w:t>are</w:t>
      </w:r>
      <w:r>
        <w:rPr>
          <w:spacing w:val="22"/>
          <w:w w:val="105"/>
        </w:rPr>
        <w:t> </w:t>
      </w:r>
      <w:r>
        <w:rPr>
          <w:w w:val="105"/>
        </w:rPr>
        <w:t>comparable</w:t>
      </w:r>
      <w:r>
        <w:rPr>
          <w:spacing w:val="22"/>
          <w:w w:val="105"/>
        </w:rPr>
        <w:t> </w:t>
      </w:r>
      <w:r>
        <w:rPr>
          <w:w w:val="105"/>
        </w:rPr>
        <w:t>to</w:t>
      </w:r>
      <w:r>
        <w:rPr>
          <w:spacing w:val="22"/>
          <w:w w:val="105"/>
        </w:rPr>
        <w:t> </w:t>
      </w:r>
      <w:r>
        <w:rPr>
          <w:w w:val="105"/>
        </w:rPr>
        <w:t>the</w:t>
      </w:r>
      <w:r>
        <w:rPr>
          <w:spacing w:val="22"/>
          <w:w w:val="105"/>
        </w:rPr>
        <w:t> </w:t>
      </w:r>
      <w:r>
        <w:rPr>
          <w:w w:val="105"/>
        </w:rPr>
        <w:t>terms</w:t>
      </w:r>
      <w:r>
        <w:rPr>
          <w:spacing w:val="22"/>
          <w:w w:val="105"/>
        </w:rPr>
        <w:t> </w:t>
      </w:r>
      <w:r>
        <w:rPr>
          <w:w w:val="105"/>
        </w:rPr>
        <w:t>available</w:t>
      </w:r>
      <w:r>
        <w:rPr>
          <w:spacing w:val="22"/>
          <w:w w:val="105"/>
        </w:rPr>
        <w:t> </w:t>
      </w:r>
      <w:r>
        <w:rPr>
          <w:w w:val="105"/>
        </w:rPr>
        <w:t>to</w:t>
      </w:r>
      <w:r>
        <w:rPr>
          <w:spacing w:val="22"/>
          <w:w w:val="105"/>
        </w:rPr>
        <w:t> </w:t>
      </w:r>
      <w:r>
        <w:rPr>
          <w:w w:val="105"/>
        </w:rPr>
        <w:t>an</w:t>
      </w:r>
      <w:r>
        <w:rPr>
          <w:spacing w:val="22"/>
          <w:w w:val="105"/>
        </w:rPr>
        <w:t> </w:t>
      </w:r>
      <w:r>
        <w:rPr>
          <w:w w:val="105"/>
        </w:rPr>
        <w:t>unrelated</w:t>
      </w:r>
      <w:r>
        <w:rPr>
          <w:spacing w:val="22"/>
          <w:w w:val="105"/>
        </w:rPr>
        <w:t> </w:t>
      </w:r>
      <w:r>
        <w:rPr>
          <w:w w:val="105"/>
        </w:rPr>
        <w:t>third</w:t>
      </w:r>
      <w:r>
        <w:rPr>
          <w:spacing w:val="22"/>
          <w:w w:val="105"/>
        </w:rPr>
        <w:t> </w:t>
      </w:r>
      <w:r>
        <w:rPr>
          <w:w w:val="105"/>
        </w:rPr>
        <w:t>party</w:t>
      </w:r>
      <w:r>
        <w:rPr>
          <w:spacing w:val="22"/>
          <w:w w:val="105"/>
        </w:rPr>
        <w:t> </w:t>
      </w:r>
      <w:r>
        <w:rPr>
          <w:w w:val="105"/>
        </w:rPr>
        <w:t>or</w:t>
      </w:r>
      <w:r>
        <w:rPr>
          <w:spacing w:val="22"/>
          <w:w w:val="105"/>
        </w:rPr>
        <w:t> </w:t>
      </w:r>
      <w:r>
        <w:rPr>
          <w:w w:val="105"/>
        </w:rPr>
        <w:t>to</w:t>
      </w:r>
      <w:r>
        <w:rPr>
          <w:spacing w:val="22"/>
          <w:w w:val="105"/>
        </w:rPr>
        <w:t> </w:t>
      </w:r>
      <w:r>
        <w:rPr>
          <w:w w:val="105"/>
        </w:rPr>
        <w:t>employees</w:t>
      </w:r>
      <w:r>
        <w:rPr>
          <w:spacing w:val="22"/>
          <w:w w:val="105"/>
        </w:rPr>
        <w:t> </w:t>
      </w:r>
      <w:r>
        <w:rPr>
          <w:w w:val="105"/>
        </w:rPr>
        <w:t>generally.</w:t>
      </w:r>
    </w:p>
    <w:p>
      <w:pPr>
        <w:pStyle w:val="BodyText"/>
        <w:spacing w:line="259" w:lineRule="auto" w:before="156"/>
        <w:ind w:left="1400" w:right="1551" w:firstLine="372"/>
      </w:pPr>
      <w:r>
        <w:rPr>
          <w:w w:val="105"/>
        </w:rPr>
        <w:t>The Nominating Committee has, however, determined that a related person does not have a direct or indirect material interest in the following categories of transactions:</w:t>
      </w:r>
    </w:p>
    <w:p>
      <w:pPr>
        <w:pStyle w:val="ListParagraph"/>
        <w:numPr>
          <w:ilvl w:val="0"/>
          <w:numId w:val="38"/>
        </w:numPr>
        <w:tabs>
          <w:tab w:pos="1960" w:val="left" w:leader="none"/>
        </w:tabs>
        <w:spacing w:line="259" w:lineRule="auto" w:before="112" w:after="0"/>
        <w:ind w:left="1959" w:right="1709" w:hanging="187"/>
        <w:jc w:val="left"/>
        <w:rPr>
          <w:sz w:val="18"/>
        </w:rPr>
      </w:pPr>
      <w:r>
        <w:rPr>
          <w:w w:val="105"/>
          <w:sz w:val="18"/>
        </w:rPr>
        <w:t>any transaction with another company for which a related person’s only relationship is as an employee (other than an executive officer), director, or beneficial owner of less than 10% of that company’s shares, if the amount involved does not exceed the greater of $1 million, or 2% of that company’s total annual revenue, and the related person is not involved in the decision-making process for such transaction;</w:t>
      </w:r>
    </w:p>
    <w:p>
      <w:pPr>
        <w:pStyle w:val="ListParagraph"/>
        <w:numPr>
          <w:ilvl w:val="0"/>
          <w:numId w:val="38"/>
        </w:numPr>
        <w:tabs>
          <w:tab w:pos="1960" w:val="left" w:leader="none"/>
        </w:tabs>
        <w:spacing w:line="259" w:lineRule="auto" w:before="113" w:after="0"/>
        <w:ind w:left="1959" w:right="1431" w:hanging="187"/>
        <w:jc w:val="left"/>
        <w:rPr>
          <w:sz w:val="18"/>
        </w:rPr>
      </w:pPr>
      <w:r>
        <w:rPr>
          <w:w w:val="105"/>
          <w:sz w:val="18"/>
        </w:rPr>
        <w:t>any charitable contribution, grant or endowment by the Company to a charitable organization, foundation</w:t>
      </w:r>
      <w:r>
        <w:rPr>
          <w:spacing w:val="20"/>
          <w:w w:val="105"/>
          <w:sz w:val="18"/>
        </w:rPr>
        <w:t> </w:t>
      </w:r>
      <w:r>
        <w:rPr>
          <w:w w:val="105"/>
          <w:sz w:val="18"/>
        </w:rPr>
        <w:t>or</w:t>
      </w:r>
      <w:r>
        <w:rPr>
          <w:spacing w:val="20"/>
          <w:w w:val="105"/>
          <w:sz w:val="18"/>
        </w:rPr>
        <w:t> </w:t>
      </w:r>
      <w:r>
        <w:rPr>
          <w:w w:val="105"/>
          <w:sz w:val="18"/>
        </w:rPr>
        <w:t>university</w:t>
      </w:r>
      <w:r>
        <w:rPr>
          <w:spacing w:val="20"/>
          <w:w w:val="105"/>
          <w:sz w:val="18"/>
        </w:rPr>
        <w:t> </w:t>
      </w:r>
      <w:r>
        <w:rPr>
          <w:w w:val="105"/>
          <w:sz w:val="18"/>
        </w:rPr>
        <w:t>for</w:t>
      </w:r>
      <w:r>
        <w:rPr>
          <w:spacing w:val="20"/>
          <w:w w:val="105"/>
          <w:sz w:val="18"/>
        </w:rPr>
        <w:t> </w:t>
      </w:r>
      <w:r>
        <w:rPr>
          <w:w w:val="105"/>
          <w:sz w:val="18"/>
        </w:rPr>
        <w:t>which</w:t>
      </w:r>
      <w:r>
        <w:rPr>
          <w:spacing w:val="20"/>
          <w:w w:val="105"/>
          <w:sz w:val="18"/>
        </w:rPr>
        <w:t> </w:t>
      </w:r>
      <w:r>
        <w:rPr>
          <w:w w:val="105"/>
          <w:sz w:val="18"/>
        </w:rPr>
        <w:t>a</w:t>
      </w:r>
      <w:r>
        <w:rPr>
          <w:spacing w:val="20"/>
          <w:w w:val="105"/>
          <w:sz w:val="18"/>
        </w:rPr>
        <w:t> </w:t>
      </w:r>
      <w:r>
        <w:rPr>
          <w:w w:val="105"/>
          <w:sz w:val="18"/>
        </w:rPr>
        <w:t>related</w:t>
      </w:r>
      <w:r>
        <w:rPr>
          <w:spacing w:val="20"/>
          <w:w w:val="105"/>
          <w:sz w:val="18"/>
        </w:rPr>
        <w:t> </w:t>
      </w:r>
      <w:r>
        <w:rPr>
          <w:w w:val="105"/>
          <w:sz w:val="18"/>
        </w:rPr>
        <w:t>person’s</w:t>
      </w:r>
      <w:r>
        <w:rPr>
          <w:spacing w:val="20"/>
          <w:w w:val="105"/>
          <w:sz w:val="18"/>
        </w:rPr>
        <w:t> </w:t>
      </w:r>
      <w:r>
        <w:rPr>
          <w:w w:val="105"/>
          <w:sz w:val="18"/>
        </w:rPr>
        <w:t>only</w:t>
      </w:r>
      <w:r>
        <w:rPr>
          <w:spacing w:val="20"/>
          <w:w w:val="105"/>
          <w:sz w:val="18"/>
        </w:rPr>
        <w:t> </w:t>
      </w:r>
      <w:r>
        <w:rPr>
          <w:w w:val="105"/>
          <w:sz w:val="18"/>
        </w:rPr>
        <w:t>relationship</w:t>
      </w:r>
      <w:r>
        <w:rPr>
          <w:spacing w:val="20"/>
          <w:w w:val="105"/>
          <w:sz w:val="18"/>
        </w:rPr>
        <w:t> </w:t>
      </w:r>
      <w:r>
        <w:rPr>
          <w:w w:val="105"/>
          <w:sz w:val="18"/>
        </w:rPr>
        <w:t>is</w:t>
      </w:r>
      <w:r>
        <w:rPr>
          <w:spacing w:val="20"/>
          <w:w w:val="105"/>
          <w:sz w:val="18"/>
        </w:rPr>
        <w:t> </w:t>
      </w:r>
      <w:r>
        <w:rPr>
          <w:w w:val="105"/>
          <w:sz w:val="18"/>
        </w:rPr>
        <w:t>as</w:t>
      </w:r>
      <w:r>
        <w:rPr>
          <w:spacing w:val="20"/>
          <w:w w:val="105"/>
          <w:sz w:val="18"/>
        </w:rPr>
        <w:t> </w:t>
      </w:r>
      <w:r>
        <w:rPr>
          <w:w w:val="105"/>
          <w:sz w:val="18"/>
        </w:rPr>
        <w:t>an</w:t>
      </w:r>
      <w:r>
        <w:rPr>
          <w:spacing w:val="20"/>
          <w:w w:val="105"/>
          <w:sz w:val="18"/>
        </w:rPr>
        <w:t> </w:t>
      </w:r>
      <w:r>
        <w:rPr>
          <w:w w:val="105"/>
          <w:sz w:val="18"/>
        </w:rPr>
        <w:t>employee</w:t>
      </w:r>
      <w:r>
        <w:rPr>
          <w:spacing w:val="20"/>
          <w:w w:val="105"/>
          <w:sz w:val="18"/>
        </w:rPr>
        <w:t> </w:t>
      </w:r>
      <w:r>
        <w:rPr>
          <w:w w:val="105"/>
          <w:sz w:val="18"/>
        </w:rPr>
        <w:t>(other</w:t>
      </w:r>
      <w:r>
        <w:rPr>
          <w:spacing w:val="20"/>
          <w:w w:val="105"/>
          <w:sz w:val="18"/>
        </w:rPr>
        <w:t> </w:t>
      </w:r>
      <w:r>
        <w:rPr>
          <w:w w:val="105"/>
          <w:sz w:val="18"/>
        </w:rPr>
        <w:t>than an executive officer) or a director, if the amount involved does not exceed the lesser of $1 million, or</w:t>
      </w:r>
      <w:r>
        <w:rPr>
          <w:spacing w:val="40"/>
          <w:w w:val="105"/>
          <w:sz w:val="18"/>
        </w:rPr>
        <w:t> </w:t>
      </w:r>
      <w:r>
        <w:rPr>
          <w:w w:val="105"/>
          <w:sz w:val="18"/>
        </w:rPr>
        <w:t>2% of the charitable organization’s total annual receipts, and the related person is not involved in the</w:t>
      </w:r>
      <w:r>
        <w:rPr>
          <w:spacing w:val="40"/>
          <w:w w:val="105"/>
          <w:sz w:val="18"/>
        </w:rPr>
        <w:t> </w:t>
      </w:r>
      <w:r>
        <w:rPr>
          <w:w w:val="105"/>
          <w:sz w:val="18"/>
        </w:rPr>
        <w:t>decision-making process for such transaction;</w:t>
      </w:r>
    </w:p>
    <w:p>
      <w:pPr>
        <w:pStyle w:val="ListParagraph"/>
        <w:numPr>
          <w:ilvl w:val="0"/>
          <w:numId w:val="38"/>
        </w:numPr>
        <w:tabs>
          <w:tab w:pos="1960" w:val="left" w:leader="none"/>
        </w:tabs>
        <w:spacing w:line="240" w:lineRule="auto" w:before="112" w:after="0"/>
        <w:ind w:left="1959" w:right="0" w:hanging="188"/>
        <w:jc w:val="left"/>
        <w:rPr>
          <w:sz w:val="18"/>
        </w:rPr>
      </w:pPr>
      <w:r>
        <w:rPr>
          <w:w w:val="105"/>
          <w:sz w:val="18"/>
        </w:rPr>
        <w:t>compensation</w:t>
      </w:r>
      <w:r>
        <w:rPr>
          <w:spacing w:val="13"/>
          <w:w w:val="105"/>
          <w:sz w:val="18"/>
        </w:rPr>
        <w:t> </w:t>
      </w:r>
      <w:r>
        <w:rPr>
          <w:w w:val="105"/>
          <w:sz w:val="18"/>
        </w:rPr>
        <w:t>to</w:t>
      </w:r>
      <w:r>
        <w:rPr>
          <w:spacing w:val="14"/>
          <w:w w:val="105"/>
          <w:sz w:val="18"/>
        </w:rPr>
        <w:t> </w:t>
      </w:r>
      <w:r>
        <w:rPr>
          <w:w w:val="105"/>
          <w:sz w:val="18"/>
        </w:rPr>
        <w:t>executive</w:t>
      </w:r>
      <w:r>
        <w:rPr>
          <w:spacing w:val="13"/>
          <w:w w:val="105"/>
          <w:sz w:val="18"/>
        </w:rPr>
        <w:t> </w:t>
      </w:r>
      <w:r>
        <w:rPr>
          <w:w w:val="105"/>
          <w:sz w:val="18"/>
        </w:rPr>
        <w:t>officers</w:t>
      </w:r>
      <w:r>
        <w:rPr>
          <w:spacing w:val="14"/>
          <w:w w:val="105"/>
          <w:sz w:val="18"/>
        </w:rPr>
        <w:t> </w:t>
      </w:r>
      <w:r>
        <w:rPr>
          <w:w w:val="105"/>
          <w:sz w:val="18"/>
        </w:rPr>
        <w:t>determined</w:t>
      </w:r>
      <w:r>
        <w:rPr>
          <w:spacing w:val="13"/>
          <w:w w:val="105"/>
          <w:sz w:val="18"/>
        </w:rPr>
        <w:t> </w:t>
      </w:r>
      <w:r>
        <w:rPr>
          <w:w w:val="105"/>
          <w:sz w:val="18"/>
        </w:rPr>
        <w:t>by</w:t>
      </w:r>
      <w:r>
        <w:rPr>
          <w:spacing w:val="14"/>
          <w:w w:val="105"/>
          <w:sz w:val="18"/>
        </w:rPr>
        <w:t> </w:t>
      </w:r>
      <w:r>
        <w:rPr>
          <w:w w:val="105"/>
          <w:sz w:val="18"/>
        </w:rPr>
        <w:t>the</w:t>
      </w:r>
      <w:r>
        <w:rPr>
          <w:spacing w:val="13"/>
          <w:w w:val="105"/>
          <w:sz w:val="18"/>
        </w:rPr>
        <w:t> </w:t>
      </w:r>
      <w:r>
        <w:rPr>
          <w:w w:val="105"/>
          <w:sz w:val="18"/>
        </w:rPr>
        <w:t>Compensation</w:t>
      </w:r>
      <w:r>
        <w:rPr>
          <w:spacing w:val="14"/>
          <w:w w:val="105"/>
          <w:sz w:val="18"/>
        </w:rPr>
        <w:t> </w:t>
      </w:r>
      <w:r>
        <w:rPr>
          <w:spacing w:val="-2"/>
          <w:w w:val="105"/>
          <w:sz w:val="18"/>
        </w:rPr>
        <w:t>Committee;</w:t>
      </w:r>
    </w:p>
    <w:p>
      <w:pPr>
        <w:pStyle w:val="ListParagraph"/>
        <w:numPr>
          <w:ilvl w:val="0"/>
          <w:numId w:val="38"/>
        </w:numPr>
        <w:tabs>
          <w:tab w:pos="1960" w:val="left" w:leader="none"/>
        </w:tabs>
        <w:spacing w:line="240" w:lineRule="auto" w:before="129" w:after="0"/>
        <w:ind w:left="1959" w:right="0" w:hanging="188"/>
        <w:jc w:val="left"/>
        <w:rPr>
          <w:sz w:val="18"/>
        </w:rPr>
      </w:pPr>
      <w:r>
        <w:rPr>
          <w:w w:val="105"/>
          <w:sz w:val="18"/>
        </w:rPr>
        <w:t>compensation</w:t>
      </w:r>
      <w:r>
        <w:rPr>
          <w:spacing w:val="12"/>
          <w:w w:val="105"/>
          <w:sz w:val="18"/>
        </w:rPr>
        <w:t> </w:t>
      </w:r>
      <w:r>
        <w:rPr>
          <w:w w:val="105"/>
          <w:sz w:val="18"/>
        </w:rPr>
        <w:t>to</w:t>
      </w:r>
      <w:r>
        <w:rPr>
          <w:spacing w:val="13"/>
          <w:w w:val="105"/>
          <w:sz w:val="18"/>
        </w:rPr>
        <w:t> </w:t>
      </w:r>
      <w:r>
        <w:rPr>
          <w:w w:val="105"/>
          <w:sz w:val="18"/>
        </w:rPr>
        <w:t>directors</w:t>
      </w:r>
      <w:r>
        <w:rPr>
          <w:spacing w:val="13"/>
          <w:w w:val="105"/>
          <w:sz w:val="18"/>
        </w:rPr>
        <w:t> </w:t>
      </w:r>
      <w:r>
        <w:rPr>
          <w:w w:val="105"/>
          <w:sz w:val="18"/>
        </w:rPr>
        <w:t>determined</w:t>
      </w:r>
      <w:r>
        <w:rPr>
          <w:spacing w:val="12"/>
          <w:w w:val="105"/>
          <w:sz w:val="18"/>
        </w:rPr>
        <w:t> </w:t>
      </w:r>
      <w:r>
        <w:rPr>
          <w:w w:val="105"/>
          <w:sz w:val="18"/>
        </w:rPr>
        <w:t>by</w:t>
      </w:r>
      <w:r>
        <w:rPr>
          <w:spacing w:val="13"/>
          <w:w w:val="105"/>
          <w:sz w:val="18"/>
        </w:rPr>
        <w:t> </w:t>
      </w:r>
      <w:r>
        <w:rPr>
          <w:w w:val="105"/>
          <w:sz w:val="18"/>
        </w:rPr>
        <w:t>the</w:t>
      </w:r>
      <w:r>
        <w:rPr>
          <w:spacing w:val="13"/>
          <w:w w:val="105"/>
          <w:sz w:val="18"/>
        </w:rPr>
        <w:t> </w:t>
      </w:r>
      <w:r>
        <w:rPr>
          <w:w w:val="105"/>
          <w:sz w:val="18"/>
        </w:rPr>
        <w:t>Board;</w:t>
      </w:r>
      <w:r>
        <w:rPr>
          <w:spacing w:val="12"/>
          <w:w w:val="105"/>
          <w:sz w:val="18"/>
        </w:rPr>
        <w:t> </w:t>
      </w:r>
      <w:r>
        <w:rPr>
          <w:spacing w:val="-5"/>
          <w:w w:val="105"/>
          <w:sz w:val="18"/>
        </w:rPr>
        <w:t>and</w:t>
      </w:r>
    </w:p>
    <w:p>
      <w:pPr>
        <w:pStyle w:val="ListParagraph"/>
        <w:numPr>
          <w:ilvl w:val="0"/>
          <w:numId w:val="38"/>
        </w:numPr>
        <w:tabs>
          <w:tab w:pos="1960" w:val="left" w:leader="none"/>
        </w:tabs>
        <w:spacing w:line="240" w:lineRule="auto" w:before="128" w:after="0"/>
        <w:ind w:left="1959" w:right="0" w:hanging="188"/>
        <w:jc w:val="left"/>
        <w:rPr>
          <w:sz w:val="18"/>
        </w:rPr>
      </w:pPr>
      <w:r>
        <w:rPr>
          <w:w w:val="105"/>
          <w:sz w:val="18"/>
        </w:rPr>
        <w:t>transactions</w:t>
      </w:r>
      <w:r>
        <w:rPr>
          <w:spacing w:val="14"/>
          <w:w w:val="105"/>
          <w:sz w:val="18"/>
        </w:rPr>
        <w:t> </w:t>
      </w:r>
      <w:r>
        <w:rPr>
          <w:w w:val="105"/>
          <w:sz w:val="18"/>
        </w:rPr>
        <w:t>in</w:t>
      </w:r>
      <w:r>
        <w:rPr>
          <w:spacing w:val="14"/>
          <w:w w:val="105"/>
          <w:sz w:val="18"/>
        </w:rPr>
        <w:t> </w:t>
      </w:r>
      <w:r>
        <w:rPr>
          <w:w w:val="105"/>
          <w:sz w:val="18"/>
        </w:rPr>
        <w:t>which</w:t>
      </w:r>
      <w:r>
        <w:rPr>
          <w:spacing w:val="15"/>
          <w:w w:val="105"/>
          <w:sz w:val="18"/>
        </w:rPr>
        <w:t> </w:t>
      </w:r>
      <w:r>
        <w:rPr>
          <w:w w:val="105"/>
          <w:sz w:val="18"/>
        </w:rPr>
        <w:t>all</w:t>
      </w:r>
      <w:r>
        <w:rPr>
          <w:spacing w:val="14"/>
          <w:w w:val="105"/>
          <w:sz w:val="18"/>
        </w:rPr>
        <w:t> </w:t>
      </w:r>
      <w:r>
        <w:rPr>
          <w:w w:val="105"/>
          <w:sz w:val="18"/>
        </w:rPr>
        <w:t>security</w:t>
      </w:r>
      <w:r>
        <w:rPr>
          <w:spacing w:val="15"/>
          <w:w w:val="105"/>
          <w:sz w:val="18"/>
        </w:rPr>
        <w:t> </w:t>
      </w:r>
      <w:r>
        <w:rPr>
          <w:w w:val="105"/>
          <w:sz w:val="18"/>
        </w:rPr>
        <w:t>holders</w:t>
      </w:r>
      <w:r>
        <w:rPr>
          <w:spacing w:val="14"/>
          <w:w w:val="105"/>
          <w:sz w:val="18"/>
        </w:rPr>
        <w:t> </w:t>
      </w:r>
      <w:r>
        <w:rPr>
          <w:w w:val="105"/>
          <w:sz w:val="18"/>
        </w:rPr>
        <w:t>receive</w:t>
      </w:r>
      <w:r>
        <w:rPr>
          <w:spacing w:val="15"/>
          <w:w w:val="105"/>
          <w:sz w:val="18"/>
        </w:rPr>
        <w:t> </w:t>
      </w:r>
      <w:r>
        <w:rPr>
          <w:w w:val="105"/>
          <w:sz w:val="18"/>
        </w:rPr>
        <w:t>proportional</w:t>
      </w:r>
      <w:r>
        <w:rPr>
          <w:spacing w:val="14"/>
          <w:w w:val="105"/>
          <w:sz w:val="18"/>
        </w:rPr>
        <w:t> </w:t>
      </w:r>
      <w:r>
        <w:rPr>
          <w:spacing w:val="-2"/>
          <w:w w:val="105"/>
          <w:sz w:val="18"/>
        </w:rPr>
        <w:t>benefits.</w:t>
      </w:r>
    </w:p>
    <w:p>
      <w:pPr>
        <w:pStyle w:val="BodyText"/>
        <w:spacing w:line="259" w:lineRule="auto" w:before="157"/>
        <w:ind w:left="1400" w:right="1551" w:firstLine="372"/>
      </w:pPr>
      <w:r>
        <w:rPr>
          <w:w w:val="105"/>
        </w:rPr>
        <w:t>Transactions</w:t>
      </w:r>
      <w:r>
        <w:rPr>
          <w:spacing w:val="25"/>
          <w:w w:val="105"/>
        </w:rPr>
        <w:t> </w:t>
      </w:r>
      <w:r>
        <w:rPr>
          <w:w w:val="105"/>
        </w:rPr>
        <w:t>involving</w:t>
      </w:r>
      <w:r>
        <w:rPr>
          <w:spacing w:val="25"/>
          <w:w w:val="105"/>
        </w:rPr>
        <w:t> </w:t>
      </w:r>
      <w:r>
        <w:rPr>
          <w:w w:val="105"/>
        </w:rPr>
        <w:t>related</w:t>
      </w:r>
      <w:r>
        <w:rPr>
          <w:spacing w:val="25"/>
          <w:w w:val="105"/>
        </w:rPr>
        <w:t> </w:t>
      </w:r>
      <w:r>
        <w:rPr>
          <w:w w:val="105"/>
        </w:rPr>
        <w:t>persons</w:t>
      </w:r>
      <w:r>
        <w:rPr>
          <w:spacing w:val="25"/>
          <w:w w:val="105"/>
        </w:rPr>
        <w:t> </w:t>
      </w:r>
      <w:r>
        <w:rPr>
          <w:w w:val="105"/>
        </w:rPr>
        <w:t>that</w:t>
      </w:r>
      <w:r>
        <w:rPr>
          <w:spacing w:val="25"/>
          <w:w w:val="105"/>
        </w:rPr>
        <w:t> </w:t>
      </w:r>
      <w:r>
        <w:rPr>
          <w:w w:val="105"/>
        </w:rPr>
        <w:t>are</w:t>
      </w:r>
      <w:r>
        <w:rPr>
          <w:spacing w:val="25"/>
          <w:w w:val="105"/>
        </w:rPr>
        <w:t> </w:t>
      </w:r>
      <w:r>
        <w:rPr>
          <w:w w:val="105"/>
        </w:rPr>
        <w:t>not</w:t>
      </w:r>
      <w:r>
        <w:rPr>
          <w:spacing w:val="25"/>
          <w:w w:val="105"/>
        </w:rPr>
        <w:t> </w:t>
      </w:r>
      <w:r>
        <w:rPr>
          <w:w w:val="105"/>
        </w:rPr>
        <w:t>included</w:t>
      </w:r>
      <w:r>
        <w:rPr>
          <w:spacing w:val="25"/>
          <w:w w:val="105"/>
        </w:rPr>
        <w:t> </w:t>
      </w:r>
      <w:r>
        <w:rPr>
          <w:w w:val="105"/>
        </w:rPr>
        <w:t>in</w:t>
      </w:r>
      <w:r>
        <w:rPr>
          <w:spacing w:val="25"/>
          <w:w w:val="105"/>
        </w:rPr>
        <w:t> </w:t>
      </w:r>
      <w:r>
        <w:rPr>
          <w:w w:val="105"/>
        </w:rPr>
        <w:t>one</w:t>
      </w:r>
      <w:r>
        <w:rPr>
          <w:spacing w:val="25"/>
          <w:w w:val="105"/>
        </w:rPr>
        <w:t> </w:t>
      </w:r>
      <w:r>
        <w:rPr>
          <w:w w:val="105"/>
        </w:rPr>
        <w:t>of</w:t>
      </w:r>
      <w:r>
        <w:rPr>
          <w:spacing w:val="25"/>
          <w:w w:val="105"/>
        </w:rPr>
        <w:t> </w:t>
      </w:r>
      <w:r>
        <w:rPr>
          <w:w w:val="105"/>
        </w:rPr>
        <w:t>the</w:t>
      </w:r>
      <w:r>
        <w:rPr>
          <w:spacing w:val="25"/>
          <w:w w:val="105"/>
        </w:rPr>
        <w:t> </w:t>
      </w:r>
      <w:r>
        <w:rPr>
          <w:w w:val="105"/>
        </w:rPr>
        <w:t>above</w:t>
      </w:r>
      <w:r>
        <w:rPr>
          <w:spacing w:val="25"/>
          <w:w w:val="105"/>
        </w:rPr>
        <w:t> </w:t>
      </w:r>
      <w:r>
        <w:rPr>
          <w:w w:val="105"/>
        </w:rPr>
        <w:t>categories</w:t>
      </w:r>
      <w:r>
        <w:rPr>
          <w:spacing w:val="25"/>
          <w:w w:val="105"/>
        </w:rPr>
        <w:t> </w:t>
      </w:r>
      <w:r>
        <w:rPr>
          <w:w w:val="105"/>
        </w:rPr>
        <w:t>are forwarded to our legal department to determine whether the related person could have a direct or indirect</w:t>
      </w:r>
      <w:r>
        <w:rPr>
          <w:spacing w:val="40"/>
          <w:w w:val="105"/>
        </w:rPr>
        <w:t> </w:t>
      </w:r>
      <w:r>
        <w:rPr>
          <w:w w:val="105"/>
        </w:rPr>
        <w:t>material interest in the transaction, and any such transaction is forwarded to the Nominating Committee for</w:t>
      </w:r>
      <w:r>
        <w:rPr>
          <w:spacing w:val="40"/>
          <w:w w:val="105"/>
        </w:rPr>
        <w:t> </w:t>
      </w:r>
      <w:r>
        <w:rPr>
          <w:w w:val="105"/>
        </w:rPr>
        <w:t>review. The Nominating Committee determines whether the related person has a material interest in a transaction and may approve, ratify, terminate, or take other action with respect to the transaction in its</w:t>
      </w:r>
      <w:r>
        <w:rPr>
          <w:spacing w:val="40"/>
          <w:w w:val="105"/>
        </w:rPr>
        <w:t> </w:t>
      </w:r>
      <w:r>
        <w:rPr>
          <w:w w:val="105"/>
        </w:rPr>
        <w:t>discretion. There</w:t>
      </w:r>
      <w:r>
        <w:rPr>
          <w:spacing w:val="27"/>
          <w:w w:val="105"/>
        </w:rPr>
        <w:t> </w:t>
      </w:r>
      <w:r>
        <w:rPr>
          <w:w w:val="105"/>
        </w:rPr>
        <w:t>were</w:t>
      </w:r>
      <w:r>
        <w:rPr>
          <w:spacing w:val="27"/>
          <w:w w:val="105"/>
        </w:rPr>
        <w:t> </w:t>
      </w:r>
      <w:r>
        <w:rPr>
          <w:w w:val="105"/>
        </w:rPr>
        <w:t>no</w:t>
      </w:r>
      <w:r>
        <w:rPr>
          <w:spacing w:val="27"/>
          <w:w w:val="105"/>
        </w:rPr>
        <w:t> </w:t>
      </w:r>
      <w:r>
        <w:rPr>
          <w:w w:val="105"/>
        </w:rPr>
        <w:t>related</w:t>
      </w:r>
      <w:r>
        <w:rPr>
          <w:spacing w:val="27"/>
          <w:w w:val="105"/>
        </w:rPr>
        <w:t> </w:t>
      </w:r>
      <w:r>
        <w:rPr>
          <w:w w:val="105"/>
        </w:rPr>
        <w:t>party</w:t>
      </w:r>
      <w:r>
        <w:rPr>
          <w:spacing w:val="27"/>
          <w:w w:val="105"/>
        </w:rPr>
        <w:t> </w:t>
      </w:r>
      <w:r>
        <w:rPr>
          <w:w w:val="105"/>
        </w:rPr>
        <w:t>transactions</w:t>
      </w:r>
      <w:r>
        <w:rPr>
          <w:spacing w:val="27"/>
          <w:w w:val="105"/>
        </w:rPr>
        <w:t> </w:t>
      </w:r>
      <w:r>
        <w:rPr>
          <w:w w:val="105"/>
        </w:rPr>
        <w:t>outside</w:t>
      </w:r>
      <w:r>
        <w:rPr>
          <w:spacing w:val="27"/>
          <w:w w:val="105"/>
        </w:rPr>
        <w:t> </w:t>
      </w:r>
      <w:r>
        <w:rPr>
          <w:w w:val="105"/>
        </w:rPr>
        <w:t>the</w:t>
      </w:r>
      <w:r>
        <w:rPr>
          <w:spacing w:val="27"/>
          <w:w w:val="105"/>
        </w:rPr>
        <w:t> </w:t>
      </w:r>
      <w:r>
        <w:rPr>
          <w:w w:val="105"/>
        </w:rPr>
        <w:t>above</w:t>
      </w:r>
      <w:r>
        <w:rPr>
          <w:spacing w:val="27"/>
          <w:w w:val="105"/>
        </w:rPr>
        <w:t> </w:t>
      </w:r>
      <w:r>
        <w:rPr>
          <w:w w:val="105"/>
        </w:rPr>
        <w:t>categories</w:t>
      </w:r>
      <w:r>
        <w:rPr>
          <w:spacing w:val="27"/>
          <w:w w:val="105"/>
        </w:rPr>
        <w:t> </w:t>
      </w:r>
      <w:r>
        <w:rPr>
          <w:w w:val="105"/>
        </w:rPr>
        <w:t>during</w:t>
      </w:r>
      <w:r>
        <w:rPr>
          <w:spacing w:val="27"/>
          <w:w w:val="105"/>
        </w:rPr>
        <w:t> </w:t>
      </w:r>
      <w:r>
        <w:rPr>
          <w:w w:val="105"/>
        </w:rPr>
        <w:t>fiscal</w:t>
      </w:r>
      <w:r>
        <w:rPr>
          <w:spacing w:val="27"/>
          <w:w w:val="105"/>
        </w:rPr>
        <w:t> </w:t>
      </w:r>
      <w:r>
        <w:rPr>
          <w:w w:val="105"/>
        </w:rPr>
        <w:t>year</w:t>
      </w:r>
      <w:r>
        <w:rPr>
          <w:spacing w:val="27"/>
          <w:w w:val="105"/>
        </w:rPr>
        <w:t> </w:t>
      </w:r>
      <w:r>
        <w:rPr>
          <w:w w:val="105"/>
        </w:rPr>
        <w:t>2022.</w:t>
      </w:r>
    </w:p>
    <w:p>
      <w:pPr>
        <w:spacing w:after="0" w:line="259" w:lineRule="auto"/>
        <w:sectPr>
          <w:headerReference w:type="default" r:id="rId165"/>
          <w:footerReference w:type="default" r:id="rId166"/>
          <w:pgSz w:w="12240" w:h="15840"/>
          <w:pgMar w:header="529" w:footer="2239" w:top="720" w:bottom="2420" w:left="480" w:right="460"/>
        </w:sectPr>
      </w:pPr>
    </w:p>
    <w:p>
      <w:pPr>
        <w:pStyle w:val="BodyText"/>
        <w:rPr>
          <w:sz w:val="20"/>
        </w:rPr>
      </w:pPr>
    </w:p>
    <w:p>
      <w:pPr>
        <w:pStyle w:val="BodyText"/>
        <w:rPr>
          <w:sz w:val="20"/>
        </w:rPr>
      </w:pPr>
    </w:p>
    <w:p>
      <w:pPr>
        <w:pStyle w:val="BodyText"/>
        <w:rPr>
          <w:sz w:val="15"/>
        </w:rPr>
      </w:pPr>
    </w:p>
    <w:p>
      <w:pPr>
        <w:pStyle w:val="BodyText"/>
        <w:ind w:left="531"/>
        <w:rPr>
          <w:sz w:val="20"/>
        </w:rPr>
      </w:pPr>
      <w:r>
        <w:rPr>
          <w:sz w:val="20"/>
        </w:rPr>
        <w:drawing>
          <wp:inline distT="0" distB="0" distL="0" distR="0">
            <wp:extent cx="6421771" cy="8129016"/>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69" cstate="print"/>
                    <a:stretch>
                      <a:fillRect/>
                    </a:stretch>
                  </pic:blipFill>
                  <pic:spPr>
                    <a:xfrm>
                      <a:off x="0" y="0"/>
                      <a:ext cx="6421771" cy="812901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spacing w:line="583" w:lineRule="auto" w:before="18"/>
        <w:ind w:left="101" w:right="114" w:firstLine="0"/>
        <w:jc w:val="left"/>
        <w:rPr>
          <w:sz w:val="2"/>
        </w:rPr>
      </w:pPr>
      <w:r>
        <w:rPr>
          <w:color w:val="ABABAB"/>
          <w:spacing w:val="-2"/>
          <w:sz w:val="2"/>
        </w:rPr>
        <w:t>VAREX</w:t>
      </w:r>
      <w:r>
        <w:rPr>
          <w:color w:val="ABABAB"/>
          <w:spacing w:val="8"/>
          <w:sz w:val="2"/>
        </w:rPr>
        <w:t> </w:t>
      </w:r>
      <w:r>
        <w:rPr>
          <w:color w:val="ABABAB"/>
          <w:spacing w:val="-2"/>
          <w:sz w:val="2"/>
        </w:rPr>
        <w:t>IMAGING</w:t>
      </w:r>
      <w:r>
        <w:rPr>
          <w:color w:val="ABABAB"/>
          <w:spacing w:val="9"/>
          <w:sz w:val="2"/>
        </w:rPr>
        <w:t> </w:t>
      </w:r>
      <w:r>
        <w:rPr>
          <w:color w:val="ABABAB"/>
          <w:spacing w:val="-2"/>
          <w:sz w:val="2"/>
        </w:rPr>
        <w:t>CORPORATION</w:t>
      </w:r>
      <w:r>
        <w:rPr>
          <w:color w:val="ABABAB"/>
          <w:spacing w:val="9"/>
          <w:sz w:val="2"/>
        </w:rPr>
        <w:t> </w:t>
      </w:r>
      <w:r>
        <w:rPr>
          <w:color w:val="ABABAB"/>
          <w:spacing w:val="-2"/>
          <w:sz w:val="2"/>
        </w:rPr>
        <w:t>1678</w:t>
      </w:r>
      <w:r>
        <w:rPr>
          <w:color w:val="ABABAB"/>
          <w:spacing w:val="9"/>
          <w:sz w:val="2"/>
        </w:rPr>
        <w:t> </w:t>
      </w:r>
      <w:r>
        <w:rPr>
          <w:color w:val="ABABAB"/>
          <w:spacing w:val="-2"/>
          <w:sz w:val="2"/>
        </w:rPr>
        <w:t>S.</w:t>
      </w:r>
      <w:r>
        <w:rPr>
          <w:color w:val="ABABAB"/>
          <w:spacing w:val="9"/>
          <w:sz w:val="2"/>
        </w:rPr>
        <w:t> </w:t>
      </w:r>
      <w:r>
        <w:rPr>
          <w:color w:val="ABABAB"/>
          <w:spacing w:val="-2"/>
          <w:sz w:val="2"/>
        </w:rPr>
        <w:t>PIONEER</w:t>
      </w:r>
      <w:r>
        <w:rPr>
          <w:color w:val="ABABAB"/>
          <w:spacing w:val="9"/>
          <w:sz w:val="2"/>
        </w:rPr>
        <w:t> </w:t>
      </w:r>
      <w:r>
        <w:rPr>
          <w:color w:val="ABABAB"/>
          <w:spacing w:val="-2"/>
          <w:sz w:val="2"/>
        </w:rPr>
        <w:t>ROADSALT</w:t>
      </w:r>
      <w:r>
        <w:rPr>
          <w:color w:val="ABABAB"/>
          <w:spacing w:val="9"/>
          <w:sz w:val="2"/>
        </w:rPr>
        <w:t> </w:t>
      </w:r>
      <w:r>
        <w:rPr>
          <w:color w:val="ABABAB"/>
          <w:spacing w:val="-2"/>
          <w:sz w:val="2"/>
        </w:rPr>
        <w:t>LAKE</w:t>
      </w:r>
      <w:r>
        <w:rPr>
          <w:color w:val="ABABAB"/>
          <w:spacing w:val="8"/>
          <w:sz w:val="2"/>
        </w:rPr>
        <w:t> </w:t>
      </w:r>
      <w:r>
        <w:rPr>
          <w:color w:val="ABABAB"/>
          <w:spacing w:val="-2"/>
          <w:sz w:val="2"/>
        </w:rPr>
        <w:t>CITY,</w:t>
      </w:r>
      <w:r>
        <w:rPr>
          <w:color w:val="ABABAB"/>
          <w:spacing w:val="9"/>
          <w:sz w:val="2"/>
        </w:rPr>
        <w:t> </w:t>
      </w:r>
      <w:r>
        <w:rPr>
          <w:color w:val="ABABAB"/>
          <w:spacing w:val="-2"/>
          <w:sz w:val="2"/>
        </w:rPr>
        <w:t>UT</w:t>
      </w:r>
      <w:r>
        <w:rPr>
          <w:color w:val="ABABAB"/>
          <w:spacing w:val="9"/>
          <w:sz w:val="2"/>
        </w:rPr>
        <w:t> </w:t>
      </w:r>
      <w:r>
        <w:rPr>
          <w:color w:val="ABABAB"/>
          <w:spacing w:val="-2"/>
          <w:sz w:val="2"/>
        </w:rPr>
        <w:t>84104</w:t>
      </w:r>
      <w:r>
        <w:rPr>
          <w:color w:val="ABABAB"/>
          <w:spacing w:val="9"/>
          <w:sz w:val="2"/>
        </w:rPr>
        <w:t> </w:t>
      </w:r>
      <w:r>
        <w:rPr>
          <w:color w:val="ABABAB"/>
          <w:spacing w:val="-2"/>
          <w:sz w:val="2"/>
        </w:rPr>
        <w:t>VOTE</w:t>
      </w:r>
      <w:r>
        <w:rPr>
          <w:color w:val="ABABAB"/>
          <w:spacing w:val="9"/>
          <w:sz w:val="2"/>
        </w:rPr>
        <w:t> </w:t>
      </w:r>
      <w:r>
        <w:rPr>
          <w:color w:val="ABABAB"/>
          <w:spacing w:val="-2"/>
          <w:sz w:val="2"/>
        </w:rPr>
        <w:t>BY</w:t>
      </w:r>
      <w:r>
        <w:rPr>
          <w:color w:val="ABABAB"/>
          <w:spacing w:val="6"/>
          <w:sz w:val="2"/>
        </w:rPr>
        <w:t> </w:t>
      </w:r>
      <w:r>
        <w:rPr>
          <w:color w:val="ABABAB"/>
          <w:spacing w:val="-2"/>
          <w:sz w:val="2"/>
        </w:rPr>
        <w:t>INTERNETBefore</w:t>
      </w:r>
      <w:r>
        <w:rPr>
          <w:color w:val="ABABAB"/>
          <w:spacing w:val="9"/>
          <w:sz w:val="2"/>
        </w:rPr>
        <w:t> </w:t>
      </w:r>
      <w:r>
        <w:rPr>
          <w:color w:val="ABABAB"/>
          <w:spacing w:val="-2"/>
          <w:sz w:val="2"/>
        </w:rPr>
        <w:t>The</w:t>
      </w:r>
      <w:r>
        <w:rPr>
          <w:color w:val="ABABAB"/>
          <w:spacing w:val="9"/>
          <w:sz w:val="2"/>
        </w:rPr>
        <w:t> </w:t>
      </w:r>
      <w:r>
        <w:rPr>
          <w:color w:val="ABABAB"/>
          <w:spacing w:val="-2"/>
          <w:sz w:val="2"/>
        </w:rPr>
        <w:t>Meeting</w:t>
      </w:r>
      <w:r>
        <w:rPr>
          <w:color w:val="ABABAB"/>
          <w:spacing w:val="9"/>
          <w:sz w:val="2"/>
        </w:rPr>
        <w:t> </w:t>
      </w:r>
      <w:r>
        <w:rPr>
          <w:color w:val="ABABAB"/>
          <w:spacing w:val="-2"/>
          <w:sz w:val="2"/>
        </w:rPr>
        <w:t>-</w:t>
      </w:r>
      <w:r>
        <w:rPr>
          <w:color w:val="ABABAB"/>
          <w:spacing w:val="8"/>
          <w:sz w:val="2"/>
        </w:rPr>
        <w:t> </w:t>
      </w:r>
      <w:r>
        <w:rPr>
          <w:color w:val="ABABAB"/>
          <w:spacing w:val="-2"/>
          <w:sz w:val="2"/>
        </w:rPr>
        <w:t>Go</w:t>
      </w:r>
      <w:r>
        <w:rPr>
          <w:color w:val="ABABAB"/>
          <w:spacing w:val="9"/>
          <w:sz w:val="2"/>
        </w:rPr>
        <w:t> </w:t>
      </w:r>
      <w:r>
        <w:rPr>
          <w:color w:val="ABABAB"/>
          <w:spacing w:val="-2"/>
          <w:sz w:val="2"/>
        </w:rPr>
        <w:t>to</w:t>
      </w:r>
      <w:r>
        <w:rPr>
          <w:color w:val="ABABAB"/>
          <w:spacing w:val="9"/>
          <w:sz w:val="2"/>
        </w:rPr>
        <w:t> </w:t>
      </w:r>
      <w:r>
        <w:rPr>
          <w:color w:val="ABABAB"/>
          <w:spacing w:val="-2"/>
          <w:sz w:val="2"/>
        </w:rPr>
        <w:t>www.proxyvote.com</w:t>
      </w:r>
      <w:r>
        <w:rPr>
          <w:color w:val="ABABAB"/>
          <w:spacing w:val="9"/>
          <w:sz w:val="2"/>
        </w:rPr>
        <w:t> </w:t>
      </w:r>
      <w:r>
        <w:rPr>
          <w:color w:val="ABABAB"/>
          <w:spacing w:val="-2"/>
          <w:sz w:val="2"/>
        </w:rPr>
        <w:t>or</w:t>
      </w:r>
      <w:r>
        <w:rPr>
          <w:color w:val="ABABAB"/>
          <w:spacing w:val="9"/>
          <w:sz w:val="2"/>
        </w:rPr>
        <w:t> </w:t>
      </w:r>
      <w:r>
        <w:rPr>
          <w:color w:val="ABABAB"/>
          <w:spacing w:val="-2"/>
          <w:sz w:val="2"/>
        </w:rPr>
        <w:t>scan</w:t>
      </w:r>
      <w:r>
        <w:rPr>
          <w:color w:val="ABABAB"/>
          <w:spacing w:val="9"/>
          <w:sz w:val="2"/>
        </w:rPr>
        <w:t> </w:t>
      </w:r>
      <w:r>
        <w:rPr>
          <w:color w:val="ABABAB"/>
          <w:spacing w:val="-2"/>
          <w:sz w:val="2"/>
        </w:rPr>
        <w:t>the</w:t>
      </w:r>
      <w:r>
        <w:rPr>
          <w:color w:val="ABABAB"/>
          <w:spacing w:val="9"/>
          <w:sz w:val="2"/>
        </w:rPr>
        <w:t> </w:t>
      </w:r>
      <w:r>
        <w:rPr>
          <w:color w:val="ABABAB"/>
          <w:spacing w:val="-2"/>
          <w:sz w:val="2"/>
        </w:rPr>
        <w:t>QR</w:t>
      </w:r>
      <w:r>
        <w:rPr>
          <w:color w:val="ABABAB"/>
          <w:spacing w:val="8"/>
          <w:sz w:val="2"/>
        </w:rPr>
        <w:t> </w:t>
      </w:r>
      <w:r>
        <w:rPr>
          <w:color w:val="ABABAB"/>
          <w:spacing w:val="-2"/>
          <w:sz w:val="2"/>
        </w:rPr>
        <w:t>Barcode</w:t>
      </w:r>
      <w:r>
        <w:rPr>
          <w:color w:val="ABABAB"/>
          <w:spacing w:val="9"/>
          <w:sz w:val="2"/>
        </w:rPr>
        <w:t> </w:t>
      </w:r>
      <w:r>
        <w:rPr>
          <w:color w:val="ABABAB"/>
          <w:spacing w:val="-2"/>
          <w:sz w:val="2"/>
        </w:rPr>
        <w:t>aboveUse</w:t>
      </w:r>
      <w:r>
        <w:rPr>
          <w:color w:val="ABABAB"/>
          <w:spacing w:val="9"/>
          <w:sz w:val="2"/>
        </w:rPr>
        <w:t> </w:t>
      </w:r>
      <w:r>
        <w:rPr>
          <w:color w:val="ABABAB"/>
          <w:spacing w:val="-2"/>
          <w:sz w:val="2"/>
        </w:rPr>
        <w:t>the</w:t>
      </w:r>
      <w:r>
        <w:rPr>
          <w:color w:val="ABABAB"/>
          <w:spacing w:val="9"/>
          <w:sz w:val="2"/>
        </w:rPr>
        <w:t> </w:t>
      </w:r>
      <w:r>
        <w:rPr>
          <w:color w:val="ABABAB"/>
          <w:spacing w:val="-2"/>
          <w:sz w:val="2"/>
        </w:rPr>
        <w:t>Internet</w:t>
      </w:r>
      <w:r>
        <w:rPr>
          <w:color w:val="ABABAB"/>
          <w:spacing w:val="9"/>
          <w:sz w:val="2"/>
        </w:rPr>
        <w:t> </w:t>
      </w:r>
      <w:r>
        <w:rPr>
          <w:color w:val="ABABAB"/>
          <w:spacing w:val="-2"/>
          <w:sz w:val="2"/>
        </w:rPr>
        <w:t>to</w:t>
      </w:r>
      <w:r>
        <w:rPr>
          <w:color w:val="ABABAB"/>
          <w:spacing w:val="9"/>
          <w:sz w:val="2"/>
        </w:rPr>
        <w:t> </w:t>
      </w:r>
      <w:r>
        <w:rPr>
          <w:color w:val="ABABAB"/>
          <w:spacing w:val="-2"/>
          <w:sz w:val="2"/>
        </w:rPr>
        <w:t>transmit</w:t>
      </w:r>
      <w:r>
        <w:rPr>
          <w:color w:val="ABABAB"/>
          <w:spacing w:val="9"/>
          <w:sz w:val="2"/>
        </w:rPr>
        <w:t> </w:t>
      </w:r>
      <w:r>
        <w:rPr>
          <w:color w:val="ABABAB"/>
          <w:spacing w:val="-2"/>
          <w:sz w:val="2"/>
        </w:rPr>
        <w:t>your</w:t>
      </w:r>
      <w:r>
        <w:rPr>
          <w:color w:val="ABABAB"/>
          <w:spacing w:val="8"/>
          <w:sz w:val="2"/>
        </w:rPr>
        <w:t> </w:t>
      </w:r>
      <w:r>
        <w:rPr>
          <w:color w:val="ABABAB"/>
          <w:spacing w:val="-2"/>
          <w:sz w:val="2"/>
        </w:rPr>
        <w:t>voting</w:t>
      </w:r>
      <w:r>
        <w:rPr>
          <w:color w:val="ABABAB"/>
          <w:spacing w:val="9"/>
          <w:sz w:val="2"/>
        </w:rPr>
        <w:t> </w:t>
      </w:r>
      <w:r>
        <w:rPr>
          <w:color w:val="ABABAB"/>
          <w:spacing w:val="-2"/>
          <w:sz w:val="2"/>
        </w:rPr>
        <w:t>instructions</w:t>
      </w:r>
      <w:r>
        <w:rPr>
          <w:color w:val="ABABAB"/>
          <w:spacing w:val="9"/>
          <w:sz w:val="2"/>
        </w:rPr>
        <w:t> </w:t>
      </w:r>
      <w:r>
        <w:rPr>
          <w:color w:val="ABABAB"/>
          <w:spacing w:val="-2"/>
          <w:sz w:val="2"/>
        </w:rPr>
        <w:t>and</w:t>
      </w:r>
      <w:r>
        <w:rPr>
          <w:color w:val="ABABAB"/>
          <w:spacing w:val="9"/>
          <w:sz w:val="2"/>
        </w:rPr>
        <w:t> </w:t>
      </w:r>
      <w:r>
        <w:rPr>
          <w:color w:val="ABABAB"/>
          <w:spacing w:val="-2"/>
          <w:sz w:val="2"/>
        </w:rPr>
        <w:t>for</w:t>
      </w:r>
      <w:r>
        <w:rPr>
          <w:color w:val="ABABAB"/>
          <w:spacing w:val="9"/>
          <w:sz w:val="2"/>
        </w:rPr>
        <w:t> </w:t>
      </w:r>
      <w:r>
        <w:rPr>
          <w:color w:val="ABABAB"/>
          <w:spacing w:val="-2"/>
          <w:sz w:val="2"/>
        </w:rPr>
        <w:t>electronic</w:t>
      </w:r>
      <w:r>
        <w:rPr>
          <w:color w:val="ABABAB"/>
          <w:spacing w:val="9"/>
          <w:sz w:val="2"/>
        </w:rPr>
        <w:t> </w:t>
      </w:r>
      <w:r>
        <w:rPr>
          <w:color w:val="ABABAB"/>
          <w:spacing w:val="-2"/>
          <w:sz w:val="2"/>
        </w:rPr>
        <w:t>delivery</w:t>
      </w:r>
      <w:r>
        <w:rPr>
          <w:color w:val="ABABAB"/>
          <w:spacing w:val="9"/>
          <w:sz w:val="2"/>
        </w:rPr>
        <w:t> </w:t>
      </w:r>
      <w:r>
        <w:rPr>
          <w:color w:val="ABABAB"/>
          <w:spacing w:val="-2"/>
          <w:sz w:val="2"/>
        </w:rPr>
        <w:t>of</w:t>
      </w:r>
      <w:r>
        <w:rPr>
          <w:color w:val="ABABAB"/>
          <w:spacing w:val="8"/>
          <w:sz w:val="2"/>
        </w:rPr>
        <w:t> </w:t>
      </w:r>
      <w:r>
        <w:rPr>
          <w:color w:val="ABABAB"/>
          <w:spacing w:val="-2"/>
          <w:sz w:val="2"/>
        </w:rPr>
        <w:t>information</w:t>
      </w:r>
      <w:r>
        <w:rPr>
          <w:color w:val="ABABAB"/>
          <w:spacing w:val="9"/>
          <w:sz w:val="2"/>
        </w:rPr>
        <w:t> </w:t>
      </w:r>
      <w:r>
        <w:rPr>
          <w:color w:val="ABABAB"/>
          <w:spacing w:val="-2"/>
          <w:sz w:val="2"/>
        </w:rPr>
        <w:t>up</w:t>
      </w:r>
      <w:r>
        <w:rPr>
          <w:color w:val="ABABAB"/>
          <w:spacing w:val="9"/>
          <w:sz w:val="2"/>
        </w:rPr>
        <w:t> </w:t>
      </w:r>
      <w:r>
        <w:rPr>
          <w:color w:val="ABABAB"/>
          <w:spacing w:val="-2"/>
          <w:sz w:val="2"/>
        </w:rPr>
        <w:t>until</w:t>
      </w:r>
      <w:r>
        <w:rPr>
          <w:color w:val="ABABAB"/>
          <w:spacing w:val="9"/>
          <w:sz w:val="2"/>
        </w:rPr>
        <w:t> </w:t>
      </w:r>
      <w:r>
        <w:rPr>
          <w:color w:val="ABABAB"/>
          <w:spacing w:val="-2"/>
          <w:sz w:val="2"/>
        </w:rPr>
        <w:t>11:59</w:t>
      </w:r>
      <w:r>
        <w:rPr>
          <w:color w:val="ABABAB"/>
          <w:spacing w:val="9"/>
          <w:sz w:val="2"/>
        </w:rPr>
        <w:t> </w:t>
      </w:r>
      <w:r>
        <w:rPr>
          <w:color w:val="ABABAB"/>
          <w:spacing w:val="-2"/>
          <w:sz w:val="2"/>
        </w:rPr>
        <w:t>p.m.</w:t>
      </w:r>
      <w:r>
        <w:rPr>
          <w:color w:val="ABABAB"/>
          <w:spacing w:val="9"/>
          <w:sz w:val="2"/>
        </w:rPr>
        <w:t> </w:t>
      </w:r>
      <w:r>
        <w:rPr>
          <w:color w:val="ABABAB"/>
          <w:spacing w:val="-2"/>
          <w:sz w:val="2"/>
        </w:rPr>
        <w:t>Eastern</w:t>
      </w:r>
      <w:r>
        <w:rPr>
          <w:color w:val="ABABAB"/>
          <w:spacing w:val="9"/>
          <w:sz w:val="2"/>
        </w:rPr>
        <w:t> </w:t>
      </w:r>
      <w:r>
        <w:rPr>
          <w:color w:val="ABABAB"/>
          <w:spacing w:val="-2"/>
          <w:sz w:val="2"/>
        </w:rPr>
        <w:t>Time</w:t>
      </w:r>
      <w:r>
        <w:rPr>
          <w:color w:val="ABABAB"/>
          <w:spacing w:val="9"/>
          <w:sz w:val="2"/>
        </w:rPr>
        <w:t> </w:t>
      </w:r>
      <w:r>
        <w:rPr>
          <w:color w:val="ABABAB"/>
          <w:spacing w:val="-2"/>
          <w:sz w:val="2"/>
        </w:rPr>
        <w:t>on</w:t>
      </w:r>
      <w:r>
        <w:rPr>
          <w:color w:val="ABABAB"/>
          <w:spacing w:val="8"/>
          <w:sz w:val="2"/>
        </w:rPr>
        <w:t> </w:t>
      </w:r>
      <w:r>
        <w:rPr>
          <w:color w:val="ABABAB"/>
          <w:spacing w:val="-2"/>
          <w:sz w:val="2"/>
        </w:rPr>
        <w:t>February</w:t>
      </w:r>
      <w:r>
        <w:rPr>
          <w:color w:val="ABABAB"/>
          <w:spacing w:val="9"/>
          <w:sz w:val="2"/>
        </w:rPr>
        <w:t> </w:t>
      </w:r>
      <w:r>
        <w:rPr>
          <w:color w:val="ABABAB"/>
          <w:spacing w:val="-2"/>
          <w:sz w:val="2"/>
        </w:rPr>
        <w:t>8,</w:t>
      </w:r>
      <w:r>
        <w:rPr>
          <w:color w:val="ABABAB"/>
          <w:spacing w:val="9"/>
          <w:sz w:val="2"/>
        </w:rPr>
        <w:t> </w:t>
      </w:r>
      <w:r>
        <w:rPr>
          <w:color w:val="ABABAB"/>
          <w:spacing w:val="-2"/>
          <w:sz w:val="2"/>
        </w:rPr>
        <w:t>2023.</w:t>
      </w:r>
      <w:r>
        <w:rPr>
          <w:color w:val="ABABAB"/>
          <w:spacing w:val="9"/>
          <w:sz w:val="2"/>
        </w:rPr>
        <w:t> </w:t>
      </w:r>
      <w:r>
        <w:rPr>
          <w:color w:val="ABABAB"/>
          <w:spacing w:val="-2"/>
          <w:sz w:val="2"/>
        </w:rPr>
        <w:t>Have</w:t>
      </w:r>
      <w:r>
        <w:rPr>
          <w:color w:val="ABABAB"/>
          <w:spacing w:val="9"/>
          <w:sz w:val="2"/>
        </w:rPr>
        <w:t> </w:t>
      </w:r>
      <w:r>
        <w:rPr>
          <w:color w:val="ABABAB"/>
          <w:spacing w:val="-2"/>
          <w:sz w:val="2"/>
        </w:rPr>
        <w:t>your</w:t>
      </w:r>
      <w:r>
        <w:rPr>
          <w:color w:val="ABABAB"/>
          <w:spacing w:val="9"/>
          <w:sz w:val="2"/>
        </w:rPr>
        <w:t> </w:t>
      </w:r>
      <w:r>
        <w:rPr>
          <w:color w:val="ABABAB"/>
          <w:spacing w:val="-2"/>
          <w:sz w:val="2"/>
        </w:rPr>
        <w:t>proxy</w:t>
      </w:r>
      <w:r>
        <w:rPr>
          <w:color w:val="ABABAB"/>
          <w:spacing w:val="9"/>
          <w:sz w:val="2"/>
        </w:rPr>
        <w:t> </w:t>
      </w:r>
      <w:r>
        <w:rPr>
          <w:color w:val="ABABAB"/>
          <w:spacing w:val="-2"/>
          <w:sz w:val="2"/>
        </w:rPr>
        <w:t>card</w:t>
      </w:r>
      <w:r>
        <w:rPr>
          <w:color w:val="ABABAB"/>
          <w:spacing w:val="8"/>
          <w:sz w:val="2"/>
        </w:rPr>
        <w:t> </w:t>
      </w:r>
      <w:r>
        <w:rPr>
          <w:color w:val="ABABAB"/>
          <w:spacing w:val="-2"/>
          <w:sz w:val="2"/>
        </w:rPr>
        <w:t>in</w:t>
      </w:r>
      <w:r>
        <w:rPr>
          <w:color w:val="ABABAB"/>
          <w:spacing w:val="9"/>
          <w:sz w:val="2"/>
        </w:rPr>
        <w:t> </w:t>
      </w:r>
      <w:r>
        <w:rPr>
          <w:color w:val="ABABAB"/>
          <w:spacing w:val="-2"/>
          <w:sz w:val="2"/>
        </w:rPr>
        <w:t>hand</w:t>
      </w:r>
      <w:r>
        <w:rPr>
          <w:color w:val="ABABAB"/>
          <w:spacing w:val="9"/>
          <w:sz w:val="2"/>
        </w:rPr>
        <w:t> </w:t>
      </w:r>
      <w:r>
        <w:rPr>
          <w:color w:val="ABABAB"/>
          <w:spacing w:val="-2"/>
          <w:sz w:val="2"/>
        </w:rPr>
        <w:t>when</w:t>
      </w:r>
      <w:r>
        <w:rPr>
          <w:color w:val="ABABAB"/>
          <w:spacing w:val="9"/>
          <w:sz w:val="2"/>
        </w:rPr>
        <w:t> </w:t>
      </w:r>
      <w:r>
        <w:rPr>
          <w:color w:val="ABABAB"/>
          <w:spacing w:val="-2"/>
          <w:sz w:val="2"/>
        </w:rPr>
        <w:t>you</w:t>
      </w:r>
      <w:r>
        <w:rPr>
          <w:color w:val="ABABAB"/>
          <w:spacing w:val="9"/>
          <w:sz w:val="2"/>
        </w:rPr>
        <w:t> </w:t>
      </w:r>
      <w:r>
        <w:rPr>
          <w:color w:val="ABABAB"/>
          <w:spacing w:val="-2"/>
          <w:sz w:val="2"/>
        </w:rPr>
        <w:t>access</w:t>
      </w:r>
      <w:r>
        <w:rPr>
          <w:color w:val="ABABAB"/>
          <w:spacing w:val="9"/>
          <w:sz w:val="2"/>
        </w:rPr>
        <w:t> </w:t>
      </w:r>
      <w:r>
        <w:rPr>
          <w:color w:val="ABABAB"/>
          <w:spacing w:val="-2"/>
          <w:sz w:val="2"/>
        </w:rPr>
        <w:t>the</w:t>
      </w:r>
      <w:r>
        <w:rPr>
          <w:color w:val="ABABAB"/>
          <w:spacing w:val="9"/>
          <w:sz w:val="2"/>
        </w:rPr>
        <w:t> </w:t>
      </w:r>
      <w:r>
        <w:rPr>
          <w:color w:val="ABABAB"/>
          <w:spacing w:val="-2"/>
          <w:sz w:val="2"/>
        </w:rPr>
        <w:t>web</w:t>
      </w:r>
      <w:r>
        <w:rPr>
          <w:color w:val="ABABAB"/>
          <w:spacing w:val="8"/>
          <w:sz w:val="2"/>
        </w:rPr>
        <w:t> </w:t>
      </w:r>
      <w:r>
        <w:rPr>
          <w:color w:val="ABABAB"/>
          <w:spacing w:val="-2"/>
          <w:sz w:val="2"/>
        </w:rPr>
        <w:t>site</w:t>
      </w:r>
      <w:r>
        <w:rPr>
          <w:color w:val="ABABAB"/>
          <w:spacing w:val="9"/>
          <w:sz w:val="2"/>
        </w:rPr>
        <w:t> </w:t>
      </w:r>
      <w:r>
        <w:rPr>
          <w:color w:val="ABABAB"/>
          <w:spacing w:val="-2"/>
          <w:sz w:val="2"/>
        </w:rPr>
        <w:t>and</w:t>
      </w:r>
      <w:r>
        <w:rPr>
          <w:color w:val="ABABAB"/>
          <w:spacing w:val="9"/>
          <w:sz w:val="2"/>
        </w:rPr>
        <w:t> </w:t>
      </w:r>
      <w:r>
        <w:rPr>
          <w:color w:val="ABABAB"/>
          <w:spacing w:val="-2"/>
          <w:sz w:val="2"/>
        </w:rPr>
        <w:t>follow</w:t>
      </w:r>
      <w:r>
        <w:rPr>
          <w:color w:val="ABABAB"/>
          <w:spacing w:val="9"/>
          <w:sz w:val="2"/>
        </w:rPr>
        <w:t> </w:t>
      </w:r>
      <w:r>
        <w:rPr>
          <w:color w:val="ABABAB"/>
          <w:spacing w:val="-2"/>
          <w:sz w:val="2"/>
        </w:rPr>
        <w:t>the</w:t>
      </w:r>
      <w:r>
        <w:rPr>
          <w:color w:val="ABABAB"/>
          <w:spacing w:val="9"/>
          <w:sz w:val="2"/>
        </w:rPr>
        <w:t> </w:t>
      </w:r>
      <w:r>
        <w:rPr>
          <w:color w:val="ABABAB"/>
          <w:spacing w:val="-2"/>
          <w:sz w:val="2"/>
        </w:rPr>
        <w:t>instructions</w:t>
      </w:r>
      <w:r>
        <w:rPr>
          <w:color w:val="ABABAB"/>
          <w:spacing w:val="9"/>
          <w:sz w:val="2"/>
        </w:rPr>
        <w:t> </w:t>
      </w:r>
      <w:r>
        <w:rPr>
          <w:color w:val="ABABAB"/>
          <w:spacing w:val="-2"/>
          <w:sz w:val="2"/>
        </w:rPr>
        <w:t>to</w:t>
      </w:r>
      <w:r>
        <w:rPr>
          <w:color w:val="ABABAB"/>
          <w:spacing w:val="9"/>
          <w:sz w:val="2"/>
        </w:rPr>
        <w:t> </w:t>
      </w:r>
      <w:r>
        <w:rPr>
          <w:color w:val="ABABAB"/>
          <w:spacing w:val="-2"/>
          <w:sz w:val="2"/>
        </w:rPr>
        <w:t>obtain</w:t>
      </w:r>
      <w:r>
        <w:rPr>
          <w:color w:val="ABABAB"/>
          <w:spacing w:val="8"/>
          <w:sz w:val="2"/>
        </w:rPr>
        <w:t> </w:t>
      </w:r>
      <w:r>
        <w:rPr>
          <w:color w:val="ABABAB"/>
          <w:spacing w:val="-2"/>
          <w:sz w:val="2"/>
        </w:rPr>
        <w:t>your</w:t>
      </w:r>
      <w:r>
        <w:rPr>
          <w:color w:val="ABABAB"/>
          <w:spacing w:val="9"/>
          <w:sz w:val="2"/>
        </w:rPr>
        <w:t> </w:t>
      </w:r>
      <w:r>
        <w:rPr>
          <w:color w:val="ABABAB"/>
          <w:spacing w:val="-2"/>
          <w:sz w:val="2"/>
        </w:rPr>
        <w:t>records</w:t>
      </w:r>
      <w:r>
        <w:rPr>
          <w:color w:val="ABABAB"/>
          <w:spacing w:val="9"/>
          <w:sz w:val="2"/>
        </w:rPr>
        <w:t> </w:t>
      </w:r>
      <w:r>
        <w:rPr>
          <w:color w:val="ABABAB"/>
          <w:spacing w:val="-2"/>
          <w:sz w:val="2"/>
        </w:rPr>
        <w:t>and</w:t>
      </w:r>
      <w:r>
        <w:rPr>
          <w:color w:val="ABABAB"/>
          <w:spacing w:val="9"/>
          <w:sz w:val="2"/>
        </w:rPr>
        <w:t> </w:t>
      </w:r>
      <w:r>
        <w:rPr>
          <w:color w:val="ABABAB"/>
          <w:spacing w:val="-2"/>
          <w:sz w:val="2"/>
        </w:rPr>
        <w:t>to</w:t>
      </w:r>
      <w:r>
        <w:rPr>
          <w:color w:val="ABABAB"/>
          <w:spacing w:val="9"/>
          <w:sz w:val="2"/>
        </w:rPr>
        <w:t> </w:t>
      </w:r>
      <w:r>
        <w:rPr>
          <w:color w:val="ABABAB"/>
          <w:spacing w:val="-2"/>
          <w:sz w:val="2"/>
        </w:rPr>
        <w:t>create</w:t>
      </w:r>
      <w:r>
        <w:rPr>
          <w:color w:val="ABABAB"/>
          <w:spacing w:val="9"/>
          <w:sz w:val="2"/>
        </w:rPr>
        <w:t> </w:t>
      </w:r>
      <w:r>
        <w:rPr>
          <w:color w:val="ABABAB"/>
          <w:spacing w:val="-2"/>
          <w:sz w:val="2"/>
        </w:rPr>
        <w:t>an</w:t>
      </w:r>
      <w:r>
        <w:rPr>
          <w:color w:val="ABABAB"/>
          <w:spacing w:val="9"/>
          <w:sz w:val="2"/>
        </w:rPr>
        <w:t> </w:t>
      </w:r>
      <w:r>
        <w:rPr>
          <w:color w:val="ABABAB"/>
          <w:spacing w:val="-2"/>
          <w:sz w:val="2"/>
        </w:rPr>
        <w:t>electronic</w:t>
      </w:r>
      <w:r>
        <w:rPr>
          <w:color w:val="ABABAB"/>
          <w:spacing w:val="8"/>
          <w:sz w:val="2"/>
        </w:rPr>
        <w:t> </w:t>
      </w:r>
      <w:r>
        <w:rPr>
          <w:color w:val="ABABAB"/>
          <w:spacing w:val="-2"/>
          <w:sz w:val="2"/>
        </w:rPr>
        <w:t>voting</w:t>
      </w:r>
      <w:r>
        <w:rPr>
          <w:color w:val="ABABAB"/>
          <w:spacing w:val="9"/>
          <w:sz w:val="2"/>
        </w:rPr>
        <w:t> </w:t>
      </w:r>
      <w:r>
        <w:rPr>
          <w:color w:val="ABABAB"/>
          <w:spacing w:val="-2"/>
          <w:sz w:val="2"/>
        </w:rPr>
        <w:t>instruction</w:t>
      </w:r>
      <w:r>
        <w:rPr>
          <w:color w:val="ABABAB"/>
          <w:spacing w:val="9"/>
          <w:sz w:val="2"/>
        </w:rPr>
        <w:t> </w:t>
      </w:r>
      <w:r>
        <w:rPr>
          <w:color w:val="ABABAB"/>
          <w:spacing w:val="-2"/>
          <w:sz w:val="2"/>
        </w:rPr>
        <w:t>form.During</w:t>
      </w:r>
      <w:r>
        <w:rPr>
          <w:color w:val="ABABAB"/>
          <w:spacing w:val="9"/>
          <w:sz w:val="2"/>
        </w:rPr>
        <w:t> </w:t>
      </w:r>
      <w:r>
        <w:rPr>
          <w:color w:val="ABABAB"/>
          <w:spacing w:val="-2"/>
          <w:sz w:val="2"/>
        </w:rPr>
        <w:t>The</w:t>
      </w:r>
      <w:r>
        <w:rPr>
          <w:color w:val="ABABAB"/>
          <w:spacing w:val="9"/>
          <w:sz w:val="2"/>
        </w:rPr>
        <w:t> </w:t>
      </w:r>
      <w:r>
        <w:rPr>
          <w:color w:val="ABABAB"/>
          <w:spacing w:val="-2"/>
          <w:sz w:val="2"/>
        </w:rPr>
        <w:t>Meeting</w:t>
      </w:r>
      <w:r>
        <w:rPr>
          <w:color w:val="ABABAB"/>
          <w:spacing w:val="9"/>
          <w:sz w:val="2"/>
        </w:rPr>
        <w:t> </w:t>
      </w:r>
      <w:r>
        <w:rPr>
          <w:color w:val="ABABAB"/>
          <w:spacing w:val="-2"/>
          <w:sz w:val="2"/>
        </w:rPr>
        <w:t>-</w:t>
      </w:r>
      <w:r>
        <w:rPr>
          <w:color w:val="ABABAB"/>
          <w:spacing w:val="9"/>
          <w:sz w:val="2"/>
        </w:rPr>
        <w:t> </w:t>
      </w:r>
      <w:r>
        <w:rPr>
          <w:color w:val="ABABAB"/>
          <w:spacing w:val="-2"/>
          <w:sz w:val="2"/>
        </w:rPr>
        <w:t>Go</w:t>
      </w:r>
      <w:r>
        <w:rPr>
          <w:color w:val="ABABAB"/>
          <w:spacing w:val="9"/>
          <w:sz w:val="2"/>
        </w:rPr>
        <w:t> </w:t>
      </w:r>
      <w:r>
        <w:rPr>
          <w:color w:val="ABABAB"/>
          <w:spacing w:val="-2"/>
          <w:sz w:val="2"/>
        </w:rPr>
        <w:t>to</w:t>
      </w:r>
      <w:r>
        <w:rPr>
          <w:color w:val="ABABAB"/>
          <w:spacing w:val="8"/>
          <w:sz w:val="2"/>
        </w:rPr>
        <w:t> </w:t>
      </w:r>
      <w:r>
        <w:rPr>
          <w:color w:val="ABABAB"/>
          <w:spacing w:val="-2"/>
          <w:sz w:val="2"/>
        </w:rPr>
        <w:t>www.virtualshareholdermeeting.com/VREX2023You</w:t>
      </w:r>
      <w:r>
        <w:rPr>
          <w:color w:val="ABABAB"/>
          <w:spacing w:val="9"/>
          <w:sz w:val="2"/>
        </w:rPr>
        <w:t> </w:t>
      </w:r>
      <w:r>
        <w:rPr>
          <w:color w:val="ABABAB"/>
          <w:spacing w:val="-2"/>
          <w:sz w:val="2"/>
        </w:rPr>
        <w:t>may</w:t>
      </w:r>
      <w:r>
        <w:rPr>
          <w:color w:val="ABABAB"/>
          <w:spacing w:val="9"/>
          <w:sz w:val="2"/>
        </w:rPr>
        <w:t> </w:t>
      </w:r>
      <w:r>
        <w:rPr>
          <w:color w:val="ABABAB"/>
          <w:spacing w:val="-2"/>
          <w:sz w:val="2"/>
        </w:rPr>
        <w:t>attend</w:t>
      </w:r>
      <w:r>
        <w:rPr>
          <w:color w:val="ABABAB"/>
          <w:spacing w:val="9"/>
          <w:sz w:val="2"/>
        </w:rPr>
        <w:t> </w:t>
      </w:r>
      <w:r>
        <w:rPr>
          <w:color w:val="ABABAB"/>
          <w:spacing w:val="-2"/>
          <w:sz w:val="2"/>
        </w:rPr>
        <w:t>the</w:t>
      </w:r>
      <w:r>
        <w:rPr>
          <w:color w:val="ABABAB"/>
          <w:spacing w:val="9"/>
          <w:sz w:val="2"/>
        </w:rPr>
        <w:t> </w:t>
      </w:r>
      <w:r>
        <w:rPr>
          <w:color w:val="ABABAB"/>
          <w:spacing w:val="-2"/>
          <w:sz w:val="2"/>
        </w:rPr>
        <w:t>meeting</w:t>
      </w:r>
      <w:r>
        <w:rPr>
          <w:color w:val="ABABAB"/>
          <w:spacing w:val="9"/>
          <w:sz w:val="2"/>
        </w:rPr>
        <w:t> </w:t>
      </w:r>
      <w:r>
        <w:rPr>
          <w:color w:val="ABABAB"/>
          <w:spacing w:val="-2"/>
          <w:sz w:val="2"/>
        </w:rPr>
        <w:t>via</w:t>
      </w:r>
      <w:r>
        <w:rPr>
          <w:color w:val="ABABAB"/>
          <w:spacing w:val="9"/>
          <w:sz w:val="2"/>
        </w:rPr>
        <w:t> </w:t>
      </w:r>
      <w:r>
        <w:rPr>
          <w:color w:val="ABABAB"/>
          <w:spacing w:val="-2"/>
          <w:sz w:val="2"/>
        </w:rPr>
        <w:t>the</w:t>
      </w:r>
      <w:r>
        <w:rPr>
          <w:color w:val="ABABAB"/>
          <w:spacing w:val="8"/>
          <w:sz w:val="2"/>
        </w:rPr>
        <w:t> </w:t>
      </w:r>
      <w:r>
        <w:rPr>
          <w:color w:val="ABABAB"/>
          <w:spacing w:val="-2"/>
          <w:sz w:val="2"/>
        </w:rPr>
        <w:t>Internet</w:t>
      </w:r>
      <w:r>
        <w:rPr>
          <w:color w:val="ABABAB"/>
          <w:spacing w:val="9"/>
          <w:sz w:val="2"/>
        </w:rPr>
        <w:t> </w:t>
      </w:r>
      <w:r>
        <w:rPr>
          <w:color w:val="ABABAB"/>
          <w:spacing w:val="-2"/>
          <w:sz w:val="2"/>
        </w:rPr>
        <w:t>and</w:t>
      </w:r>
      <w:r>
        <w:rPr>
          <w:color w:val="ABABAB"/>
          <w:spacing w:val="9"/>
          <w:sz w:val="2"/>
        </w:rPr>
        <w:t> </w:t>
      </w:r>
      <w:r>
        <w:rPr>
          <w:color w:val="ABABAB"/>
          <w:spacing w:val="-2"/>
          <w:sz w:val="2"/>
        </w:rPr>
        <w:t>vote</w:t>
      </w:r>
      <w:r>
        <w:rPr>
          <w:color w:val="ABABAB"/>
          <w:spacing w:val="9"/>
          <w:sz w:val="2"/>
        </w:rPr>
        <w:t> </w:t>
      </w:r>
      <w:r>
        <w:rPr>
          <w:color w:val="ABABAB"/>
          <w:spacing w:val="-2"/>
          <w:sz w:val="2"/>
        </w:rPr>
        <w:t>during</w:t>
      </w:r>
      <w:r>
        <w:rPr>
          <w:color w:val="ABABAB"/>
          <w:spacing w:val="9"/>
          <w:sz w:val="2"/>
        </w:rPr>
        <w:t> </w:t>
      </w:r>
      <w:r>
        <w:rPr>
          <w:color w:val="ABABAB"/>
          <w:spacing w:val="-2"/>
          <w:sz w:val="2"/>
        </w:rPr>
        <w:t>the</w:t>
      </w:r>
      <w:r>
        <w:rPr>
          <w:color w:val="ABABAB"/>
          <w:spacing w:val="9"/>
          <w:sz w:val="2"/>
        </w:rPr>
        <w:t> </w:t>
      </w:r>
      <w:r>
        <w:rPr>
          <w:color w:val="ABABAB"/>
          <w:spacing w:val="-2"/>
          <w:sz w:val="2"/>
        </w:rPr>
        <w:t>meeting.</w:t>
      </w:r>
      <w:r>
        <w:rPr>
          <w:color w:val="ABABAB"/>
          <w:spacing w:val="9"/>
          <w:sz w:val="2"/>
        </w:rPr>
        <w:t> </w:t>
      </w:r>
      <w:r>
        <w:rPr>
          <w:color w:val="ABABAB"/>
          <w:spacing w:val="-2"/>
          <w:sz w:val="2"/>
        </w:rPr>
        <w:t>Have</w:t>
      </w:r>
      <w:r>
        <w:rPr>
          <w:color w:val="ABABAB"/>
          <w:spacing w:val="8"/>
          <w:sz w:val="2"/>
        </w:rPr>
        <w:t> </w:t>
      </w:r>
      <w:r>
        <w:rPr>
          <w:color w:val="ABABAB"/>
          <w:spacing w:val="-2"/>
          <w:sz w:val="2"/>
        </w:rPr>
        <w:t>the</w:t>
      </w:r>
      <w:r>
        <w:rPr>
          <w:color w:val="ABABAB"/>
          <w:spacing w:val="9"/>
          <w:sz w:val="2"/>
        </w:rPr>
        <w:t> </w:t>
      </w:r>
      <w:r>
        <w:rPr>
          <w:color w:val="ABABAB"/>
          <w:spacing w:val="-2"/>
          <w:sz w:val="2"/>
        </w:rPr>
        <w:t>information</w:t>
      </w:r>
      <w:r>
        <w:rPr>
          <w:color w:val="ABABAB"/>
          <w:spacing w:val="9"/>
          <w:sz w:val="2"/>
        </w:rPr>
        <w:t> </w:t>
      </w:r>
      <w:r>
        <w:rPr>
          <w:color w:val="ABABAB"/>
          <w:spacing w:val="-2"/>
          <w:sz w:val="2"/>
        </w:rPr>
        <w:t>that</w:t>
      </w:r>
      <w:r>
        <w:rPr>
          <w:color w:val="ABABAB"/>
          <w:spacing w:val="9"/>
          <w:sz w:val="2"/>
        </w:rPr>
        <w:t> </w:t>
      </w:r>
      <w:r>
        <w:rPr>
          <w:color w:val="ABABAB"/>
          <w:spacing w:val="-2"/>
          <w:sz w:val="2"/>
        </w:rPr>
        <w:t>is</w:t>
      </w:r>
      <w:r>
        <w:rPr>
          <w:color w:val="ABABAB"/>
          <w:spacing w:val="9"/>
          <w:sz w:val="2"/>
        </w:rPr>
        <w:t> </w:t>
      </w:r>
      <w:r>
        <w:rPr>
          <w:color w:val="ABABAB"/>
          <w:spacing w:val="-2"/>
          <w:sz w:val="2"/>
        </w:rPr>
        <w:t>printed</w:t>
      </w:r>
      <w:r>
        <w:rPr>
          <w:color w:val="ABABAB"/>
          <w:spacing w:val="9"/>
          <w:sz w:val="2"/>
        </w:rPr>
        <w:t> </w:t>
      </w:r>
      <w:r>
        <w:rPr>
          <w:color w:val="ABABAB"/>
          <w:spacing w:val="-2"/>
          <w:sz w:val="2"/>
        </w:rPr>
        <w:t>in</w:t>
      </w:r>
      <w:r>
        <w:rPr>
          <w:color w:val="ABABAB"/>
          <w:spacing w:val="9"/>
          <w:sz w:val="2"/>
        </w:rPr>
        <w:t> </w:t>
      </w:r>
      <w:r>
        <w:rPr>
          <w:color w:val="ABABAB"/>
          <w:spacing w:val="-2"/>
          <w:sz w:val="2"/>
        </w:rPr>
        <w:t>the</w:t>
      </w:r>
      <w:r>
        <w:rPr>
          <w:color w:val="ABABAB"/>
          <w:spacing w:val="8"/>
          <w:sz w:val="2"/>
        </w:rPr>
        <w:t> </w:t>
      </w:r>
      <w:r>
        <w:rPr>
          <w:color w:val="ABABAB"/>
          <w:spacing w:val="-2"/>
          <w:sz w:val="2"/>
        </w:rPr>
        <w:t>box</w:t>
      </w:r>
      <w:r>
        <w:rPr>
          <w:color w:val="ABABAB"/>
          <w:spacing w:val="9"/>
          <w:sz w:val="2"/>
        </w:rPr>
        <w:t> </w:t>
      </w:r>
      <w:r>
        <w:rPr>
          <w:color w:val="ABABAB"/>
          <w:spacing w:val="-2"/>
          <w:sz w:val="2"/>
        </w:rPr>
        <w:t>marked</w:t>
      </w:r>
      <w:r>
        <w:rPr>
          <w:color w:val="ABABAB"/>
          <w:spacing w:val="9"/>
          <w:sz w:val="2"/>
        </w:rPr>
        <w:t> </w:t>
      </w:r>
      <w:r>
        <w:rPr>
          <w:color w:val="ABABAB"/>
          <w:spacing w:val="-2"/>
          <w:sz w:val="2"/>
        </w:rPr>
        <w:t>by</w:t>
      </w:r>
      <w:r>
        <w:rPr>
          <w:color w:val="ABABAB"/>
          <w:spacing w:val="9"/>
          <w:sz w:val="2"/>
        </w:rPr>
        <w:t> </w:t>
      </w:r>
      <w:r>
        <w:rPr>
          <w:color w:val="ABABAB"/>
          <w:spacing w:val="-2"/>
          <w:sz w:val="2"/>
        </w:rPr>
        <w:t>the</w:t>
      </w:r>
      <w:r>
        <w:rPr>
          <w:color w:val="ABABAB"/>
          <w:spacing w:val="9"/>
          <w:sz w:val="2"/>
        </w:rPr>
        <w:t> </w:t>
      </w:r>
      <w:r>
        <w:rPr>
          <w:color w:val="ABABAB"/>
          <w:spacing w:val="-2"/>
          <w:sz w:val="2"/>
        </w:rPr>
        <w:t>arrow</w:t>
      </w:r>
      <w:r>
        <w:rPr>
          <w:color w:val="ABABAB"/>
          <w:spacing w:val="9"/>
          <w:sz w:val="2"/>
        </w:rPr>
        <w:t> </w:t>
      </w:r>
      <w:r>
        <w:rPr>
          <w:color w:val="ABABAB"/>
          <w:spacing w:val="-2"/>
          <w:sz w:val="2"/>
        </w:rPr>
        <w:t>available</w:t>
      </w:r>
      <w:r>
        <w:rPr>
          <w:color w:val="ABABAB"/>
          <w:spacing w:val="9"/>
          <w:sz w:val="2"/>
        </w:rPr>
        <w:t> </w:t>
      </w:r>
      <w:r>
        <w:rPr>
          <w:color w:val="ABABAB"/>
          <w:spacing w:val="-2"/>
          <w:sz w:val="2"/>
        </w:rPr>
        <w:t>and</w:t>
      </w:r>
      <w:r>
        <w:rPr>
          <w:color w:val="ABABAB"/>
          <w:spacing w:val="9"/>
          <w:sz w:val="2"/>
        </w:rPr>
        <w:t> </w:t>
      </w:r>
      <w:r>
        <w:rPr>
          <w:color w:val="ABABAB"/>
          <w:spacing w:val="-2"/>
          <w:sz w:val="2"/>
        </w:rPr>
        <w:t>follow</w:t>
      </w:r>
      <w:r>
        <w:rPr>
          <w:color w:val="ABABAB"/>
          <w:spacing w:val="8"/>
          <w:sz w:val="2"/>
        </w:rPr>
        <w:t> </w:t>
      </w:r>
      <w:r>
        <w:rPr>
          <w:color w:val="ABABAB"/>
          <w:spacing w:val="-2"/>
          <w:sz w:val="2"/>
        </w:rPr>
        <w:t>the</w:t>
      </w:r>
      <w:r>
        <w:rPr>
          <w:color w:val="ABABAB"/>
          <w:spacing w:val="9"/>
          <w:sz w:val="2"/>
        </w:rPr>
        <w:t> </w:t>
      </w:r>
      <w:r>
        <w:rPr>
          <w:color w:val="ABABAB"/>
          <w:spacing w:val="-2"/>
          <w:sz w:val="2"/>
        </w:rPr>
        <w:t>instructions.VOTE</w:t>
      </w:r>
      <w:r>
        <w:rPr>
          <w:color w:val="ABABAB"/>
          <w:spacing w:val="9"/>
          <w:sz w:val="2"/>
        </w:rPr>
        <w:t> </w:t>
      </w:r>
      <w:r>
        <w:rPr>
          <w:color w:val="ABABAB"/>
          <w:spacing w:val="-2"/>
          <w:sz w:val="2"/>
        </w:rPr>
        <w:t>BY</w:t>
      </w:r>
      <w:r>
        <w:rPr>
          <w:color w:val="ABABAB"/>
          <w:spacing w:val="6"/>
          <w:sz w:val="2"/>
        </w:rPr>
        <w:t> </w:t>
      </w:r>
      <w:r>
        <w:rPr>
          <w:color w:val="ABABAB"/>
          <w:spacing w:val="-2"/>
          <w:sz w:val="2"/>
        </w:rPr>
        <w:t>PHONE</w:t>
      </w:r>
      <w:r>
        <w:rPr>
          <w:color w:val="ABABAB"/>
          <w:spacing w:val="9"/>
          <w:sz w:val="2"/>
        </w:rPr>
        <w:t> </w:t>
      </w:r>
      <w:r>
        <w:rPr>
          <w:color w:val="ABABAB"/>
          <w:spacing w:val="-2"/>
          <w:sz w:val="2"/>
        </w:rPr>
        <w:t>-</w:t>
      </w:r>
      <w:r>
        <w:rPr>
          <w:color w:val="ABABAB"/>
          <w:spacing w:val="9"/>
          <w:sz w:val="2"/>
        </w:rPr>
        <w:t> </w:t>
      </w:r>
      <w:r>
        <w:rPr>
          <w:color w:val="ABABAB"/>
          <w:spacing w:val="-2"/>
          <w:sz w:val="2"/>
        </w:rPr>
        <w:t>1-800-690-6903Use</w:t>
      </w:r>
      <w:r>
        <w:rPr>
          <w:color w:val="ABABAB"/>
          <w:spacing w:val="9"/>
          <w:sz w:val="2"/>
        </w:rPr>
        <w:t> </w:t>
      </w:r>
      <w:r>
        <w:rPr>
          <w:color w:val="ABABAB"/>
          <w:spacing w:val="-2"/>
          <w:sz w:val="2"/>
        </w:rPr>
        <w:t>any</w:t>
      </w:r>
      <w:r>
        <w:rPr>
          <w:color w:val="ABABAB"/>
          <w:spacing w:val="9"/>
          <w:sz w:val="2"/>
        </w:rPr>
        <w:t> </w:t>
      </w:r>
      <w:r>
        <w:rPr>
          <w:color w:val="ABABAB"/>
          <w:spacing w:val="-2"/>
          <w:sz w:val="2"/>
        </w:rPr>
        <w:t>touch-tone</w:t>
      </w:r>
      <w:r>
        <w:rPr>
          <w:color w:val="ABABAB"/>
          <w:spacing w:val="8"/>
          <w:sz w:val="2"/>
        </w:rPr>
        <w:t> </w:t>
      </w:r>
      <w:r>
        <w:rPr>
          <w:color w:val="ABABAB"/>
          <w:spacing w:val="-2"/>
          <w:sz w:val="2"/>
        </w:rPr>
        <w:t>telephone</w:t>
      </w:r>
      <w:r>
        <w:rPr>
          <w:color w:val="ABABAB"/>
          <w:spacing w:val="9"/>
          <w:sz w:val="2"/>
        </w:rPr>
        <w:t> </w:t>
      </w:r>
      <w:r>
        <w:rPr>
          <w:color w:val="ABABAB"/>
          <w:spacing w:val="-2"/>
          <w:sz w:val="2"/>
        </w:rPr>
        <w:t>to</w:t>
      </w:r>
      <w:r>
        <w:rPr>
          <w:color w:val="ABABAB"/>
          <w:spacing w:val="9"/>
          <w:sz w:val="2"/>
        </w:rPr>
        <w:t> </w:t>
      </w:r>
      <w:r>
        <w:rPr>
          <w:color w:val="ABABAB"/>
          <w:spacing w:val="-2"/>
          <w:sz w:val="2"/>
        </w:rPr>
        <w:t>transmit</w:t>
      </w:r>
      <w:r>
        <w:rPr>
          <w:color w:val="ABABAB"/>
          <w:spacing w:val="9"/>
          <w:sz w:val="2"/>
        </w:rPr>
        <w:t> </w:t>
      </w:r>
      <w:r>
        <w:rPr>
          <w:color w:val="ABABAB"/>
          <w:spacing w:val="-2"/>
          <w:sz w:val="2"/>
        </w:rPr>
        <w:t>your</w:t>
      </w:r>
      <w:r>
        <w:rPr>
          <w:color w:val="ABABAB"/>
          <w:spacing w:val="9"/>
          <w:sz w:val="2"/>
        </w:rPr>
        <w:t> </w:t>
      </w:r>
      <w:r>
        <w:rPr>
          <w:color w:val="ABABAB"/>
          <w:spacing w:val="-2"/>
          <w:sz w:val="2"/>
        </w:rPr>
        <w:t>voting</w:t>
      </w:r>
      <w:r>
        <w:rPr>
          <w:color w:val="ABABAB"/>
          <w:spacing w:val="9"/>
          <w:sz w:val="2"/>
        </w:rPr>
        <w:t> </w:t>
      </w:r>
      <w:r>
        <w:rPr>
          <w:color w:val="ABABAB"/>
          <w:spacing w:val="-2"/>
          <w:sz w:val="2"/>
        </w:rPr>
        <w:t>instructions</w:t>
      </w:r>
      <w:r>
        <w:rPr>
          <w:color w:val="ABABAB"/>
          <w:spacing w:val="9"/>
          <w:sz w:val="2"/>
        </w:rPr>
        <w:t> </w:t>
      </w:r>
      <w:r>
        <w:rPr>
          <w:color w:val="ABABAB"/>
          <w:spacing w:val="-2"/>
          <w:sz w:val="2"/>
        </w:rPr>
        <w:t>up</w:t>
      </w:r>
      <w:r>
        <w:rPr>
          <w:color w:val="ABABAB"/>
          <w:spacing w:val="9"/>
          <w:sz w:val="2"/>
        </w:rPr>
        <w:t> </w:t>
      </w:r>
      <w:r>
        <w:rPr>
          <w:color w:val="ABABAB"/>
          <w:spacing w:val="-2"/>
          <w:sz w:val="2"/>
        </w:rPr>
        <w:t>until</w:t>
      </w:r>
      <w:r>
        <w:rPr>
          <w:color w:val="ABABAB"/>
          <w:spacing w:val="8"/>
          <w:sz w:val="2"/>
        </w:rPr>
        <w:t> </w:t>
      </w:r>
      <w:r>
        <w:rPr>
          <w:color w:val="ABABAB"/>
          <w:spacing w:val="-2"/>
          <w:sz w:val="2"/>
        </w:rPr>
        <w:t>11:59</w:t>
      </w:r>
      <w:r>
        <w:rPr>
          <w:color w:val="ABABAB"/>
          <w:spacing w:val="9"/>
          <w:sz w:val="2"/>
        </w:rPr>
        <w:t> </w:t>
      </w:r>
      <w:r>
        <w:rPr>
          <w:color w:val="ABABAB"/>
          <w:spacing w:val="-2"/>
          <w:sz w:val="2"/>
        </w:rPr>
        <w:t>p.m.</w:t>
      </w:r>
      <w:r>
        <w:rPr>
          <w:color w:val="ABABAB"/>
          <w:spacing w:val="9"/>
          <w:sz w:val="2"/>
        </w:rPr>
        <w:t> </w:t>
      </w:r>
      <w:r>
        <w:rPr>
          <w:color w:val="ABABAB"/>
          <w:spacing w:val="-2"/>
          <w:sz w:val="2"/>
        </w:rPr>
        <w:t>Eastern</w:t>
      </w:r>
      <w:r>
        <w:rPr>
          <w:color w:val="ABABAB"/>
          <w:spacing w:val="9"/>
          <w:sz w:val="2"/>
        </w:rPr>
        <w:t> </w:t>
      </w:r>
      <w:r>
        <w:rPr>
          <w:color w:val="ABABAB"/>
          <w:spacing w:val="-2"/>
          <w:sz w:val="2"/>
        </w:rPr>
        <w:t>Time</w:t>
      </w:r>
      <w:r>
        <w:rPr>
          <w:color w:val="ABABAB"/>
          <w:spacing w:val="9"/>
          <w:sz w:val="2"/>
        </w:rPr>
        <w:t> </w:t>
      </w:r>
      <w:r>
        <w:rPr>
          <w:color w:val="ABABAB"/>
          <w:spacing w:val="-2"/>
          <w:sz w:val="2"/>
        </w:rPr>
        <w:t>on</w:t>
      </w:r>
      <w:r>
        <w:rPr>
          <w:color w:val="ABABAB"/>
          <w:spacing w:val="9"/>
          <w:sz w:val="2"/>
        </w:rPr>
        <w:t> </w:t>
      </w:r>
      <w:r>
        <w:rPr>
          <w:color w:val="ABABAB"/>
          <w:spacing w:val="-2"/>
          <w:sz w:val="2"/>
        </w:rPr>
        <w:t>February</w:t>
      </w:r>
      <w:r>
        <w:rPr>
          <w:color w:val="ABABAB"/>
          <w:spacing w:val="9"/>
          <w:sz w:val="2"/>
        </w:rPr>
        <w:t> </w:t>
      </w:r>
      <w:r>
        <w:rPr>
          <w:color w:val="ABABAB"/>
          <w:spacing w:val="-2"/>
          <w:sz w:val="2"/>
        </w:rPr>
        <w:t>8,</w:t>
      </w:r>
      <w:r>
        <w:rPr>
          <w:color w:val="ABABAB"/>
          <w:spacing w:val="8"/>
          <w:sz w:val="2"/>
        </w:rPr>
        <w:t> </w:t>
      </w:r>
      <w:r>
        <w:rPr>
          <w:color w:val="ABABAB"/>
          <w:spacing w:val="-2"/>
          <w:sz w:val="2"/>
        </w:rPr>
        <w:t>2023.</w:t>
      </w:r>
      <w:r>
        <w:rPr>
          <w:color w:val="ABABAB"/>
          <w:spacing w:val="9"/>
          <w:sz w:val="2"/>
        </w:rPr>
        <w:t> </w:t>
      </w:r>
      <w:r>
        <w:rPr>
          <w:color w:val="ABABAB"/>
          <w:spacing w:val="-2"/>
          <w:sz w:val="2"/>
        </w:rPr>
        <w:t>Have</w:t>
      </w:r>
      <w:r>
        <w:rPr>
          <w:color w:val="ABABAB"/>
          <w:spacing w:val="9"/>
          <w:sz w:val="2"/>
        </w:rPr>
        <w:t> </w:t>
      </w:r>
      <w:r>
        <w:rPr>
          <w:color w:val="ABABAB"/>
          <w:spacing w:val="-2"/>
          <w:sz w:val="2"/>
        </w:rPr>
        <w:t>your</w:t>
      </w:r>
      <w:r>
        <w:rPr>
          <w:color w:val="ABABAB"/>
          <w:spacing w:val="9"/>
          <w:sz w:val="2"/>
        </w:rPr>
        <w:t> </w:t>
      </w:r>
      <w:r>
        <w:rPr>
          <w:color w:val="ABABAB"/>
          <w:spacing w:val="-2"/>
          <w:sz w:val="2"/>
        </w:rPr>
        <w:t>proxy</w:t>
      </w:r>
      <w:r>
        <w:rPr>
          <w:color w:val="ABABAB"/>
          <w:spacing w:val="9"/>
          <w:sz w:val="2"/>
        </w:rPr>
        <w:t> </w:t>
      </w:r>
      <w:r>
        <w:rPr>
          <w:color w:val="ABABAB"/>
          <w:spacing w:val="-2"/>
          <w:sz w:val="2"/>
        </w:rPr>
        <w:t>card</w:t>
      </w:r>
      <w:r>
        <w:rPr>
          <w:color w:val="ABABAB"/>
          <w:spacing w:val="9"/>
          <w:sz w:val="2"/>
        </w:rPr>
        <w:t> </w:t>
      </w:r>
      <w:r>
        <w:rPr>
          <w:color w:val="ABABAB"/>
          <w:spacing w:val="-2"/>
          <w:sz w:val="2"/>
        </w:rPr>
        <w:t>in</w:t>
      </w:r>
      <w:r>
        <w:rPr>
          <w:color w:val="ABABAB"/>
          <w:spacing w:val="9"/>
          <w:sz w:val="2"/>
        </w:rPr>
        <w:t> </w:t>
      </w:r>
      <w:r>
        <w:rPr>
          <w:color w:val="ABABAB"/>
          <w:spacing w:val="-2"/>
          <w:sz w:val="2"/>
        </w:rPr>
        <w:t>hand</w:t>
      </w:r>
      <w:r>
        <w:rPr>
          <w:color w:val="ABABAB"/>
          <w:spacing w:val="8"/>
          <w:sz w:val="2"/>
        </w:rPr>
        <w:t> </w:t>
      </w:r>
      <w:r>
        <w:rPr>
          <w:color w:val="ABABAB"/>
          <w:spacing w:val="-2"/>
          <w:sz w:val="2"/>
        </w:rPr>
        <w:t>when</w:t>
      </w:r>
      <w:r>
        <w:rPr>
          <w:color w:val="ABABAB"/>
          <w:spacing w:val="9"/>
          <w:sz w:val="2"/>
        </w:rPr>
        <w:t> </w:t>
      </w:r>
      <w:r>
        <w:rPr>
          <w:color w:val="ABABAB"/>
          <w:spacing w:val="-2"/>
          <w:sz w:val="2"/>
        </w:rPr>
        <w:t>you</w:t>
      </w:r>
      <w:r>
        <w:rPr>
          <w:color w:val="ABABAB"/>
          <w:spacing w:val="9"/>
          <w:sz w:val="2"/>
        </w:rPr>
        <w:t> </w:t>
      </w:r>
      <w:r>
        <w:rPr>
          <w:color w:val="ABABAB"/>
          <w:spacing w:val="-2"/>
          <w:sz w:val="2"/>
        </w:rPr>
        <w:t>call</w:t>
      </w:r>
      <w:r>
        <w:rPr>
          <w:color w:val="ABABAB"/>
          <w:spacing w:val="9"/>
          <w:sz w:val="2"/>
        </w:rPr>
        <w:t> </w:t>
      </w:r>
      <w:r>
        <w:rPr>
          <w:color w:val="ABABAB"/>
          <w:spacing w:val="-2"/>
          <w:sz w:val="2"/>
        </w:rPr>
        <w:t>and</w:t>
      </w:r>
      <w:r>
        <w:rPr>
          <w:color w:val="ABABAB"/>
          <w:spacing w:val="9"/>
          <w:sz w:val="2"/>
        </w:rPr>
        <w:t> </w:t>
      </w:r>
      <w:r>
        <w:rPr>
          <w:color w:val="ABABAB"/>
          <w:spacing w:val="-2"/>
          <w:sz w:val="2"/>
        </w:rPr>
        <w:t>then</w:t>
      </w:r>
      <w:r>
        <w:rPr>
          <w:color w:val="ABABAB"/>
          <w:spacing w:val="9"/>
          <w:sz w:val="2"/>
        </w:rPr>
        <w:t> </w:t>
      </w:r>
      <w:r>
        <w:rPr>
          <w:color w:val="ABABAB"/>
          <w:spacing w:val="-2"/>
          <w:sz w:val="2"/>
        </w:rPr>
        <w:t>follow</w:t>
      </w:r>
      <w:r>
        <w:rPr>
          <w:color w:val="ABABAB"/>
          <w:spacing w:val="9"/>
          <w:sz w:val="2"/>
        </w:rPr>
        <w:t> </w:t>
      </w:r>
      <w:r>
        <w:rPr>
          <w:color w:val="ABABAB"/>
          <w:spacing w:val="-2"/>
          <w:sz w:val="2"/>
        </w:rPr>
        <w:t>the</w:t>
      </w:r>
      <w:r>
        <w:rPr>
          <w:color w:val="ABABAB"/>
          <w:spacing w:val="8"/>
          <w:sz w:val="2"/>
        </w:rPr>
        <w:t> </w:t>
      </w:r>
      <w:r>
        <w:rPr>
          <w:color w:val="ABABAB"/>
          <w:spacing w:val="-2"/>
          <w:sz w:val="2"/>
        </w:rPr>
        <w:t>instructions.VOTE</w:t>
      </w:r>
      <w:r>
        <w:rPr>
          <w:color w:val="ABABAB"/>
          <w:spacing w:val="9"/>
          <w:sz w:val="2"/>
        </w:rPr>
        <w:t> </w:t>
      </w:r>
      <w:r>
        <w:rPr>
          <w:color w:val="ABABAB"/>
          <w:spacing w:val="-2"/>
          <w:sz w:val="2"/>
        </w:rPr>
        <w:t>BY</w:t>
      </w:r>
      <w:r>
        <w:rPr>
          <w:color w:val="ABABAB"/>
          <w:spacing w:val="6"/>
          <w:sz w:val="2"/>
        </w:rPr>
        <w:t> </w:t>
      </w:r>
      <w:r>
        <w:rPr>
          <w:color w:val="ABABAB"/>
          <w:spacing w:val="-2"/>
          <w:sz w:val="2"/>
        </w:rPr>
        <w:t>MAILMark,</w:t>
      </w:r>
      <w:r>
        <w:rPr>
          <w:color w:val="ABABAB"/>
          <w:spacing w:val="9"/>
          <w:sz w:val="2"/>
        </w:rPr>
        <w:t> </w:t>
      </w:r>
      <w:r>
        <w:rPr>
          <w:color w:val="ABABAB"/>
          <w:spacing w:val="-2"/>
          <w:sz w:val="2"/>
        </w:rPr>
        <w:t>sign</w:t>
      </w:r>
      <w:r>
        <w:rPr>
          <w:color w:val="ABABAB"/>
          <w:spacing w:val="9"/>
          <w:sz w:val="2"/>
        </w:rPr>
        <w:t> </w:t>
      </w:r>
      <w:r>
        <w:rPr>
          <w:color w:val="ABABAB"/>
          <w:spacing w:val="-2"/>
          <w:sz w:val="2"/>
        </w:rPr>
        <w:t>and</w:t>
      </w:r>
      <w:r>
        <w:rPr>
          <w:color w:val="ABABAB"/>
          <w:spacing w:val="9"/>
          <w:sz w:val="2"/>
        </w:rPr>
        <w:t> </w:t>
      </w:r>
      <w:r>
        <w:rPr>
          <w:color w:val="ABABAB"/>
          <w:spacing w:val="-2"/>
          <w:sz w:val="2"/>
        </w:rPr>
        <w:t>date</w:t>
      </w:r>
      <w:r>
        <w:rPr>
          <w:color w:val="ABABAB"/>
          <w:spacing w:val="9"/>
          <w:sz w:val="2"/>
        </w:rPr>
        <w:t> </w:t>
      </w:r>
      <w:r>
        <w:rPr>
          <w:color w:val="ABABAB"/>
          <w:spacing w:val="-2"/>
          <w:sz w:val="2"/>
        </w:rPr>
        <w:t>your</w:t>
      </w:r>
      <w:r>
        <w:rPr>
          <w:color w:val="ABABAB"/>
          <w:spacing w:val="9"/>
          <w:sz w:val="2"/>
        </w:rPr>
        <w:t> </w:t>
      </w:r>
      <w:r>
        <w:rPr>
          <w:color w:val="ABABAB"/>
          <w:spacing w:val="-2"/>
          <w:sz w:val="2"/>
        </w:rPr>
        <w:t>proxy</w:t>
      </w:r>
      <w:r>
        <w:rPr>
          <w:color w:val="ABABAB"/>
          <w:spacing w:val="9"/>
          <w:sz w:val="2"/>
        </w:rPr>
        <w:t> </w:t>
      </w:r>
      <w:r>
        <w:rPr>
          <w:color w:val="ABABAB"/>
          <w:spacing w:val="-2"/>
          <w:sz w:val="2"/>
        </w:rPr>
        <w:t>card</w:t>
      </w:r>
      <w:r>
        <w:rPr>
          <w:color w:val="ABABAB"/>
          <w:spacing w:val="8"/>
          <w:sz w:val="2"/>
        </w:rPr>
        <w:t> </w:t>
      </w:r>
      <w:r>
        <w:rPr>
          <w:color w:val="ABABAB"/>
          <w:spacing w:val="-2"/>
          <w:sz w:val="2"/>
        </w:rPr>
        <w:t>and</w:t>
      </w:r>
      <w:r>
        <w:rPr>
          <w:color w:val="ABABAB"/>
          <w:spacing w:val="9"/>
          <w:sz w:val="2"/>
        </w:rPr>
        <w:t> </w:t>
      </w:r>
      <w:r>
        <w:rPr>
          <w:color w:val="ABABAB"/>
          <w:spacing w:val="-2"/>
          <w:sz w:val="2"/>
        </w:rPr>
        <w:t>return</w:t>
      </w:r>
      <w:r>
        <w:rPr>
          <w:color w:val="ABABAB"/>
          <w:spacing w:val="9"/>
          <w:sz w:val="2"/>
        </w:rPr>
        <w:t> </w:t>
      </w:r>
      <w:r>
        <w:rPr>
          <w:color w:val="ABABAB"/>
          <w:spacing w:val="-2"/>
          <w:sz w:val="2"/>
        </w:rPr>
        <w:t>it</w:t>
      </w:r>
      <w:r>
        <w:rPr>
          <w:color w:val="ABABAB"/>
          <w:spacing w:val="9"/>
          <w:sz w:val="2"/>
        </w:rPr>
        <w:t> </w:t>
      </w:r>
      <w:r>
        <w:rPr>
          <w:color w:val="ABABAB"/>
          <w:spacing w:val="-2"/>
          <w:sz w:val="2"/>
        </w:rPr>
        <w:t>in</w:t>
      </w:r>
      <w:r>
        <w:rPr>
          <w:color w:val="ABABAB"/>
          <w:spacing w:val="9"/>
          <w:sz w:val="2"/>
        </w:rPr>
        <w:t> </w:t>
      </w:r>
      <w:r>
        <w:rPr>
          <w:color w:val="ABABAB"/>
          <w:spacing w:val="-2"/>
          <w:sz w:val="2"/>
        </w:rPr>
        <w:t>the</w:t>
      </w:r>
      <w:r>
        <w:rPr>
          <w:color w:val="ABABAB"/>
          <w:spacing w:val="9"/>
          <w:sz w:val="2"/>
        </w:rPr>
        <w:t> </w:t>
      </w:r>
      <w:r>
        <w:rPr>
          <w:color w:val="ABABAB"/>
          <w:spacing w:val="-2"/>
          <w:sz w:val="2"/>
        </w:rPr>
        <w:t>postage-paid</w:t>
      </w:r>
      <w:r>
        <w:rPr>
          <w:color w:val="ABABAB"/>
          <w:spacing w:val="9"/>
          <w:sz w:val="2"/>
        </w:rPr>
        <w:t> </w:t>
      </w:r>
      <w:r>
        <w:rPr>
          <w:color w:val="ABABAB"/>
          <w:spacing w:val="-2"/>
          <w:sz w:val="2"/>
        </w:rPr>
        <w:t>envelope</w:t>
      </w:r>
      <w:r>
        <w:rPr>
          <w:color w:val="ABABAB"/>
          <w:spacing w:val="8"/>
          <w:sz w:val="2"/>
        </w:rPr>
        <w:t> </w:t>
      </w:r>
      <w:r>
        <w:rPr>
          <w:color w:val="ABABAB"/>
          <w:spacing w:val="-2"/>
          <w:sz w:val="2"/>
        </w:rPr>
        <w:t>we</w:t>
      </w:r>
      <w:r>
        <w:rPr>
          <w:color w:val="ABABAB"/>
          <w:spacing w:val="9"/>
          <w:sz w:val="2"/>
        </w:rPr>
        <w:t> </w:t>
      </w:r>
      <w:r>
        <w:rPr>
          <w:color w:val="ABABAB"/>
          <w:spacing w:val="-2"/>
          <w:sz w:val="2"/>
        </w:rPr>
        <w:t>have</w:t>
      </w:r>
      <w:r>
        <w:rPr>
          <w:color w:val="ABABAB"/>
          <w:spacing w:val="9"/>
          <w:sz w:val="2"/>
        </w:rPr>
        <w:t> </w:t>
      </w:r>
      <w:r>
        <w:rPr>
          <w:color w:val="ABABAB"/>
          <w:spacing w:val="-2"/>
          <w:sz w:val="2"/>
        </w:rPr>
        <w:t>provided</w:t>
      </w:r>
      <w:r>
        <w:rPr>
          <w:color w:val="ABABAB"/>
          <w:spacing w:val="9"/>
          <w:sz w:val="2"/>
        </w:rPr>
        <w:t> </w:t>
      </w:r>
      <w:r>
        <w:rPr>
          <w:color w:val="ABABAB"/>
          <w:spacing w:val="-2"/>
          <w:sz w:val="2"/>
        </w:rPr>
        <w:t>or</w:t>
      </w:r>
      <w:r>
        <w:rPr>
          <w:color w:val="ABABAB"/>
          <w:spacing w:val="9"/>
          <w:sz w:val="2"/>
        </w:rPr>
        <w:t> </w:t>
      </w:r>
      <w:r>
        <w:rPr>
          <w:color w:val="ABABAB"/>
          <w:spacing w:val="-2"/>
          <w:sz w:val="2"/>
        </w:rPr>
        <w:t>return</w:t>
      </w:r>
      <w:r>
        <w:rPr>
          <w:color w:val="ABABAB"/>
          <w:spacing w:val="9"/>
          <w:sz w:val="2"/>
        </w:rPr>
        <w:t> </w:t>
      </w:r>
      <w:r>
        <w:rPr>
          <w:color w:val="ABABAB"/>
          <w:spacing w:val="-2"/>
          <w:sz w:val="2"/>
        </w:rPr>
        <w:t>it</w:t>
      </w:r>
      <w:r>
        <w:rPr>
          <w:color w:val="ABABAB"/>
          <w:spacing w:val="9"/>
          <w:sz w:val="2"/>
        </w:rPr>
        <w:t> </w:t>
      </w:r>
      <w:r>
        <w:rPr>
          <w:color w:val="ABABAB"/>
          <w:spacing w:val="-2"/>
          <w:sz w:val="2"/>
        </w:rPr>
        <w:t>to</w:t>
      </w:r>
      <w:r>
        <w:rPr>
          <w:color w:val="ABABAB"/>
          <w:spacing w:val="9"/>
          <w:sz w:val="2"/>
        </w:rPr>
        <w:t> </w:t>
      </w:r>
      <w:r>
        <w:rPr>
          <w:color w:val="ABABAB"/>
          <w:spacing w:val="-2"/>
          <w:sz w:val="2"/>
        </w:rPr>
        <w:t>Vote</w:t>
      </w:r>
      <w:r>
        <w:rPr>
          <w:color w:val="ABABAB"/>
          <w:spacing w:val="8"/>
          <w:sz w:val="2"/>
        </w:rPr>
        <w:t> </w:t>
      </w:r>
      <w:r>
        <w:rPr>
          <w:color w:val="ABABAB"/>
          <w:spacing w:val="-2"/>
          <w:sz w:val="2"/>
        </w:rPr>
        <w:t>Processing,</w:t>
      </w:r>
      <w:r>
        <w:rPr>
          <w:color w:val="ABABAB"/>
          <w:spacing w:val="9"/>
          <w:sz w:val="2"/>
        </w:rPr>
        <w:t> </w:t>
      </w:r>
      <w:r>
        <w:rPr>
          <w:color w:val="ABABAB"/>
          <w:spacing w:val="-2"/>
          <w:sz w:val="2"/>
        </w:rPr>
        <w:t>c/o</w:t>
      </w:r>
      <w:r>
        <w:rPr>
          <w:color w:val="ABABAB"/>
          <w:spacing w:val="9"/>
          <w:sz w:val="2"/>
        </w:rPr>
        <w:t> </w:t>
      </w:r>
      <w:r>
        <w:rPr>
          <w:color w:val="ABABAB"/>
          <w:spacing w:val="-2"/>
          <w:sz w:val="2"/>
        </w:rPr>
        <w:t>Broadridge,</w:t>
      </w:r>
      <w:r>
        <w:rPr>
          <w:color w:val="ABABAB"/>
          <w:spacing w:val="9"/>
          <w:sz w:val="2"/>
        </w:rPr>
        <w:t> </w:t>
      </w:r>
      <w:r>
        <w:rPr>
          <w:color w:val="ABABAB"/>
          <w:spacing w:val="-2"/>
          <w:sz w:val="2"/>
        </w:rPr>
        <w:t>51</w:t>
      </w:r>
      <w:r>
        <w:rPr>
          <w:color w:val="ABABAB"/>
          <w:spacing w:val="9"/>
          <w:sz w:val="2"/>
        </w:rPr>
        <w:t> </w:t>
      </w:r>
      <w:r>
        <w:rPr>
          <w:color w:val="ABABAB"/>
          <w:spacing w:val="-2"/>
          <w:sz w:val="2"/>
        </w:rPr>
        <w:t>Mercedes</w:t>
      </w:r>
      <w:r>
        <w:rPr>
          <w:color w:val="ABABAB"/>
          <w:spacing w:val="9"/>
          <w:sz w:val="2"/>
        </w:rPr>
        <w:t> </w:t>
      </w:r>
      <w:r>
        <w:rPr>
          <w:color w:val="ABABAB"/>
          <w:spacing w:val="-2"/>
          <w:sz w:val="2"/>
        </w:rPr>
        <w:t>Way,</w:t>
      </w:r>
      <w:r>
        <w:rPr>
          <w:color w:val="ABABAB"/>
          <w:spacing w:val="9"/>
          <w:sz w:val="2"/>
        </w:rPr>
        <w:t> </w:t>
      </w:r>
      <w:r>
        <w:rPr>
          <w:color w:val="ABABAB"/>
          <w:spacing w:val="-2"/>
          <w:sz w:val="2"/>
        </w:rPr>
        <w:t>Edgewood,</w:t>
      </w:r>
      <w:r>
        <w:rPr>
          <w:color w:val="ABABAB"/>
          <w:spacing w:val="8"/>
          <w:sz w:val="2"/>
        </w:rPr>
        <w:t> </w:t>
      </w:r>
      <w:r>
        <w:rPr>
          <w:color w:val="ABABAB"/>
          <w:spacing w:val="-2"/>
          <w:sz w:val="2"/>
        </w:rPr>
        <w:t>NY</w:t>
      </w:r>
      <w:r>
        <w:rPr>
          <w:color w:val="ABABAB"/>
          <w:spacing w:val="6"/>
          <w:sz w:val="2"/>
        </w:rPr>
        <w:t> </w:t>
      </w:r>
      <w:r>
        <w:rPr>
          <w:color w:val="ABABAB"/>
          <w:spacing w:val="-2"/>
          <w:sz w:val="2"/>
        </w:rPr>
        <w:t>11717.TO</w:t>
      </w:r>
      <w:r>
        <w:rPr>
          <w:color w:val="ABABAB"/>
          <w:spacing w:val="9"/>
          <w:sz w:val="2"/>
        </w:rPr>
        <w:t> </w:t>
      </w:r>
      <w:r>
        <w:rPr>
          <w:color w:val="ABABAB"/>
          <w:spacing w:val="-2"/>
          <w:sz w:val="2"/>
        </w:rPr>
        <w:t>VOTE,</w:t>
      </w:r>
      <w:r>
        <w:rPr>
          <w:color w:val="ABABAB"/>
          <w:spacing w:val="9"/>
          <w:sz w:val="2"/>
        </w:rPr>
        <w:t> </w:t>
      </w:r>
      <w:r>
        <w:rPr>
          <w:color w:val="ABABAB"/>
          <w:spacing w:val="-2"/>
          <w:sz w:val="2"/>
        </w:rPr>
        <w:t>MARK</w:t>
      </w:r>
      <w:r>
        <w:rPr>
          <w:color w:val="ABABAB"/>
          <w:spacing w:val="9"/>
          <w:sz w:val="2"/>
        </w:rPr>
        <w:t> </w:t>
      </w:r>
      <w:r>
        <w:rPr>
          <w:color w:val="ABABAB"/>
          <w:spacing w:val="-2"/>
          <w:sz w:val="2"/>
        </w:rPr>
        <w:t>BLOCKS</w:t>
      </w:r>
      <w:r>
        <w:rPr>
          <w:color w:val="ABABAB"/>
          <w:spacing w:val="9"/>
          <w:sz w:val="2"/>
        </w:rPr>
        <w:t> </w:t>
      </w:r>
      <w:r>
        <w:rPr>
          <w:color w:val="ABABAB"/>
          <w:spacing w:val="-2"/>
          <w:sz w:val="2"/>
        </w:rPr>
        <w:t>BELOW</w:t>
      </w:r>
      <w:r>
        <w:rPr>
          <w:color w:val="ABABAB"/>
          <w:spacing w:val="9"/>
          <w:sz w:val="2"/>
        </w:rPr>
        <w:t> </w:t>
      </w:r>
      <w:r>
        <w:rPr>
          <w:color w:val="ABABAB"/>
          <w:spacing w:val="-2"/>
          <w:sz w:val="2"/>
        </w:rPr>
        <w:t>IN</w:t>
      </w:r>
      <w:r>
        <w:rPr>
          <w:color w:val="ABABAB"/>
          <w:spacing w:val="9"/>
          <w:sz w:val="2"/>
        </w:rPr>
        <w:t> </w:t>
      </w:r>
      <w:r>
        <w:rPr>
          <w:color w:val="ABABAB"/>
          <w:spacing w:val="-2"/>
          <w:sz w:val="2"/>
        </w:rPr>
        <w:t>BLUE</w:t>
      </w:r>
      <w:r>
        <w:rPr>
          <w:color w:val="ABABAB"/>
          <w:spacing w:val="9"/>
          <w:sz w:val="2"/>
        </w:rPr>
        <w:t> </w:t>
      </w:r>
      <w:r>
        <w:rPr>
          <w:color w:val="ABABAB"/>
          <w:spacing w:val="-2"/>
          <w:sz w:val="2"/>
        </w:rPr>
        <w:t>OR</w:t>
      </w:r>
      <w:r>
        <w:rPr>
          <w:color w:val="ABABAB"/>
          <w:spacing w:val="8"/>
          <w:sz w:val="2"/>
        </w:rPr>
        <w:t> </w:t>
      </w:r>
      <w:r>
        <w:rPr>
          <w:color w:val="ABABAB"/>
          <w:spacing w:val="-2"/>
          <w:sz w:val="2"/>
        </w:rPr>
        <w:t>BLACK</w:t>
      </w:r>
      <w:r>
        <w:rPr>
          <w:color w:val="ABABAB"/>
          <w:spacing w:val="9"/>
          <w:sz w:val="2"/>
        </w:rPr>
        <w:t> </w:t>
      </w:r>
      <w:r>
        <w:rPr>
          <w:color w:val="ABABAB"/>
          <w:spacing w:val="-2"/>
          <w:sz w:val="2"/>
        </w:rPr>
        <w:t>INK</w:t>
      </w:r>
      <w:r>
        <w:rPr>
          <w:color w:val="ABABAB"/>
          <w:spacing w:val="6"/>
          <w:sz w:val="2"/>
        </w:rPr>
        <w:t> </w:t>
      </w:r>
      <w:r>
        <w:rPr>
          <w:color w:val="ABABAB"/>
          <w:spacing w:val="-2"/>
          <w:sz w:val="2"/>
        </w:rPr>
        <w:t>AS</w:t>
      </w:r>
      <w:r>
        <w:rPr>
          <w:color w:val="ABABAB"/>
          <w:spacing w:val="9"/>
          <w:sz w:val="2"/>
        </w:rPr>
        <w:t> </w:t>
      </w:r>
      <w:r>
        <w:rPr>
          <w:color w:val="ABABAB"/>
          <w:spacing w:val="-2"/>
          <w:sz w:val="2"/>
        </w:rPr>
        <w:t>FOLLOWS:KEEP</w:t>
      </w:r>
      <w:r>
        <w:rPr>
          <w:color w:val="ABABAB"/>
          <w:spacing w:val="6"/>
          <w:sz w:val="2"/>
        </w:rPr>
        <w:t> </w:t>
      </w:r>
      <w:r>
        <w:rPr>
          <w:color w:val="ABABAB"/>
          <w:spacing w:val="-2"/>
          <w:sz w:val="2"/>
        </w:rPr>
        <w:t>THIS</w:t>
      </w:r>
      <w:r>
        <w:rPr>
          <w:color w:val="ABABAB"/>
          <w:spacing w:val="9"/>
          <w:sz w:val="2"/>
        </w:rPr>
        <w:t> </w:t>
      </w:r>
      <w:r>
        <w:rPr>
          <w:color w:val="ABABAB"/>
          <w:spacing w:val="-2"/>
          <w:sz w:val="2"/>
        </w:rPr>
        <w:t>PORTION</w:t>
      </w:r>
      <w:r>
        <w:rPr>
          <w:color w:val="ABABAB"/>
          <w:spacing w:val="9"/>
          <w:sz w:val="2"/>
        </w:rPr>
        <w:t> </w:t>
      </w:r>
      <w:r>
        <w:rPr>
          <w:color w:val="ABABAB"/>
          <w:spacing w:val="-2"/>
          <w:sz w:val="2"/>
        </w:rPr>
        <w:t>FOR</w:t>
      </w:r>
      <w:r>
        <w:rPr>
          <w:color w:val="ABABAB"/>
          <w:spacing w:val="6"/>
          <w:sz w:val="2"/>
        </w:rPr>
        <w:t> </w:t>
      </w:r>
      <w:r>
        <w:rPr>
          <w:color w:val="ABABAB"/>
          <w:spacing w:val="-2"/>
          <w:sz w:val="2"/>
        </w:rPr>
        <w:t>YOUR</w:t>
      </w:r>
      <w:r>
        <w:rPr>
          <w:color w:val="ABABAB"/>
          <w:spacing w:val="9"/>
          <w:sz w:val="2"/>
        </w:rPr>
        <w:t> </w:t>
      </w:r>
      <w:r>
        <w:rPr>
          <w:color w:val="ABABAB"/>
          <w:spacing w:val="-2"/>
          <w:sz w:val="2"/>
        </w:rPr>
        <w:t>RECORDSTHIS</w:t>
      </w:r>
      <w:r>
        <w:rPr>
          <w:color w:val="ABABAB"/>
          <w:spacing w:val="9"/>
          <w:sz w:val="2"/>
        </w:rPr>
        <w:t> </w:t>
      </w:r>
      <w:r>
        <w:rPr>
          <w:color w:val="ABABAB"/>
          <w:spacing w:val="-2"/>
          <w:sz w:val="2"/>
        </w:rPr>
        <w:t>PROXY</w:t>
      </w:r>
      <w:r>
        <w:rPr>
          <w:color w:val="ABABAB"/>
          <w:spacing w:val="6"/>
          <w:sz w:val="2"/>
        </w:rPr>
        <w:t> </w:t>
      </w:r>
      <w:r>
        <w:rPr>
          <w:color w:val="ABABAB"/>
          <w:spacing w:val="-2"/>
          <w:sz w:val="2"/>
        </w:rPr>
        <w:t>CARD</w:t>
      </w:r>
      <w:r>
        <w:rPr>
          <w:color w:val="ABABAB"/>
          <w:spacing w:val="9"/>
          <w:sz w:val="2"/>
        </w:rPr>
        <w:t> </w:t>
      </w:r>
      <w:r>
        <w:rPr>
          <w:color w:val="ABABAB"/>
          <w:spacing w:val="-2"/>
          <w:sz w:val="2"/>
        </w:rPr>
        <w:t>IS</w:t>
      </w:r>
      <w:r>
        <w:rPr>
          <w:color w:val="ABABAB"/>
          <w:spacing w:val="9"/>
          <w:sz w:val="2"/>
        </w:rPr>
        <w:t> </w:t>
      </w:r>
      <w:r>
        <w:rPr>
          <w:color w:val="ABABAB"/>
          <w:spacing w:val="-2"/>
          <w:sz w:val="2"/>
        </w:rPr>
        <w:t>VALID</w:t>
      </w:r>
      <w:r>
        <w:rPr>
          <w:color w:val="ABABAB"/>
          <w:spacing w:val="8"/>
          <w:sz w:val="2"/>
        </w:rPr>
        <w:t> </w:t>
      </w:r>
      <w:r>
        <w:rPr>
          <w:color w:val="ABABAB"/>
          <w:spacing w:val="-2"/>
          <w:sz w:val="2"/>
        </w:rPr>
        <w:t>ONLY</w:t>
      </w:r>
      <w:r>
        <w:rPr>
          <w:color w:val="ABABAB"/>
          <w:spacing w:val="7"/>
          <w:sz w:val="2"/>
        </w:rPr>
        <w:t> </w:t>
      </w:r>
      <w:r>
        <w:rPr>
          <w:color w:val="ABABAB"/>
          <w:spacing w:val="-2"/>
          <w:sz w:val="2"/>
        </w:rPr>
        <w:t>WHEN</w:t>
      </w:r>
      <w:r>
        <w:rPr>
          <w:color w:val="ABABAB"/>
          <w:spacing w:val="8"/>
          <w:sz w:val="2"/>
        </w:rPr>
        <w:t> </w:t>
      </w:r>
      <w:r>
        <w:rPr>
          <w:color w:val="ABABAB"/>
          <w:spacing w:val="-2"/>
          <w:sz w:val="2"/>
        </w:rPr>
        <w:t>SIGNED</w:t>
      </w:r>
      <w:r>
        <w:rPr>
          <w:color w:val="ABABAB"/>
          <w:spacing w:val="7"/>
          <w:sz w:val="2"/>
        </w:rPr>
        <w:t> </w:t>
      </w:r>
      <w:r>
        <w:rPr>
          <w:color w:val="ABABAB"/>
          <w:spacing w:val="-2"/>
          <w:sz w:val="2"/>
        </w:rPr>
        <w:t>AND</w:t>
      </w:r>
      <w:r>
        <w:rPr>
          <w:color w:val="ABABAB"/>
          <w:spacing w:val="8"/>
          <w:sz w:val="2"/>
        </w:rPr>
        <w:t> </w:t>
      </w:r>
      <w:r>
        <w:rPr>
          <w:color w:val="ABABAB"/>
          <w:spacing w:val="-2"/>
          <w:sz w:val="2"/>
        </w:rPr>
        <w:t>DATED.</w:t>
      </w:r>
      <w:r>
        <w:rPr>
          <w:color w:val="ABABAB"/>
          <w:spacing w:val="80"/>
          <w:sz w:val="2"/>
        </w:rPr>
        <w:t> </w:t>
      </w:r>
      <w:r>
        <w:rPr>
          <w:color w:val="ABABAB"/>
          <w:spacing w:val="-2"/>
          <w:sz w:val="2"/>
        </w:rPr>
        <w:t>DETACH</w:t>
      </w:r>
      <w:r>
        <w:rPr>
          <w:color w:val="ABABAB"/>
          <w:spacing w:val="7"/>
          <w:sz w:val="2"/>
        </w:rPr>
        <w:t> </w:t>
      </w:r>
      <w:r>
        <w:rPr>
          <w:color w:val="ABABAB"/>
          <w:spacing w:val="-2"/>
          <w:sz w:val="2"/>
        </w:rPr>
        <w:t>AND</w:t>
      </w:r>
      <w:r>
        <w:rPr>
          <w:color w:val="ABABAB"/>
          <w:spacing w:val="11"/>
          <w:sz w:val="2"/>
        </w:rPr>
        <w:t> </w:t>
      </w:r>
      <w:r>
        <w:rPr>
          <w:color w:val="ABABAB"/>
          <w:spacing w:val="-2"/>
          <w:sz w:val="2"/>
        </w:rPr>
        <w:t>RETURN</w:t>
      </w:r>
      <w:r>
        <w:rPr>
          <w:color w:val="ABABAB"/>
          <w:spacing w:val="11"/>
          <w:sz w:val="2"/>
        </w:rPr>
        <w:t> </w:t>
      </w:r>
      <w:r>
        <w:rPr>
          <w:color w:val="ABABAB"/>
          <w:spacing w:val="-2"/>
          <w:sz w:val="2"/>
        </w:rPr>
        <w:t>THIS</w:t>
      </w:r>
      <w:r>
        <w:rPr>
          <w:color w:val="ABABAB"/>
          <w:spacing w:val="11"/>
          <w:sz w:val="2"/>
        </w:rPr>
        <w:t> </w:t>
      </w:r>
      <w:r>
        <w:rPr>
          <w:color w:val="ABABAB"/>
          <w:spacing w:val="-2"/>
          <w:sz w:val="2"/>
        </w:rPr>
        <w:t>PORTION</w:t>
      </w:r>
      <w:r>
        <w:rPr>
          <w:color w:val="ABABAB"/>
          <w:spacing w:val="11"/>
          <w:sz w:val="2"/>
        </w:rPr>
        <w:t> </w:t>
      </w:r>
      <w:r>
        <w:rPr>
          <w:color w:val="ABABAB"/>
          <w:spacing w:val="-2"/>
          <w:sz w:val="2"/>
        </w:rPr>
        <w:t>ONLYD93598-P83194VAREX</w:t>
      </w:r>
      <w:r>
        <w:rPr>
          <w:color w:val="ABABAB"/>
          <w:spacing w:val="11"/>
          <w:sz w:val="2"/>
        </w:rPr>
        <w:t> </w:t>
      </w:r>
      <w:r>
        <w:rPr>
          <w:color w:val="ABABAB"/>
          <w:spacing w:val="-2"/>
          <w:sz w:val="2"/>
        </w:rPr>
        <w:t>IMAGING</w:t>
      </w:r>
      <w:r>
        <w:rPr>
          <w:color w:val="ABABAB"/>
          <w:spacing w:val="11"/>
          <w:sz w:val="2"/>
        </w:rPr>
        <w:t> </w:t>
      </w:r>
      <w:r>
        <w:rPr>
          <w:color w:val="ABABAB"/>
          <w:spacing w:val="-2"/>
          <w:sz w:val="2"/>
        </w:rPr>
        <w:t>CORPORATIONThe</w:t>
      </w:r>
      <w:r>
        <w:rPr>
          <w:color w:val="ABABAB"/>
          <w:spacing w:val="11"/>
          <w:sz w:val="2"/>
        </w:rPr>
        <w:t> </w:t>
      </w:r>
      <w:r>
        <w:rPr>
          <w:color w:val="ABABAB"/>
          <w:spacing w:val="-2"/>
          <w:sz w:val="2"/>
        </w:rPr>
        <w:t>Board</w:t>
      </w:r>
      <w:r>
        <w:rPr>
          <w:color w:val="ABABAB"/>
          <w:spacing w:val="11"/>
          <w:sz w:val="2"/>
        </w:rPr>
        <w:t> </w:t>
      </w:r>
      <w:r>
        <w:rPr>
          <w:color w:val="ABABAB"/>
          <w:spacing w:val="-2"/>
          <w:sz w:val="2"/>
        </w:rPr>
        <w:t>of</w:t>
      </w:r>
      <w:r>
        <w:rPr>
          <w:color w:val="ABABAB"/>
          <w:spacing w:val="11"/>
          <w:sz w:val="2"/>
        </w:rPr>
        <w:t> </w:t>
      </w:r>
      <w:r>
        <w:rPr>
          <w:color w:val="ABABAB"/>
          <w:spacing w:val="-2"/>
          <w:sz w:val="2"/>
        </w:rPr>
        <w:t>Directors</w:t>
      </w:r>
      <w:r>
        <w:rPr>
          <w:color w:val="ABABAB"/>
          <w:spacing w:val="11"/>
          <w:sz w:val="2"/>
        </w:rPr>
        <w:t> </w:t>
      </w:r>
      <w:r>
        <w:rPr>
          <w:color w:val="ABABAB"/>
          <w:spacing w:val="-2"/>
          <w:sz w:val="2"/>
        </w:rPr>
        <w:t>recommends</w:t>
      </w:r>
      <w:r>
        <w:rPr>
          <w:color w:val="ABABAB"/>
          <w:spacing w:val="10"/>
          <w:sz w:val="2"/>
        </w:rPr>
        <w:t> </w:t>
      </w:r>
      <w:r>
        <w:rPr>
          <w:color w:val="ABABAB"/>
          <w:spacing w:val="-2"/>
          <w:sz w:val="2"/>
        </w:rPr>
        <w:t>you</w:t>
      </w:r>
      <w:r>
        <w:rPr>
          <w:color w:val="ABABAB"/>
          <w:spacing w:val="11"/>
          <w:sz w:val="2"/>
        </w:rPr>
        <w:t> </w:t>
      </w:r>
      <w:r>
        <w:rPr>
          <w:color w:val="ABABAB"/>
          <w:spacing w:val="-2"/>
          <w:sz w:val="2"/>
        </w:rPr>
        <w:t>vote</w:t>
      </w:r>
      <w:r>
        <w:rPr>
          <w:color w:val="ABABAB"/>
          <w:spacing w:val="11"/>
          <w:sz w:val="2"/>
        </w:rPr>
        <w:t> </w:t>
      </w:r>
      <w:r>
        <w:rPr>
          <w:color w:val="ABABAB"/>
          <w:spacing w:val="-2"/>
          <w:sz w:val="2"/>
        </w:rPr>
        <w:t>FORthe</w:t>
      </w:r>
      <w:r>
        <w:rPr>
          <w:color w:val="ABABAB"/>
          <w:spacing w:val="11"/>
          <w:sz w:val="2"/>
        </w:rPr>
        <w:t> </w:t>
      </w:r>
      <w:r>
        <w:rPr>
          <w:color w:val="ABABAB"/>
          <w:spacing w:val="-2"/>
          <w:sz w:val="2"/>
        </w:rPr>
        <w:t>following:1.</w:t>
      </w:r>
      <w:r>
        <w:rPr>
          <w:color w:val="ABABAB"/>
          <w:spacing w:val="11"/>
          <w:sz w:val="2"/>
        </w:rPr>
        <w:t> </w:t>
      </w:r>
      <w:r>
        <w:rPr>
          <w:color w:val="ABABAB"/>
          <w:spacing w:val="-2"/>
          <w:sz w:val="2"/>
        </w:rPr>
        <w:t>To</w:t>
      </w:r>
      <w:r>
        <w:rPr>
          <w:color w:val="ABABAB"/>
          <w:spacing w:val="11"/>
          <w:sz w:val="2"/>
        </w:rPr>
        <w:t> </w:t>
      </w:r>
      <w:r>
        <w:rPr>
          <w:color w:val="ABABAB"/>
          <w:spacing w:val="-2"/>
          <w:sz w:val="2"/>
        </w:rPr>
        <w:t>elect</w:t>
      </w:r>
      <w:r>
        <w:rPr>
          <w:color w:val="ABABAB"/>
          <w:spacing w:val="11"/>
          <w:sz w:val="2"/>
        </w:rPr>
        <w:t> </w:t>
      </w:r>
      <w:r>
        <w:rPr>
          <w:color w:val="ABABAB"/>
          <w:spacing w:val="-2"/>
          <w:sz w:val="2"/>
        </w:rPr>
        <w:t>seven</w:t>
      </w:r>
      <w:r>
        <w:rPr>
          <w:color w:val="ABABAB"/>
          <w:spacing w:val="11"/>
          <w:sz w:val="2"/>
        </w:rPr>
        <w:t> </w:t>
      </w:r>
      <w:r>
        <w:rPr>
          <w:color w:val="ABABAB"/>
          <w:spacing w:val="-2"/>
          <w:sz w:val="2"/>
        </w:rPr>
        <w:t>directors</w:t>
      </w:r>
      <w:r>
        <w:rPr>
          <w:color w:val="ABABAB"/>
          <w:spacing w:val="11"/>
          <w:sz w:val="2"/>
        </w:rPr>
        <w:t> </w:t>
      </w:r>
      <w:r>
        <w:rPr>
          <w:color w:val="ABABAB"/>
          <w:spacing w:val="-2"/>
          <w:sz w:val="2"/>
        </w:rPr>
        <w:t>to</w:t>
      </w:r>
      <w:r>
        <w:rPr>
          <w:color w:val="ABABAB"/>
          <w:spacing w:val="11"/>
          <w:sz w:val="2"/>
        </w:rPr>
        <w:t> </w:t>
      </w:r>
      <w:r>
        <w:rPr>
          <w:color w:val="ABABAB"/>
          <w:spacing w:val="-2"/>
          <w:sz w:val="2"/>
        </w:rPr>
        <w:t>serve</w:t>
      </w:r>
      <w:r>
        <w:rPr>
          <w:color w:val="ABABAB"/>
          <w:spacing w:val="11"/>
          <w:sz w:val="2"/>
        </w:rPr>
        <w:t> </w:t>
      </w:r>
      <w:r>
        <w:rPr>
          <w:color w:val="ABABAB"/>
          <w:spacing w:val="-2"/>
          <w:sz w:val="2"/>
        </w:rPr>
        <w:t>until</w:t>
      </w:r>
      <w:r>
        <w:rPr>
          <w:color w:val="ABABAB"/>
          <w:spacing w:val="11"/>
          <w:sz w:val="2"/>
        </w:rPr>
        <w:t> </w:t>
      </w:r>
      <w:r>
        <w:rPr>
          <w:color w:val="ABABAB"/>
          <w:spacing w:val="-2"/>
          <w:sz w:val="2"/>
        </w:rPr>
        <w:t>the</w:t>
      </w:r>
      <w:r>
        <w:rPr>
          <w:color w:val="ABABAB"/>
          <w:spacing w:val="11"/>
          <w:sz w:val="2"/>
        </w:rPr>
        <w:t> </w:t>
      </w:r>
      <w:r>
        <w:rPr>
          <w:color w:val="ABABAB"/>
          <w:spacing w:val="-2"/>
          <w:sz w:val="2"/>
        </w:rPr>
        <w:t>2024Annual</w:t>
      </w:r>
      <w:r>
        <w:rPr>
          <w:color w:val="ABABAB"/>
          <w:spacing w:val="11"/>
          <w:sz w:val="2"/>
        </w:rPr>
        <w:t> </w:t>
      </w:r>
      <w:r>
        <w:rPr>
          <w:color w:val="ABABAB"/>
          <w:spacing w:val="-2"/>
          <w:sz w:val="2"/>
        </w:rPr>
        <w:t>Meeting</w:t>
      </w:r>
      <w:r>
        <w:rPr>
          <w:color w:val="ABABAB"/>
          <w:spacing w:val="10"/>
          <w:sz w:val="2"/>
        </w:rPr>
        <w:t> </w:t>
      </w:r>
      <w:r>
        <w:rPr>
          <w:color w:val="ABABAB"/>
          <w:spacing w:val="-2"/>
          <w:sz w:val="2"/>
        </w:rPr>
        <w:t>of</w:t>
      </w:r>
      <w:r>
        <w:rPr>
          <w:color w:val="ABABAB"/>
          <w:spacing w:val="11"/>
          <w:sz w:val="2"/>
        </w:rPr>
        <w:t> </w:t>
      </w:r>
      <w:r>
        <w:rPr>
          <w:color w:val="ABABAB"/>
          <w:spacing w:val="-2"/>
          <w:sz w:val="2"/>
        </w:rPr>
        <w:t>Stockholders.Nominees:1a.</w:t>
      </w:r>
      <w:r>
        <w:rPr>
          <w:color w:val="ABABAB"/>
          <w:spacing w:val="11"/>
          <w:sz w:val="2"/>
        </w:rPr>
        <w:t> </w:t>
      </w:r>
      <w:r>
        <w:rPr>
          <w:color w:val="ABABAB"/>
          <w:spacing w:val="-2"/>
          <w:sz w:val="2"/>
        </w:rPr>
        <w:t>Kathleen</w:t>
      </w:r>
      <w:r>
        <w:rPr>
          <w:color w:val="ABABAB"/>
          <w:spacing w:val="11"/>
          <w:sz w:val="2"/>
        </w:rPr>
        <w:t> </w:t>
      </w:r>
      <w:r>
        <w:rPr>
          <w:color w:val="ABABAB"/>
          <w:spacing w:val="-2"/>
          <w:sz w:val="2"/>
        </w:rPr>
        <w:t>L.</w:t>
      </w:r>
      <w:r>
        <w:rPr>
          <w:color w:val="ABABAB"/>
          <w:spacing w:val="11"/>
          <w:sz w:val="2"/>
        </w:rPr>
        <w:t> </w:t>
      </w:r>
      <w:r>
        <w:rPr>
          <w:color w:val="ABABAB"/>
          <w:spacing w:val="-2"/>
          <w:sz w:val="2"/>
        </w:rPr>
        <w:t>Bardwell1b.</w:t>
      </w:r>
      <w:r>
        <w:rPr>
          <w:color w:val="ABABAB"/>
          <w:spacing w:val="11"/>
          <w:sz w:val="2"/>
        </w:rPr>
        <w:t> </w:t>
      </w:r>
      <w:r>
        <w:rPr>
          <w:color w:val="ABABAB"/>
          <w:spacing w:val="-2"/>
          <w:sz w:val="2"/>
        </w:rPr>
        <w:t>Jocelyn</w:t>
      </w:r>
      <w:r>
        <w:rPr>
          <w:color w:val="ABABAB"/>
          <w:spacing w:val="11"/>
          <w:sz w:val="2"/>
        </w:rPr>
        <w:t> </w:t>
      </w:r>
      <w:r>
        <w:rPr>
          <w:color w:val="ABABAB"/>
          <w:spacing w:val="-2"/>
          <w:sz w:val="2"/>
        </w:rPr>
        <w:t>D.</w:t>
      </w:r>
      <w:r>
        <w:rPr>
          <w:color w:val="ABABAB"/>
          <w:spacing w:val="11"/>
          <w:sz w:val="2"/>
        </w:rPr>
        <w:t> </w:t>
      </w:r>
      <w:r>
        <w:rPr>
          <w:color w:val="ABABAB"/>
          <w:spacing w:val="-2"/>
          <w:sz w:val="2"/>
        </w:rPr>
        <w:t>Chertoff,</w:t>
      </w:r>
      <w:r>
        <w:rPr>
          <w:color w:val="ABABAB"/>
          <w:spacing w:val="11"/>
          <w:sz w:val="2"/>
        </w:rPr>
        <w:t> </w:t>
      </w:r>
      <w:r>
        <w:rPr>
          <w:color w:val="ABABAB"/>
          <w:spacing w:val="-2"/>
          <w:sz w:val="2"/>
        </w:rPr>
        <w:t>M.D.1c.</w:t>
      </w:r>
      <w:r>
        <w:rPr>
          <w:color w:val="ABABAB"/>
          <w:spacing w:val="11"/>
          <w:sz w:val="2"/>
        </w:rPr>
        <w:t> </w:t>
      </w:r>
      <w:r>
        <w:rPr>
          <w:color w:val="ABABAB"/>
          <w:spacing w:val="-2"/>
          <w:sz w:val="2"/>
        </w:rPr>
        <w:t>Timothy</w:t>
      </w:r>
      <w:r>
        <w:rPr>
          <w:color w:val="ABABAB"/>
          <w:spacing w:val="11"/>
          <w:sz w:val="2"/>
        </w:rPr>
        <w:t> </w:t>
      </w:r>
      <w:r>
        <w:rPr>
          <w:color w:val="ABABAB"/>
          <w:spacing w:val="-2"/>
          <w:sz w:val="2"/>
        </w:rPr>
        <w:t>E.</w:t>
      </w:r>
      <w:r>
        <w:rPr>
          <w:color w:val="ABABAB"/>
          <w:spacing w:val="11"/>
          <w:sz w:val="2"/>
        </w:rPr>
        <w:t> </w:t>
      </w:r>
      <w:r>
        <w:rPr>
          <w:color w:val="ABABAB"/>
          <w:spacing w:val="-2"/>
          <w:sz w:val="2"/>
        </w:rPr>
        <w:t>Guertin1d.</w:t>
      </w:r>
      <w:r>
        <w:rPr>
          <w:color w:val="ABABAB"/>
          <w:spacing w:val="11"/>
          <w:sz w:val="2"/>
        </w:rPr>
        <w:t> </w:t>
      </w:r>
      <w:r>
        <w:rPr>
          <w:color w:val="ABABAB"/>
          <w:spacing w:val="-2"/>
          <w:sz w:val="2"/>
        </w:rPr>
        <w:t>Jay</w:t>
      </w:r>
      <w:r>
        <w:rPr>
          <w:color w:val="ABABAB"/>
          <w:spacing w:val="11"/>
          <w:sz w:val="2"/>
        </w:rPr>
        <w:t> </w:t>
      </w:r>
      <w:r>
        <w:rPr>
          <w:color w:val="ABABAB"/>
          <w:spacing w:val="-2"/>
          <w:sz w:val="2"/>
        </w:rPr>
        <w:t>K.</w:t>
      </w:r>
      <w:r>
        <w:rPr>
          <w:color w:val="ABABAB"/>
          <w:spacing w:val="10"/>
          <w:sz w:val="2"/>
        </w:rPr>
        <w:t> </w:t>
      </w:r>
      <w:r>
        <w:rPr>
          <w:color w:val="ABABAB"/>
          <w:spacing w:val="-2"/>
          <w:sz w:val="2"/>
        </w:rPr>
        <w:t>Kunkel1e.</w:t>
      </w:r>
      <w:r>
        <w:rPr>
          <w:color w:val="ABABAB"/>
          <w:spacing w:val="11"/>
          <w:sz w:val="2"/>
        </w:rPr>
        <w:t> </w:t>
      </w:r>
      <w:r>
        <w:rPr>
          <w:color w:val="ABABAB"/>
          <w:spacing w:val="-2"/>
          <w:sz w:val="2"/>
        </w:rPr>
        <w:t>Walter</w:t>
      </w:r>
      <w:r>
        <w:rPr>
          <w:color w:val="ABABAB"/>
          <w:spacing w:val="11"/>
          <w:sz w:val="2"/>
        </w:rPr>
        <w:t> </w:t>
      </w:r>
      <w:r>
        <w:rPr>
          <w:color w:val="ABABAB"/>
          <w:spacing w:val="-2"/>
          <w:sz w:val="2"/>
        </w:rPr>
        <w:t>M</w:t>
      </w:r>
      <w:r>
        <w:rPr>
          <w:color w:val="ABABAB"/>
          <w:spacing w:val="11"/>
          <w:sz w:val="2"/>
        </w:rPr>
        <w:t> </w:t>
      </w:r>
      <w:r>
        <w:rPr>
          <w:color w:val="ABABAB"/>
          <w:spacing w:val="-2"/>
          <w:sz w:val="2"/>
        </w:rPr>
        <w:t>Rosebrough,</w:t>
      </w:r>
      <w:r>
        <w:rPr>
          <w:color w:val="ABABAB"/>
          <w:spacing w:val="11"/>
          <w:sz w:val="2"/>
        </w:rPr>
        <w:t> </w:t>
      </w:r>
      <w:r>
        <w:rPr>
          <w:color w:val="ABABAB"/>
          <w:spacing w:val="-2"/>
          <w:sz w:val="2"/>
        </w:rPr>
        <w:t>Jr.1f.</w:t>
      </w:r>
      <w:r>
        <w:rPr>
          <w:color w:val="ABABAB"/>
          <w:spacing w:val="11"/>
          <w:sz w:val="2"/>
        </w:rPr>
        <w:t> </w:t>
      </w:r>
      <w:r>
        <w:rPr>
          <w:color w:val="ABABAB"/>
          <w:spacing w:val="-2"/>
          <w:sz w:val="2"/>
        </w:rPr>
        <w:t>Sunny</w:t>
      </w:r>
      <w:r>
        <w:rPr>
          <w:color w:val="ABABAB"/>
          <w:spacing w:val="11"/>
          <w:sz w:val="2"/>
        </w:rPr>
        <w:t> </w:t>
      </w:r>
      <w:r>
        <w:rPr>
          <w:color w:val="ABABAB"/>
          <w:spacing w:val="-2"/>
          <w:sz w:val="2"/>
        </w:rPr>
        <w:t>S.</w:t>
      </w:r>
      <w:r>
        <w:rPr>
          <w:color w:val="ABABAB"/>
          <w:spacing w:val="11"/>
          <w:sz w:val="2"/>
        </w:rPr>
        <w:t> </w:t>
      </w:r>
      <w:r>
        <w:rPr>
          <w:color w:val="ABABAB"/>
          <w:spacing w:val="-2"/>
          <w:sz w:val="2"/>
        </w:rPr>
        <w:t>Sanyal1g.</w:t>
      </w:r>
      <w:r>
        <w:rPr>
          <w:color w:val="ABABAB"/>
          <w:spacing w:val="11"/>
          <w:sz w:val="2"/>
        </w:rPr>
        <w:t> </w:t>
      </w:r>
      <w:r>
        <w:rPr>
          <w:color w:val="ABABAB"/>
          <w:spacing w:val="-2"/>
          <w:sz w:val="2"/>
        </w:rPr>
        <w:t>Christine</w:t>
      </w:r>
      <w:r>
        <w:rPr>
          <w:color w:val="ABABAB"/>
          <w:spacing w:val="8"/>
          <w:sz w:val="2"/>
        </w:rPr>
        <w:t> </w:t>
      </w:r>
      <w:r>
        <w:rPr>
          <w:color w:val="ABABAB"/>
          <w:spacing w:val="-2"/>
          <w:sz w:val="2"/>
        </w:rPr>
        <w:t>A.</w:t>
      </w:r>
      <w:r>
        <w:rPr>
          <w:color w:val="ABABAB"/>
          <w:spacing w:val="11"/>
          <w:sz w:val="2"/>
        </w:rPr>
        <w:t> </w:t>
      </w:r>
      <w:r>
        <w:rPr>
          <w:color w:val="ABABAB"/>
          <w:spacing w:val="-2"/>
          <w:sz w:val="2"/>
        </w:rPr>
        <w:t>TsingosFor</w:t>
      </w:r>
      <w:r>
        <w:rPr>
          <w:color w:val="ABABAB"/>
          <w:spacing w:val="10"/>
          <w:sz w:val="2"/>
        </w:rPr>
        <w:t> </w:t>
      </w:r>
      <w:r>
        <w:rPr>
          <w:color w:val="ABABAB"/>
          <w:spacing w:val="-2"/>
          <w:sz w:val="2"/>
        </w:rPr>
        <w:t>Withhold</w:t>
      </w:r>
      <w:r>
        <w:rPr>
          <w:color w:val="ABABAB"/>
          <w:spacing w:val="8"/>
          <w:sz w:val="2"/>
        </w:rPr>
        <w:t> </w:t>
      </w:r>
      <w:r>
        <w:rPr>
          <w:color w:val="ABABAB"/>
          <w:spacing w:val="-2"/>
          <w:sz w:val="2"/>
        </w:rPr>
        <w:t>AbstainThe</w:t>
      </w:r>
      <w:r>
        <w:rPr>
          <w:color w:val="ABABAB"/>
          <w:spacing w:val="11"/>
          <w:sz w:val="2"/>
        </w:rPr>
        <w:t> </w:t>
      </w:r>
      <w:r>
        <w:rPr>
          <w:color w:val="ABABAB"/>
          <w:spacing w:val="-2"/>
          <w:sz w:val="2"/>
        </w:rPr>
        <w:t>Board</w:t>
      </w:r>
      <w:r>
        <w:rPr>
          <w:color w:val="ABABAB"/>
          <w:spacing w:val="11"/>
          <w:sz w:val="2"/>
        </w:rPr>
        <w:t> </w:t>
      </w:r>
      <w:r>
        <w:rPr>
          <w:color w:val="ABABAB"/>
          <w:spacing w:val="-2"/>
          <w:sz w:val="2"/>
        </w:rPr>
        <w:t>of</w:t>
      </w:r>
      <w:r>
        <w:rPr>
          <w:color w:val="ABABAB"/>
          <w:spacing w:val="11"/>
          <w:sz w:val="2"/>
        </w:rPr>
        <w:t> </w:t>
      </w:r>
      <w:r>
        <w:rPr>
          <w:color w:val="ABABAB"/>
          <w:spacing w:val="-2"/>
          <w:sz w:val="2"/>
        </w:rPr>
        <w:t>Directors</w:t>
      </w:r>
      <w:r>
        <w:rPr>
          <w:color w:val="ABABAB"/>
          <w:spacing w:val="11"/>
          <w:sz w:val="2"/>
        </w:rPr>
        <w:t> </w:t>
      </w:r>
      <w:r>
        <w:rPr>
          <w:color w:val="ABABAB"/>
          <w:spacing w:val="-2"/>
          <w:sz w:val="2"/>
        </w:rPr>
        <w:t>recommends</w:t>
      </w:r>
      <w:r>
        <w:rPr>
          <w:color w:val="ABABAB"/>
          <w:spacing w:val="11"/>
          <w:sz w:val="2"/>
        </w:rPr>
        <w:t> </w:t>
      </w:r>
      <w:r>
        <w:rPr>
          <w:color w:val="ABABAB"/>
          <w:spacing w:val="-2"/>
          <w:sz w:val="2"/>
        </w:rPr>
        <w:t>you</w:t>
      </w:r>
      <w:r>
        <w:rPr>
          <w:color w:val="ABABAB"/>
          <w:spacing w:val="11"/>
          <w:sz w:val="2"/>
        </w:rPr>
        <w:t> </w:t>
      </w:r>
      <w:r>
        <w:rPr>
          <w:color w:val="ABABAB"/>
          <w:spacing w:val="-2"/>
          <w:sz w:val="2"/>
        </w:rPr>
        <w:t>vote</w:t>
      </w:r>
      <w:r>
        <w:rPr>
          <w:color w:val="ABABAB"/>
          <w:spacing w:val="11"/>
          <w:sz w:val="2"/>
        </w:rPr>
        <w:t> </w:t>
      </w:r>
      <w:r>
        <w:rPr>
          <w:color w:val="ABABAB"/>
          <w:spacing w:val="-2"/>
          <w:sz w:val="2"/>
        </w:rPr>
        <w:t>FORthe</w:t>
      </w:r>
      <w:r>
        <w:rPr>
          <w:color w:val="ABABAB"/>
          <w:spacing w:val="11"/>
          <w:sz w:val="2"/>
        </w:rPr>
        <w:t> </w:t>
      </w:r>
      <w:r>
        <w:rPr>
          <w:color w:val="ABABAB"/>
          <w:spacing w:val="-2"/>
          <w:sz w:val="2"/>
        </w:rPr>
        <w:t>following</w:t>
      </w:r>
      <w:r>
        <w:rPr>
          <w:color w:val="ABABAB"/>
          <w:spacing w:val="11"/>
          <w:sz w:val="2"/>
        </w:rPr>
        <w:t> </w:t>
      </w:r>
      <w:r>
        <w:rPr>
          <w:color w:val="ABABAB"/>
          <w:spacing w:val="-2"/>
          <w:sz w:val="2"/>
        </w:rPr>
        <w:t>proposal:2.</w:t>
      </w:r>
      <w:r>
        <w:rPr>
          <w:color w:val="ABABAB"/>
          <w:spacing w:val="10"/>
          <w:sz w:val="2"/>
        </w:rPr>
        <w:t> </w:t>
      </w:r>
      <w:r>
        <w:rPr>
          <w:color w:val="ABABAB"/>
          <w:spacing w:val="-2"/>
          <w:sz w:val="2"/>
        </w:rPr>
        <w:t>To</w:t>
      </w:r>
      <w:r>
        <w:rPr>
          <w:color w:val="ABABAB"/>
          <w:spacing w:val="11"/>
          <w:sz w:val="2"/>
        </w:rPr>
        <w:t> </w:t>
      </w:r>
      <w:r>
        <w:rPr>
          <w:color w:val="ABABAB"/>
          <w:spacing w:val="-2"/>
          <w:sz w:val="2"/>
        </w:rPr>
        <w:t>approve,</w:t>
      </w:r>
      <w:r>
        <w:rPr>
          <w:color w:val="ABABAB"/>
          <w:spacing w:val="11"/>
          <w:sz w:val="2"/>
        </w:rPr>
        <w:t> </w:t>
      </w:r>
      <w:r>
        <w:rPr>
          <w:color w:val="ABABAB"/>
          <w:spacing w:val="-2"/>
          <w:sz w:val="2"/>
        </w:rPr>
        <w:t>on</w:t>
      </w:r>
      <w:r>
        <w:rPr>
          <w:color w:val="ABABAB"/>
          <w:spacing w:val="11"/>
          <w:sz w:val="2"/>
        </w:rPr>
        <w:t> </w:t>
      </w:r>
      <w:r>
        <w:rPr>
          <w:color w:val="ABABAB"/>
          <w:spacing w:val="-2"/>
          <w:sz w:val="2"/>
        </w:rPr>
        <w:t>an</w:t>
      </w:r>
      <w:r>
        <w:rPr>
          <w:color w:val="ABABAB"/>
          <w:spacing w:val="11"/>
          <w:sz w:val="2"/>
        </w:rPr>
        <w:t> </w:t>
      </w:r>
      <w:r>
        <w:rPr>
          <w:color w:val="ABABAB"/>
          <w:spacing w:val="-2"/>
          <w:sz w:val="2"/>
        </w:rPr>
        <w:t>advisory</w:t>
      </w:r>
      <w:r>
        <w:rPr>
          <w:color w:val="ABABAB"/>
          <w:spacing w:val="11"/>
          <w:sz w:val="2"/>
        </w:rPr>
        <w:t> </w:t>
      </w:r>
      <w:r>
        <w:rPr>
          <w:color w:val="ABABAB"/>
          <w:spacing w:val="-2"/>
          <w:sz w:val="2"/>
        </w:rPr>
        <w:t>basis,</w:t>
      </w:r>
      <w:r>
        <w:rPr>
          <w:color w:val="ABABAB"/>
          <w:spacing w:val="11"/>
          <w:sz w:val="2"/>
        </w:rPr>
        <w:t> </w:t>
      </w:r>
      <w:r>
        <w:rPr>
          <w:color w:val="ABABAB"/>
          <w:spacing w:val="-2"/>
          <w:sz w:val="2"/>
        </w:rPr>
        <w:t>our</w:t>
      </w:r>
      <w:r>
        <w:rPr>
          <w:color w:val="ABABAB"/>
          <w:spacing w:val="11"/>
          <w:sz w:val="2"/>
        </w:rPr>
        <w:t> </w:t>
      </w:r>
      <w:r>
        <w:rPr>
          <w:color w:val="ABABAB"/>
          <w:spacing w:val="-2"/>
          <w:sz w:val="2"/>
        </w:rPr>
        <w:t>executivecompensation</w:t>
      </w:r>
      <w:r>
        <w:rPr>
          <w:color w:val="ABABAB"/>
          <w:spacing w:val="11"/>
          <w:sz w:val="2"/>
        </w:rPr>
        <w:t> </w:t>
      </w:r>
      <w:r>
        <w:rPr>
          <w:color w:val="ABABAB"/>
          <w:spacing w:val="-2"/>
          <w:sz w:val="2"/>
        </w:rPr>
        <w:t>as</w:t>
      </w:r>
      <w:r>
        <w:rPr>
          <w:color w:val="ABABAB"/>
          <w:spacing w:val="11"/>
          <w:sz w:val="2"/>
        </w:rPr>
        <w:t> </w:t>
      </w:r>
      <w:r>
        <w:rPr>
          <w:color w:val="ABABAB"/>
          <w:spacing w:val="-2"/>
          <w:sz w:val="2"/>
        </w:rPr>
        <w:t>described</w:t>
      </w:r>
      <w:r>
        <w:rPr>
          <w:color w:val="ABABAB"/>
          <w:spacing w:val="11"/>
          <w:sz w:val="2"/>
        </w:rPr>
        <w:t> </w:t>
      </w:r>
      <w:r>
        <w:rPr>
          <w:color w:val="ABABAB"/>
          <w:spacing w:val="-2"/>
          <w:sz w:val="2"/>
        </w:rPr>
        <w:t>in</w:t>
      </w:r>
      <w:r>
        <w:rPr>
          <w:color w:val="ABABAB"/>
          <w:spacing w:val="11"/>
          <w:sz w:val="2"/>
        </w:rPr>
        <w:t> </w:t>
      </w:r>
      <w:r>
        <w:rPr>
          <w:color w:val="ABABAB"/>
          <w:spacing w:val="-2"/>
          <w:sz w:val="2"/>
        </w:rPr>
        <w:t>the</w:t>
      </w:r>
      <w:r>
        <w:rPr>
          <w:color w:val="ABABAB"/>
          <w:spacing w:val="11"/>
          <w:sz w:val="2"/>
        </w:rPr>
        <w:t> </w:t>
      </w:r>
      <w:r>
        <w:rPr>
          <w:color w:val="ABABAB"/>
          <w:spacing w:val="-2"/>
          <w:sz w:val="2"/>
        </w:rPr>
        <w:t>accompanyingProxy</w:t>
      </w:r>
      <w:r>
        <w:rPr>
          <w:color w:val="ABABAB"/>
          <w:spacing w:val="11"/>
          <w:sz w:val="2"/>
        </w:rPr>
        <w:t> </w:t>
      </w:r>
      <w:r>
        <w:rPr>
          <w:color w:val="ABABAB"/>
          <w:spacing w:val="-2"/>
          <w:sz w:val="2"/>
        </w:rPr>
        <w:t>Statement.The</w:t>
      </w:r>
      <w:r>
        <w:rPr>
          <w:color w:val="ABABAB"/>
          <w:spacing w:val="10"/>
          <w:sz w:val="2"/>
        </w:rPr>
        <w:t> </w:t>
      </w:r>
      <w:r>
        <w:rPr>
          <w:color w:val="ABABAB"/>
          <w:spacing w:val="-2"/>
          <w:sz w:val="2"/>
        </w:rPr>
        <w:t>Board</w:t>
      </w:r>
      <w:r>
        <w:rPr>
          <w:color w:val="ABABAB"/>
          <w:spacing w:val="11"/>
          <w:sz w:val="2"/>
        </w:rPr>
        <w:t> </w:t>
      </w:r>
      <w:r>
        <w:rPr>
          <w:color w:val="ABABAB"/>
          <w:spacing w:val="-2"/>
          <w:sz w:val="2"/>
        </w:rPr>
        <w:t>of</w:t>
      </w:r>
      <w:r>
        <w:rPr>
          <w:color w:val="ABABAB"/>
          <w:spacing w:val="11"/>
          <w:sz w:val="2"/>
        </w:rPr>
        <w:t> </w:t>
      </w:r>
      <w:r>
        <w:rPr>
          <w:color w:val="ABABAB"/>
          <w:spacing w:val="-2"/>
          <w:sz w:val="2"/>
        </w:rPr>
        <w:t>Directors</w:t>
      </w:r>
      <w:r>
        <w:rPr>
          <w:color w:val="ABABAB"/>
          <w:spacing w:val="11"/>
          <w:sz w:val="2"/>
        </w:rPr>
        <w:t> </w:t>
      </w:r>
      <w:r>
        <w:rPr>
          <w:color w:val="ABABAB"/>
          <w:spacing w:val="-2"/>
          <w:sz w:val="2"/>
        </w:rPr>
        <w:t>recommends</w:t>
      </w:r>
      <w:r>
        <w:rPr>
          <w:color w:val="ABABAB"/>
          <w:spacing w:val="11"/>
          <w:sz w:val="2"/>
        </w:rPr>
        <w:t> </w:t>
      </w:r>
      <w:r>
        <w:rPr>
          <w:color w:val="ABABAB"/>
          <w:spacing w:val="-2"/>
          <w:sz w:val="2"/>
        </w:rPr>
        <w:t>you</w:t>
      </w:r>
      <w:r>
        <w:rPr>
          <w:color w:val="ABABAB"/>
          <w:spacing w:val="11"/>
          <w:sz w:val="2"/>
        </w:rPr>
        <w:t> </w:t>
      </w:r>
      <w:r>
        <w:rPr>
          <w:color w:val="ABABAB"/>
          <w:spacing w:val="-2"/>
          <w:sz w:val="2"/>
        </w:rPr>
        <w:t>vote</w:t>
      </w:r>
      <w:r>
        <w:rPr>
          <w:color w:val="ABABAB"/>
          <w:spacing w:val="11"/>
          <w:sz w:val="2"/>
        </w:rPr>
        <w:t> </w:t>
      </w:r>
      <w:r>
        <w:rPr>
          <w:color w:val="ABABAB"/>
          <w:spacing w:val="-2"/>
          <w:sz w:val="2"/>
        </w:rPr>
        <w:t>FORthe</w:t>
      </w:r>
      <w:r>
        <w:rPr>
          <w:color w:val="ABABAB"/>
          <w:spacing w:val="11"/>
          <w:sz w:val="2"/>
        </w:rPr>
        <w:t> </w:t>
      </w:r>
      <w:r>
        <w:rPr>
          <w:color w:val="ABABAB"/>
          <w:spacing w:val="-2"/>
          <w:sz w:val="2"/>
        </w:rPr>
        <w:t>following</w:t>
      </w:r>
      <w:r>
        <w:rPr>
          <w:color w:val="ABABAB"/>
          <w:spacing w:val="11"/>
          <w:sz w:val="2"/>
        </w:rPr>
        <w:t> </w:t>
      </w:r>
      <w:r>
        <w:rPr>
          <w:color w:val="ABABAB"/>
          <w:spacing w:val="-2"/>
          <w:sz w:val="2"/>
        </w:rPr>
        <w:t>proposal:3.</w:t>
      </w:r>
      <w:r>
        <w:rPr>
          <w:color w:val="ABABAB"/>
          <w:spacing w:val="11"/>
          <w:sz w:val="2"/>
        </w:rPr>
        <w:t> </w:t>
      </w:r>
      <w:r>
        <w:rPr>
          <w:color w:val="ABABAB"/>
          <w:spacing w:val="-2"/>
          <w:sz w:val="2"/>
        </w:rPr>
        <w:t>To</w:t>
      </w:r>
      <w:r>
        <w:rPr>
          <w:color w:val="ABABAB"/>
          <w:spacing w:val="11"/>
          <w:sz w:val="2"/>
        </w:rPr>
        <w:t> </w:t>
      </w:r>
      <w:r>
        <w:rPr>
          <w:color w:val="ABABAB"/>
          <w:spacing w:val="-2"/>
          <w:sz w:val="2"/>
        </w:rPr>
        <w:t>ratify</w:t>
      </w:r>
      <w:r>
        <w:rPr>
          <w:color w:val="ABABAB"/>
          <w:spacing w:val="11"/>
          <w:sz w:val="2"/>
        </w:rPr>
        <w:t> </w:t>
      </w:r>
      <w:r>
        <w:rPr>
          <w:color w:val="ABABAB"/>
          <w:spacing w:val="-2"/>
          <w:sz w:val="2"/>
        </w:rPr>
        <w:t>the</w:t>
      </w:r>
      <w:r>
        <w:rPr>
          <w:color w:val="ABABAB"/>
          <w:spacing w:val="11"/>
          <w:sz w:val="2"/>
        </w:rPr>
        <w:t> </w:t>
      </w:r>
      <w:r>
        <w:rPr>
          <w:color w:val="ABABAB"/>
          <w:spacing w:val="-2"/>
          <w:sz w:val="2"/>
        </w:rPr>
        <w:t>appointment</w:t>
      </w:r>
      <w:r>
        <w:rPr>
          <w:color w:val="ABABAB"/>
          <w:spacing w:val="11"/>
          <w:sz w:val="2"/>
        </w:rPr>
        <w:t> </w:t>
      </w:r>
      <w:r>
        <w:rPr>
          <w:color w:val="ABABAB"/>
          <w:spacing w:val="-2"/>
          <w:sz w:val="2"/>
        </w:rPr>
        <w:t>of</w:t>
      </w:r>
      <w:r>
        <w:rPr>
          <w:color w:val="ABABAB"/>
          <w:spacing w:val="10"/>
          <w:sz w:val="2"/>
        </w:rPr>
        <w:t> </w:t>
      </w:r>
      <w:r>
        <w:rPr>
          <w:color w:val="ABABAB"/>
          <w:spacing w:val="-2"/>
          <w:sz w:val="2"/>
        </w:rPr>
        <w:t>Deloitte</w:t>
      </w:r>
      <w:r>
        <w:rPr>
          <w:color w:val="ABABAB"/>
          <w:spacing w:val="11"/>
          <w:sz w:val="2"/>
        </w:rPr>
        <w:t> </w:t>
      </w:r>
      <w:r>
        <w:rPr>
          <w:color w:val="ABABAB"/>
          <w:spacing w:val="-2"/>
          <w:sz w:val="2"/>
        </w:rPr>
        <w:t>&amp;</w:t>
      </w:r>
      <w:r>
        <w:rPr>
          <w:color w:val="ABABAB"/>
          <w:spacing w:val="11"/>
          <w:sz w:val="2"/>
        </w:rPr>
        <w:t> </w:t>
      </w:r>
      <w:r>
        <w:rPr>
          <w:color w:val="ABABAB"/>
          <w:spacing w:val="-2"/>
          <w:sz w:val="2"/>
        </w:rPr>
        <w:t>Touche</w:t>
      </w:r>
      <w:r>
        <w:rPr>
          <w:color w:val="ABABAB"/>
          <w:spacing w:val="11"/>
          <w:sz w:val="2"/>
        </w:rPr>
        <w:t> </w:t>
      </w:r>
      <w:r>
        <w:rPr>
          <w:color w:val="ABABAB"/>
          <w:spacing w:val="-2"/>
          <w:sz w:val="2"/>
        </w:rPr>
        <w:t>LLPas</w:t>
      </w:r>
      <w:r>
        <w:rPr>
          <w:color w:val="ABABAB"/>
          <w:spacing w:val="11"/>
          <w:sz w:val="2"/>
        </w:rPr>
        <w:t> </w:t>
      </w:r>
      <w:r>
        <w:rPr>
          <w:color w:val="ABABAB"/>
          <w:spacing w:val="-2"/>
          <w:sz w:val="2"/>
        </w:rPr>
        <w:t>our</w:t>
      </w:r>
      <w:r>
        <w:rPr>
          <w:color w:val="ABABAB"/>
          <w:spacing w:val="11"/>
          <w:sz w:val="2"/>
        </w:rPr>
        <w:t> </w:t>
      </w:r>
      <w:r>
        <w:rPr>
          <w:color w:val="ABABAB"/>
          <w:spacing w:val="-2"/>
          <w:sz w:val="2"/>
        </w:rPr>
        <w:t>independent</w:t>
      </w:r>
      <w:r>
        <w:rPr>
          <w:color w:val="ABABAB"/>
          <w:spacing w:val="11"/>
          <w:sz w:val="2"/>
        </w:rPr>
        <w:t> </w:t>
      </w:r>
      <w:r>
        <w:rPr>
          <w:color w:val="ABABAB"/>
          <w:spacing w:val="-2"/>
          <w:sz w:val="2"/>
        </w:rPr>
        <w:t>registered</w:t>
      </w:r>
      <w:r>
        <w:rPr>
          <w:color w:val="ABABAB"/>
          <w:spacing w:val="11"/>
          <w:sz w:val="2"/>
        </w:rPr>
        <w:t> </w:t>
      </w:r>
      <w:r>
        <w:rPr>
          <w:color w:val="ABABAB"/>
          <w:spacing w:val="-2"/>
          <w:sz w:val="2"/>
        </w:rPr>
        <w:t>public</w:t>
      </w:r>
      <w:r>
        <w:rPr>
          <w:color w:val="ABABAB"/>
          <w:spacing w:val="11"/>
          <w:sz w:val="2"/>
        </w:rPr>
        <w:t> </w:t>
      </w:r>
      <w:r>
        <w:rPr>
          <w:color w:val="ABABAB"/>
          <w:spacing w:val="-2"/>
          <w:sz w:val="2"/>
        </w:rPr>
        <w:t>accountingfirm</w:t>
      </w:r>
      <w:r>
        <w:rPr>
          <w:color w:val="ABABAB"/>
          <w:spacing w:val="11"/>
          <w:sz w:val="2"/>
        </w:rPr>
        <w:t> </w:t>
      </w:r>
      <w:r>
        <w:rPr>
          <w:color w:val="ABABAB"/>
          <w:spacing w:val="-2"/>
          <w:sz w:val="2"/>
        </w:rPr>
        <w:t>for</w:t>
      </w:r>
      <w:r>
        <w:rPr>
          <w:color w:val="ABABAB"/>
          <w:spacing w:val="11"/>
          <w:sz w:val="2"/>
        </w:rPr>
        <w:t> </w:t>
      </w:r>
      <w:r>
        <w:rPr>
          <w:color w:val="ABABAB"/>
          <w:spacing w:val="-2"/>
          <w:sz w:val="2"/>
        </w:rPr>
        <w:t>fiscal</w:t>
      </w:r>
      <w:r>
        <w:rPr>
          <w:color w:val="ABABAB"/>
          <w:spacing w:val="11"/>
          <w:sz w:val="2"/>
        </w:rPr>
        <w:t> </w:t>
      </w:r>
      <w:r>
        <w:rPr>
          <w:color w:val="ABABAB"/>
          <w:spacing w:val="-2"/>
          <w:sz w:val="2"/>
        </w:rPr>
        <w:t>year</w:t>
      </w:r>
      <w:r>
        <w:rPr>
          <w:color w:val="ABABAB"/>
          <w:spacing w:val="11"/>
          <w:sz w:val="2"/>
        </w:rPr>
        <w:t> </w:t>
      </w:r>
      <w:r>
        <w:rPr>
          <w:color w:val="ABABAB"/>
          <w:spacing w:val="-2"/>
          <w:sz w:val="2"/>
        </w:rPr>
        <w:t>2023.NOTE:</w:t>
      </w:r>
      <w:r>
        <w:rPr>
          <w:color w:val="ABABAB"/>
          <w:spacing w:val="11"/>
          <w:sz w:val="2"/>
        </w:rPr>
        <w:t> </w:t>
      </w:r>
      <w:r>
        <w:rPr>
          <w:color w:val="ABABAB"/>
          <w:spacing w:val="-2"/>
          <w:sz w:val="2"/>
        </w:rPr>
        <w:t>The</w:t>
      </w:r>
      <w:r>
        <w:rPr>
          <w:color w:val="ABABAB"/>
          <w:spacing w:val="10"/>
          <w:sz w:val="2"/>
        </w:rPr>
        <w:t> </w:t>
      </w:r>
      <w:r>
        <w:rPr>
          <w:color w:val="ABABAB"/>
          <w:spacing w:val="-2"/>
          <w:sz w:val="2"/>
        </w:rPr>
        <w:t>proxyholders</w:t>
      </w:r>
      <w:r>
        <w:rPr>
          <w:color w:val="ABABAB"/>
          <w:spacing w:val="11"/>
          <w:sz w:val="2"/>
        </w:rPr>
        <w:t> </w:t>
      </w:r>
      <w:r>
        <w:rPr>
          <w:color w:val="ABABAB"/>
          <w:spacing w:val="-2"/>
          <w:sz w:val="2"/>
        </w:rPr>
        <w:t>are</w:t>
      </w:r>
      <w:r>
        <w:rPr>
          <w:color w:val="ABABAB"/>
          <w:spacing w:val="11"/>
          <w:sz w:val="2"/>
        </w:rPr>
        <w:t> </w:t>
      </w:r>
      <w:r>
        <w:rPr>
          <w:color w:val="ABABAB"/>
          <w:spacing w:val="-2"/>
          <w:sz w:val="2"/>
        </w:rPr>
        <w:t>authorized</w:t>
      </w:r>
      <w:r>
        <w:rPr>
          <w:color w:val="ABABAB"/>
          <w:spacing w:val="11"/>
          <w:sz w:val="2"/>
        </w:rPr>
        <w:t> </w:t>
      </w:r>
      <w:r>
        <w:rPr>
          <w:color w:val="ABABAB"/>
          <w:spacing w:val="-2"/>
          <w:sz w:val="2"/>
        </w:rPr>
        <w:t>to</w:t>
      </w:r>
      <w:r>
        <w:rPr>
          <w:color w:val="ABABAB"/>
          <w:spacing w:val="11"/>
          <w:sz w:val="2"/>
        </w:rPr>
        <w:t> </w:t>
      </w:r>
      <w:r>
        <w:rPr>
          <w:color w:val="ABABAB"/>
          <w:spacing w:val="-2"/>
          <w:sz w:val="2"/>
        </w:rPr>
        <w:t>vote</w:t>
      </w:r>
      <w:r>
        <w:rPr>
          <w:color w:val="ABABAB"/>
          <w:spacing w:val="11"/>
          <w:sz w:val="2"/>
        </w:rPr>
        <w:t> </w:t>
      </w:r>
      <w:r>
        <w:rPr>
          <w:color w:val="ABABAB"/>
          <w:spacing w:val="-2"/>
          <w:sz w:val="2"/>
        </w:rPr>
        <w:t>on</w:t>
      </w:r>
      <w:r>
        <w:rPr>
          <w:color w:val="ABABAB"/>
          <w:spacing w:val="11"/>
          <w:sz w:val="2"/>
        </w:rPr>
        <w:t> </w:t>
      </w:r>
      <w:r>
        <w:rPr>
          <w:color w:val="ABABAB"/>
          <w:spacing w:val="-2"/>
          <w:sz w:val="2"/>
        </w:rPr>
        <w:t>anyother</w:t>
      </w:r>
      <w:r>
        <w:rPr>
          <w:color w:val="ABABAB"/>
          <w:spacing w:val="11"/>
          <w:sz w:val="2"/>
        </w:rPr>
        <w:t> </w:t>
      </w:r>
      <w:r>
        <w:rPr>
          <w:color w:val="ABABAB"/>
          <w:spacing w:val="-2"/>
          <w:sz w:val="2"/>
        </w:rPr>
        <w:t>business</w:t>
      </w:r>
      <w:r>
        <w:rPr>
          <w:color w:val="ABABAB"/>
          <w:spacing w:val="11"/>
          <w:sz w:val="2"/>
        </w:rPr>
        <w:t> </w:t>
      </w:r>
      <w:r>
        <w:rPr>
          <w:color w:val="ABABAB"/>
          <w:spacing w:val="-2"/>
          <w:sz w:val="2"/>
        </w:rPr>
        <w:t>as</w:t>
      </w:r>
      <w:r>
        <w:rPr>
          <w:color w:val="ABABAB"/>
          <w:spacing w:val="11"/>
          <w:sz w:val="2"/>
        </w:rPr>
        <w:t> </w:t>
      </w:r>
      <w:r>
        <w:rPr>
          <w:color w:val="ABABAB"/>
          <w:spacing w:val="-2"/>
          <w:sz w:val="2"/>
        </w:rPr>
        <w:t>is</w:t>
      </w:r>
      <w:r>
        <w:rPr>
          <w:color w:val="ABABAB"/>
          <w:spacing w:val="11"/>
          <w:sz w:val="2"/>
        </w:rPr>
        <w:t> </w:t>
      </w:r>
      <w:r>
        <w:rPr>
          <w:color w:val="ABABAB"/>
          <w:spacing w:val="-2"/>
          <w:sz w:val="2"/>
        </w:rPr>
        <w:t>properly</w:t>
      </w:r>
      <w:r>
        <w:rPr>
          <w:color w:val="ABABAB"/>
          <w:spacing w:val="11"/>
          <w:sz w:val="2"/>
        </w:rPr>
        <w:t> </w:t>
      </w:r>
      <w:r>
        <w:rPr>
          <w:color w:val="ABABAB"/>
          <w:spacing w:val="-2"/>
          <w:sz w:val="2"/>
        </w:rPr>
        <w:t>brought</w:t>
      </w:r>
      <w:r>
        <w:rPr>
          <w:color w:val="ABABAB"/>
          <w:spacing w:val="11"/>
          <w:sz w:val="2"/>
        </w:rPr>
        <w:t> </w:t>
      </w:r>
      <w:r>
        <w:rPr>
          <w:color w:val="ABABAB"/>
          <w:spacing w:val="-2"/>
          <w:sz w:val="2"/>
        </w:rPr>
        <w:t>before</w:t>
      </w:r>
      <w:r>
        <w:rPr>
          <w:color w:val="ABABAB"/>
          <w:spacing w:val="11"/>
          <w:sz w:val="2"/>
        </w:rPr>
        <w:t> </w:t>
      </w:r>
      <w:r>
        <w:rPr>
          <w:color w:val="ABABAB"/>
          <w:spacing w:val="-2"/>
          <w:sz w:val="2"/>
        </w:rPr>
        <w:t>the</w:t>
      </w:r>
      <w:r>
        <w:rPr>
          <w:color w:val="ABABAB"/>
          <w:spacing w:val="7"/>
          <w:sz w:val="2"/>
        </w:rPr>
        <w:t> </w:t>
      </w:r>
      <w:r>
        <w:rPr>
          <w:color w:val="ABABAB"/>
          <w:spacing w:val="-2"/>
          <w:sz w:val="2"/>
        </w:rPr>
        <w:t>AnnualMeeting</w:t>
      </w:r>
      <w:r>
        <w:rPr>
          <w:color w:val="ABABAB"/>
          <w:spacing w:val="11"/>
          <w:sz w:val="2"/>
        </w:rPr>
        <w:t> </w:t>
      </w:r>
      <w:r>
        <w:rPr>
          <w:color w:val="ABABAB"/>
          <w:spacing w:val="-2"/>
          <w:sz w:val="2"/>
        </w:rPr>
        <w:t>for</w:t>
      </w:r>
      <w:r>
        <w:rPr>
          <w:color w:val="ABABAB"/>
          <w:spacing w:val="11"/>
          <w:sz w:val="2"/>
        </w:rPr>
        <w:t> </w:t>
      </w:r>
      <w:r>
        <w:rPr>
          <w:color w:val="ABABAB"/>
          <w:spacing w:val="-2"/>
          <w:sz w:val="2"/>
        </w:rPr>
        <w:t>action</w:t>
      </w:r>
      <w:r>
        <w:rPr>
          <w:color w:val="ABABAB"/>
          <w:spacing w:val="11"/>
          <w:sz w:val="2"/>
        </w:rPr>
        <w:t> </w:t>
      </w:r>
      <w:r>
        <w:rPr>
          <w:color w:val="ABABAB"/>
          <w:spacing w:val="-2"/>
          <w:sz w:val="2"/>
        </w:rPr>
        <w:t>in</w:t>
      </w:r>
      <w:r>
        <w:rPr>
          <w:color w:val="ABABAB"/>
          <w:spacing w:val="11"/>
          <w:sz w:val="2"/>
        </w:rPr>
        <w:t> </w:t>
      </w:r>
      <w:r>
        <w:rPr>
          <w:color w:val="ABABAB"/>
          <w:spacing w:val="-2"/>
          <w:sz w:val="2"/>
        </w:rPr>
        <w:t>accordance</w:t>
      </w:r>
      <w:r>
        <w:rPr>
          <w:color w:val="ABABAB"/>
          <w:spacing w:val="11"/>
          <w:sz w:val="2"/>
        </w:rPr>
        <w:t> </w:t>
      </w:r>
      <w:r>
        <w:rPr>
          <w:color w:val="ABABAB"/>
          <w:spacing w:val="-2"/>
          <w:sz w:val="2"/>
        </w:rPr>
        <w:t>with</w:t>
      </w:r>
      <w:r>
        <w:rPr>
          <w:color w:val="ABABAB"/>
          <w:spacing w:val="11"/>
          <w:sz w:val="2"/>
        </w:rPr>
        <w:t> </w:t>
      </w:r>
      <w:r>
        <w:rPr>
          <w:color w:val="ABABAB"/>
          <w:spacing w:val="-2"/>
          <w:sz w:val="2"/>
        </w:rPr>
        <w:t>their</w:t>
      </w:r>
      <w:r>
        <w:rPr>
          <w:color w:val="ABABAB"/>
          <w:spacing w:val="11"/>
          <w:sz w:val="2"/>
        </w:rPr>
        <w:t> </w:t>
      </w:r>
      <w:r>
        <w:rPr>
          <w:color w:val="ABABAB"/>
          <w:spacing w:val="-2"/>
          <w:sz w:val="2"/>
        </w:rPr>
        <w:t>judgmentas</w:t>
      </w:r>
      <w:r>
        <w:rPr>
          <w:color w:val="ABABAB"/>
          <w:spacing w:val="11"/>
          <w:sz w:val="2"/>
        </w:rPr>
        <w:t> </w:t>
      </w:r>
      <w:r>
        <w:rPr>
          <w:color w:val="ABABAB"/>
          <w:spacing w:val="-2"/>
          <w:sz w:val="2"/>
        </w:rPr>
        <w:t>to</w:t>
      </w:r>
      <w:r>
        <w:rPr>
          <w:color w:val="ABABAB"/>
          <w:spacing w:val="11"/>
          <w:sz w:val="2"/>
        </w:rPr>
        <w:t> </w:t>
      </w:r>
      <w:r>
        <w:rPr>
          <w:color w:val="ABABAB"/>
          <w:spacing w:val="-2"/>
          <w:sz w:val="2"/>
        </w:rPr>
        <w:t>the</w:t>
      </w:r>
      <w:r>
        <w:rPr>
          <w:color w:val="ABABAB"/>
          <w:spacing w:val="11"/>
          <w:sz w:val="2"/>
        </w:rPr>
        <w:t> </w:t>
      </w:r>
      <w:r>
        <w:rPr>
          <w:color w:val="ABABAB"/>
          <w:spacing w:val="-2"/>
          <w:sz w:val="2"/>
        </w:rPr>
        <w:t>best</w:t>
      </w:r>
      <w:r>
        <w:rPr>
          <w:color w:val="ABABAB"/>
          <w:spacing w:val="10"/>
          <w:sz w:val="2"/>
        </w:rPr>
        <w:t> </w:t>
      </w:r>
      <w:r>
        <w:rPr>
          <w:color w:val="ABABAB"/>
          <w:spacing w:val="-2"/>
          <w:sz w:val="2"/>
        </w:rPr>
        <w:t>interests</w:t>
      </w:r>
      <w:r>
        <w:rPr>
          <w:color w:val="ABABAB"/>
          <w:spacing w:val="11"/>
          <w:sz w:val="2"/>
        </w:rPr>
        <w:t> </w:t>
      </w:r>
      <w:r>
        <w:rPr>
          <w:color w:val="ABABAB"/>
          <w:spacing w:val="-2"/>
          <w:sz w:val="2"/>
        </w:rPr>
        <w:t>of</w:t>
      </w:r>
      <w:r>
        <w:rPr>
          <w:color w:val="ABABAB"/>
          <w:spacing w:val="11"/>
          <w:sz w:val="2"/>
        </w:rPr>
        <w:t> </w:t>
      </w:r>
      <w:r>
        <w:rPr>
          <w:color w:val="ABABAB"/>
          <w:spacing w:val="-2"/>
          <w:sz w:val="2"/>
        </w:rPr>
        <w:t>Varex</w:t>
      </w:r>
      <w:r>
        <w:rPr>
          <w:color w:val="ABABAB"/>
          <w:spacing w:val="11"/>
          <w:sz w:val="2"/>
        </w:rPr>
        <w:t> </w:t>
      </w:r>
      <w:r>
        <w:rPr>
          <w:color w:val="ABABAB"/>
          <w:spacing w:val="-2"/>
          <w:sz w:val="2"/>
        </w:rPr>
        <w:t>Imaging</w:t>
      </w:r>
      <w:r>
        <w:rPr>
          <w:color w:val="ABABAB"/>
          <w:spacing w:val="11"/>
          <w:sz w:val="2"/>
        </w:rPr>
        <w:t> </w:t>
      </w:r>
      <w:r>
        <w:rPr>
          <w:color w:val="ABABAB"/>
          <w:spacing w:val="-2"/>
          <w:sz w:val="2"/>
        </w:rPr>
        <w:t>Corporation.For</w:t>
      </w:r>
      <w:r>
        <w:rPr>
          <w:color w:val="ABABAB"/>
          <w:spacing w:val="8"/>
          <w:sz w:val="2"/>
        </w:rPr>
        <w:t> </w:t>
      </w:r>
      <w:r>
        <w:rPr>
          <w:color w:val="ABABAB"/>
          <w:spacing w:val="-2"/>
          <w:sz w:val="2"/>
        </w:rPr>
        <w:t>Against</w:t>
      </w:r>
      <w:r>
        <w:rPr>
          <w:color w:val="ABABAB"/>
          <w:spacing w:val="8"/>
          <w:sz w:val="2"/>
        </w:rPr>
        <w:t> </w:t>
      </w:r>
      <w:r>
        <w:rPr>
          <w:color w:val="ABABAB"/>
          <w:spacing w:val="-2"/>
          <w:sz w:val="2"/>
        </w:rPr>
        <w:t>AbstainPlease</w:t>
      </w:r>
      <w:r>
        <w:rPr>
          <w:color w:val="ABABAB"/>
          <w:spacing w:val="11"/>
          <w:sz w:val="2"/>
        </w:rPr>
        <w:t> </w:t>
      </w:r>
      <w:r>
        <w:rPr>
          <w:color w:val="ABABAB"/>
          <w:spacing w:val="-2"/>
          <w:sz w:val="2"/>
        </w:rPr>
        <w:t>sign</w:t>
      </w:r>
      <w:r>
        <w:rPr>
          <w:color w:val="ABABAB"/>
          <w:spacing w:val="11"/>
          <w:sz w:val="2"/>
        </w:rPr>
        <w:t> </w:t>
      </w:r>
      <w:r>
        <w:rPr>
          <w:color w:val="ABABAB"/>
          <w:spacing w:val="-2"/>
          <w:sz w:val="2"/>
        </w:rPr>
        <w:t>exactly</w:t>
      </w:r>
      <w:r>
        <w:rPr>
          <w:color w:val="ABABAB"/>
          <w:spacing w:val="10"/>
          <w:sz w:val="2"/>
        </w:rPr>
        <w:t> </w:t>
      </w:r>
      <w:r>
        <w:rPr>
          <w:color w:val="ABABAB"/>
          <w:spacing w:val="-2"/>
          <w:sz w:val="2"/>
        </w:rPr>
        <w:t>as</w:t>
      </w:r>
      <w:r>
        <w:rPr>
          <w:color w:val="ABABAB"/>
          <w:spacing w:val="11"/>
          <w:sz w:val="2"/>
        </w:rPr>
        <w:t> </w:t>
      </w:r>
      <w:r>
        <w:rPr>
          <w:color w:val="ABABAB"/>
          <w:spacing w:val="-2"/>
          <w:sz w:val="2"/>
        </w:rPr>
        <w:t>your</w:t>
      </w:r>
      <w:r>
        <w:rPr>
          <w:color w:val="ABABAB"/>
          <w:spacing w:val="11"/>
          <w:sz w:val="2"/>
        </w:rPr>
        <w:t> </w:t>
      </w:r>
      <w:r>
        <w:rPr>
          <w:color w:val="ABABAB"/>
          <w:spacing w:val="-2"/>
          <w:sz w:val="2"/>
        </w:rPr>
        <w:t>name(s)</w:t>
      </w:r>
      <w:r>
        <w:rPr>
          <w:color w:val="ABABAB"/>
          <w:spacing w:val="11"/>
          <w:sz w:val="2"/>
        </w:rPr>
        <w:t> </w:t>
      </w:r>
      <w:r>
        <w:rPr>
          <w:color w:val="ABABAB"/>
          <w:spacing w:val="-2"/>
          <w:sz w:val="2"/>
        </w:rPr>
        <w:t>appear(s)</w:t>
      </w:r>
      <w:r>
        <w:rPr>
          <w:color w:val="ABABAB"/>
          <w:spacing w:val="11"/>
          <w:sz w:val="2"/>
        </w:rPr>
        <w:t> </w:t>
      </w:r>
      <w:r>
        <w:rPr>
          <w:color w:val="ABABAB"/>
          <w:spacing w:val="-2"/>
          <w:sz w:val="2"/>
        </w:rPr>
        <w:t>hereon.</w:t>
      </w:r>
      <w:r>
        <w:rPr>
          <w:color w:val="ABABAB"/>
          <w:spacing w:val="11"/>
          <w:sz w:val="2"/>
        </w:rPr>
        <w:t> </w:t>
      </w:r>
      <w:r>
        <w:rPr>
          <w:color w:val="ABABAB"/>
          <w:spacing w:val="-2"/>
          <w:sz w:val="2"/>
        </w:rPr>
        <w:t>When</w:t>
      </w:r>
      <w:r>
        <w:rPr>
          <w:color w:val="ABABAB"/>
          <w:spacing w:val="11"/>
          <w:sz w:val="2"/>
        </w:rPr>
        <w:t> </w:t>
      </w:r>
      <w:r>
        <w:rPr>
          <w:color w:val="ABABAB"/>
          <w:spacing w:val="-2"/>
          <w:sz w:val="2"/>
        </w:rPr>
        <w:t>signing</w:t>
      </w:r>
      <w:r>
        <w:rPr>
          <w:color w:val="ABABAB"/>
          <w:spacing w:val="11"/>
          <w:sz w:val="2"/>
        </w:rPr>
        <w:t> </w:t>
      </w:r>
      <w:r>
        <w:rPr>
          <w:color w:val="ABABAB"/>
          <w:spacing w:val="-2"/>
          <w:sz w:val="2"/>
        </w:rPr>
        <w:t>as</w:t>
      </w:r>
      <w:r>
        <w:rPr>
          <w:color w:val="ABABAB"/>
          <w:spacing w:val="11"/>
          <w:sz w:val="2"/>
        </w:rPr>
        <w:t> </w:t>
      </w:r>
      <w:r>
        <w:rPr>
          <w:color w:val="ABABAB"/>
          <w:spacing w:val="-2"/>
          <w:sz w:val="2"/>
        </w:rPr>
        <w:t>attorney,</w:t>
      </w:r>
      <w:r>
        <w:rPr>
          <w:color w:val="ABABAB"/>
          <w:spacing w:val="11"/>
          <w:sz w:val="2"/>
        </w:rPr>
        <w:t> </w:t>
      </w:r>
      <w:r>
        <w:rPr>
          <w:color w:val="ABABAB"/>
          <w:spacing w:val="-2"/>
          <w:sz w:val="2"/>
        </w:rPr>
        <w:t>executor,administrator,</w:t>
      </w:r>
      <w:r>
        <w:rPr>
          <w:color w:val="ABABAB"/>
          <w:spacing w:val="11"/>
          <w:sz w:val="2"/>
        </w:rPr>
        <w:t> </w:t>
      </w:r>
      <w:r>
        <w:rPr>
          <w:color w:val="ABABAB"/>
          <w:spacing w:val="-2"/>
          <w:sz w:val="2"/>
        </w:rPr>
        <w:t>or</w:t>
      </w:r>
      <w:r>
        <w:rPr>
          <w:color w:val="ABABAB"/>
          <w:spacing w:val="11"/>
          <w:sz w:val="2"/>
        </w:rPr>
        <w:t> </w:t>
      </w:r>
      <w:r>
        <w:rPr>
          <w:color w:val="ABABAB"/>
          <w:spacing w:val="-2"/>
          <w:sz w:val="2"/>
        </w:rPr>
        <w:t>other</w:t>
      </w:r>
      <w:r>
        <w:rPr>
          <w:color w:val="ABABAB"/>
          <w:spacing w:val="11"/>
          <w:sz w:val="2"/>
        </w:rPr>
        <w:t> </w:t>
      </w:r>
      <w:r>
        <w:rPr>
          <w:color w:val="ABABAB"/>
          <w:spacing w:val="-2"/>
          <w:sz w:val="2"/>
        </w:rPr>
        <w:t>fiduciary,</w:t>
      </w:r>
      <w:r>
        <w:rPr>
          <w:color w:val="ABABAB"/>
          <w:spacing w:val="10"/>
          <w:sz w:val="2"/>
        </w:rPr>
        <w:t> </w:t>
      </w:r>
      <w:r>
        <w:rPr>
          <w:color w:val="ABABAB"/>
          <w:spacing w:val="-2"/>
          <w:sz w:val="2"/>
        </w:rPr>
        <w:t>please</w:t>
      </w:r>
      <w:r>
        <w:rPr>
          <w:color w:val="ABABAB"/>
          <w:spacing w:val="11"/>
          <w:sz w:val="2"/>
        </w:rPr>
        <w:t> </w:t>
      </w:r>
      <w:r>
        <w:rPr>
          <w:color w:val="ABABAB"/>
          <w:spacing w:val="-2"/>
          <w:sz w:val="2"/>
        </w:rPr>
        <w:t>give</w:t>
      </w:r>
      <w:r>
        <w:rPr>
          <w:color w:val="ABABAB"/>
          <w:spacing w:val="11"/>
          <w:sz w:val="2"/>
        </w:rPr>
        <w:t> </w:t>
      </w:r>
      <w:r>
        <w:rPr>
          <w:color w:val="ABABAB"/>
          <w:spacing w:val="-2"/>
          <w:sz w:val="2"/>
        </w:rPr>
        <w:t>full</w:t>
      </w:r>
      <w:r>
        <w:rPr>
          <w:color w:val="ABABAB"/>
          <w:spacing w:val="11"/>
          <w:sz w:val="2"/>
        </w:rPr>
        <w:t> </w:t>
      </w:r>
      <w:r>
        <w:rPr>
          <w:color w:val="ABABAB"/>
          <w:spacing w:val="-2"/>
          <w:sz w:val="2"/>
        </w:rPr>
        <w:t>title</w:t>
      </w:r>
      <w:r>
        <w:rPr>
          <w:color w:val="ABABAB"/>
          <w:spacing w:val="11"/>
          <w:sz w:val="2"/>
        </w:rPr>
        <w:t> </w:t>
      </w:r>
      <w:r>
        <w:rPr>
          <w:color w:val="ABABAB"/>
          <w:spacing w:val="-2"/>
          <w:sz w:val="2"/>
        </w:rPr>
        <w:t>as</w:t>
      </w:r>
      <w:r>
        <w:rPr>
          <w:color w:val="ABABAB"/>
          <w:spacing w:val="11"/>
          <w:sz w:val="2"/>
        </w:rPr>
        <w:t> </w:t>
      </w:r>
      <w:r>
        <w:rPr>
          <w:color w:val="ABABAB"/>
          <w:spacing w:val="-2"/>
          <w:sz w:val="2"/>
        </w:rPr>
        <w:t>such.</w:t>
      </w:r>
      <w:r>
        <w:rPr>
          <w:color w:val="ABABAB"/>
          <w:spacing w:val="11"/>
          <w:sz w:val="2"/>
        </w:rPr>
        <w:t> </w:t>
      </w:r>
      <w:r>
        <w:rPr>
          <w:color w:val="ABABAB"/>
          <w:spacing w:val="-2"/>
          <w:sz w:val="2"/>
        </w:rPr>
        <w:t>Joint</w:t>
      </w:r>
      <w:r>
        <w:rPr>
          <w:color w:val="ABABAB"/>
          <w:spacing w:val="11"/>
          <w:sz w:val="2"/>
        </w:rPr>
        <w:t> </w:t>
      </w:r>
      <w:r>
        <w:rPr>
          <w:color w:val="ABABAB"/>
          <w:spacing w:val="-2"/>
          <w:sz w:val="2"/>
        </w:rPr>
        <w:t>owners</w:t>
      </w:r>
      <w:r>
        <w:rPr>
          <w:color w:val="ABABAB"/>
          <w:spacing w:val="11"/>
          <w:sz w:val="2"/>
        </w:rPr>
        <w:t> </w:t>
      </w:r>
      <w:r>
        <w:rPr>
          <w:color w:val="ABABAB"/>
          <w:spacing w:val="-2"/>
          <w:sz w:val="2"/>
        </w:rPr>
        <w:t>should</w:t>
      </w:r>
      <w:r>
        <w:rPr>
          <w:color w:val="ABABAB"/>
          <w:spacing w:val="11"/>
          <w:sz w:val="2"/>
        </w:rPr>
        <w:t> </w:t>
      </w:r>
      <w:r>
        <w:rPr>
          <w:color w:val="ABABAB"/>
          <w:spacing w:val="-2"/>
          <w:sz w:val="2"/>
        </w:rPr>
        <w:t>each</w:t>
      </w:r>
      <w:r>
        <w:rPr>
          <w:color w:val="ABABAB"/>
          <w:spacing w:val="11"/>
          <w:sz w:val="2"/>
        </w:rPr>
        <w:t> </w:t>
      </w:r>
      <w:r>
        <w:rPr>
          <w:color w:val="ABABAB"/>
          <w:spacing w:val="-2"/>
          <w:sz w:val="2"/>
        </w:rPr>
        <w:t>signpersonally.</w:t>
      </w:r>
      <w:r>
        <w:rPr>
          <w:color w:val="ABABAB"/>
          <w:spacing w:val="8"/>
          <w:sz w:val="2"/>
        </w:rPr>
        <w:t> </w:t>
      </w:r>
      <w:r>
        <w:rPr>
          <w:color w:val="ABABAB"/>
          <w:spacing w:val="-2"/>
          <w:sz w:val="2"/>
        </w:rPr>
        <w:t>All</w:t>
      </w:r>
      <w:r>
        <w:rPr>
          <w:color w:val="ABABAB"/>
          <w:spacing w:val="10"/>
          <w:sz w:val="2"/>
        </w:rPr>
        <w:t> </w:t>
      </w:r>
      <w:r>
        <w:rPr>
          <w:color w:val="ABABAB"/>
          <w:spacing w:val="-2"/>
          <w:sz w:val="2"/>
        </w:rPr>
        <w:t>holders</w:t>
      </w:r>
      <w:r>
        <w:rPr>
          <w:color w:val="ABABAB"/>
          <w:spacing w:val="11"/>
          <w:sz w:val="2"/>
        </w:rPr>
        <w:t> </w:t>
      </w:r>
      <w:r>
        <w:rPr>
          <w:color w:val="ABABAB"/>
          <w:spacing w:val="-2"/>
          <w:sz w:val="2"/>
        </w:rPr>
        <w:t>must</w:t>
      </w:r>
      <w:r>
        <w:rPr>
          <w:color w:val="ABABAB"/>
          <w:spacing w:val="11"/>
          <w:sz w:val="2"/>
        </w:rPr>
        <w:t> </w:t>
      </w:r>
      <w:r>
        <w:rPr>
          <w:color w:val="ABABAB"/>
          <w:spacing w:val="-2"/>
          <w:sz w:val="2"/>
        </w:rPr>
        <w:t>sign.</w:t>
      </w:r>
      <w:r>
        <w:rPr>
          <w:color w:val="ABABAB"/>
          <w:spacing w:val="11"/>
          <w:sz w:val="2"/>
        </w:rPr>
        <w:t> </w:t>
      </w:r>
      <w:r>
        <w:rPr>
          <w:color w:val="ABABAB"/>
          <w:spacing w:val="-2"/>
          <w:sz w:val="2"/>
        </w:rPr>
        <w:t>If</w:t>
      </w:r>
      <w:r>
        <w:rPr>
          <w:color w:val="ABABAB"/>
          <w:spacing w:val="11"/>
          <w:sz w:val="2"/>
        </w:rPr>
        <w:t> </w:t>
      </w:r>
      <w:r>
        <w:rPr>
          <w:color w:val="ABABAB"/>
          <w:spacing w:val="-2"/>
          <w:sz w:val="2"/>
        </w:rPr>
        <w:t>a</w:t>
      </w:r>
      <w:r>
        <w:rPr>
          <w:color w:val="ABABAB"/>
          <w:spacing w:val="11"/>
          <w:sz w:val="2"/>
        </w:rPr>
        <w:t> </w:t>
      </w:r>
      <w:r>
        <w:rPr>
          <w:color w:val="ABABAB"/>
          <w:spacing w:val="-2"/>
          <w:sz w:val="2"/>
        </w:rPr>
        <w:t>corporation</w:t>
      </w:r>
      <w:r>
        <w:rPr>
          <w:color w:val="ABABAB"/>
          <w:spacing w:val="11"/>
          <w:sz w:val="2"/>
        </w:rPr>
        <w:t> </w:t>
      </w:r>
      <w:r>
        <w:rPr>
          <w:color w:val="ABABAB"/>
          <w:spacing w:val="-2"/>
          <w:sz w:val="2"/>
        </w:rPr>
        <w:t>or</w:t>
      </w:r>
      <w:r>
        <w:rPr>
          <w:color w:val="ABABAB"/>
          <w:spacing w:val="11"/>
          <w:sz w:val="2"/>
        </w:rPr>
        <w:t> </w:t>
      </w:r>
      <w:r>
        <w:rPr>
          <w:color w:val="ABABAB"/>
          <w:spacing w:val="-2"/>
          <w:sz w:val="2"/>
        </w:rPr>
        <w:t>partnership,</w:t>
      </w:r>
      <w:r>
        <w:rPr>
          <w:color w:val="ABABAB"/>
          <w:spacing w:val="11"/>
          <w:sz w:val="2"/>
        </w:rPr>
        <w:t> </w:t>
      </w:r>
      <w:r>
        <w:rPr>
          <w:color w:val="ABABAB"/>
          <w:spacing w:val="-2"/>
          <w:sz w:val="2"/>
        </w:rPr>
        <w:t>please</w:t>
      </w:r>
      <w:r>
        <w:rPr>
          <w:color w:val="ABABAB"/>
          <w:spacing w:val="11"/>
          <w:sz w:val="2"/>
        </w:rPr>
        <w:t> </w:t>
      </w:r>
      <w:r>
        <w:rPr>
          <w:color w:val="ABABAB"/>
          <w:spacing w:val="-2"/>
          <w:sz w:val="2"/>
        </w:rPr>
        <w:t>sign</w:t>
      </w:r>
      <w:r>
        <w:rPr>
          <w:color w:val="ABABAB"/>
          <w:spacing w:val="11"/>
          <w:sz w:val="2"/>
        </w:rPr>
        <w:t> </w:t>
      </w:r>
      <w:r>
        <w:rPr>
          <w:color w:val="ABABAB"/>
          <w:spacing w:val="-2"/>
          <w:sz w:val="2"/>
        </w:rPr>
        <w:t>in</w:t>
      </w:r>
      <w:r>
        <w:rPr>
          <w:color w:val="ABABAB"/>
          <w:spacing w:val="11"/>
          <w:sz w:val="2"/>
        </w:rPr>
        <w:t> </w:t>
      </w:r>
      <w:r>
        <w:rPr>
          <w:color w:val="ABABAB"/>
          <w:spacing w:val="-2"/>
          <w:sz w:val="2"/>
        </w:rPr>
        <w:t>full</w:t>
      </w:r>
      <w:r>
        <w:rPr>
          <w:color w:val="ABABAB"/>
          <w:spacing w:val="11"/>
          <w:sz w:val="2"/>
        </w:rPr>
        <w:t> </w:t>
      </w:r>
      <w:r>
        <w:rPr>
          <w:color w:val="ABABAB"/>
          <w:spacing w:val="-2"/>
          <w:sz w:val="2"/>
        </w:rPr>
        <w:t>corporateor</w:t>
      </w:r>
      <w:r>
        <w:rPr>
          <w:color w:val="ABABAB"/>
          <w:spacing w:val="10"/>
          <w:sz w:val="2"/>
        </w:rPr>
        <w:t> </w:t>
      </w:r>
      <w:r>
        <w:rPr>
          <w:color w:val="ABABAB"/>
          <w:spacing w:val="-2"/>
          <w:sz w:val="2"/>
        </w:rPr>
        <w:t>partnership</w:t>
      </w:r>
      <w:r>
        <w:rPr>
          <w:color w:val="ABABAB"/>
          <w:spacing w:val="11"/>
          <w:sz w:val="2"/>
        </w:rPr>
        <w:t> </w:t>
      </w:r>
      <w:r>
        <w:rPr>
          <w:color w:val="ABABAB"/>
          <w:spacing w:val="-2"/>
          <w:sz w:val="2"/>
        </w:rPr>
        <w:t>name</w:t>
      </w:r>
      <w:r>
        <w:rPr>
          <w:color w:val="ABABAB"/>
          <w:spacing w:val="11"/>
          <w:sz w:val="2"/>
        </w:rPr>
        <w:t> </w:t>
      </w:r>
      <w:r>
        <w:rPr>
          <w:color w:val="ABABAB"/>
          <w:spacing w:val="-2"/>
          <w:sz w:val="2"/>
        </w:rPr>
        <w:t>by</w:t>
      </w:r>
      <w:r>
        <w:rPr>
          <w:color w:val="ABABAB"/>
          <w:spacing w:val="11"/>
          <w:sz w:val="2"/>
        </w:rPr>
        <w:t> </w:t>
      </w:r>
      <w:r>
        <w:rPr>
          <w:color w:val="ABABAB"/>
          <w:spacing w:val="-2"/>
          <w:sz w:val="2"/>
        </w:rPr>
        <w:t>authorized</w:t>
      </w:r>
      <w:r>
        <w:rPr>
          <w:color w:val="ABABAB"/>
          <w:spacing w:val="11"/>
          <w:sz w:val="2"/>
        </w:rPr>
        <w:t> </w:t>
      </w:r>
      <w:r>
        <w:rPr>
          <w:color w:val="ABABAB"/>
          <w:spacing w:val="-2"/>
          <w:sz w:val="2"/>
        </w:rPr>
        <w:t>officer.Signature</w:t>
      </w:r>
      <w:r>
        <w:rPr>
          <w:color w:val="ABABAB"/>
          <w:spacing w:val="11"/>
          <w:sz w:val="2"/>
        </w:rPr>
        <w:t> </w:t>
      </w:r>
      <w:r>
        <w:rPr>
          <w:color w:val="ABABAB"/>
          <w:spacing w:val="-2"/>
          <w:sz w:val="2"/>
        </w:rPr>
        <w:t>[PLEASE</w:t>
      </w:r>
      <w:r>
        <w:rPr>
          <w:color w:val="ABABAB"/>
          <w:spacing w:val="80"/>
          <w:sz w:val="2"/>
        </w:rPr>
        <w:t> </w:t>
      </w:r>
      <w:r>
        <w:rPr>
          <w:color w:val="ABABAB"/>
          <w:sz w:val="2"/>
        </w:rPr>
        <w:t>SIGN</w:t>
      </w:r>
      <w:r>
        <w:rPr>
          <w:color w:val="ABABAB"/>
          <w:spacing w:val="-2"/>
          <w:sz w:val="2"/>
        </w:rPr>
        <w:t> </w:t>
      </w:r>
      <w:r>
        <w:rPr>
          <w:color w:val="ABABAB"/>
          <w:sz w:val="2"/>
        </w:rPr>
        <w:t>WITHIN</w:t>
      </w:r>
      <w:r>
        <w:rPr>
          <w:color w:val="ABABAB"/>
          <w:spacing w:val="-1"/>
          <w:sz w:val="2"/>
        </w:rPr>
        <w:t> </w:t>
      </w:r>
      <w:r>
        <w:rPr>
          <w:color w:val="ABABAB"/>
          <w:sz w:val="2"/>
        </w:rPr>
        <w:t>BOX]</w:t>
      </w:r>
      <w:r>
        <w:rPr>
          <w:color w:val="ABABAB"/>
          <w:spacing w:val="-1"/>
          <w:sz w:val="2"/>
        </w:rPr>
        <w:t> </w:t>
      </w:r>
      <w:r>
        <w:rPr>
          <w:color w:val="ABABAB"/>
          <w:sz w:val="2"/>
        </w:rPr>
        <w:t>DateSignature</w:t>
      </w:r>
      <w:r>
        <w:rPr>
          <w:color w:val="ABABAB"/>
          <w:spacing w:val="-1"/>
          <w:sz w:val="2"/>
        </w:rPr>
        <w:t> </w:t>
      </w:r>
      <w:r>
        <w:rPr>
          <w:color w:val="ABABAB"/>
          <w:sz w:val="2"/>
        </w:rPr>
        <w:t>(Joint</w:t>
      </w:r>
      <w:r>
        <w:rPr>
          <w:color w:val="ABABAB"/>
          <w:spacing w:val="-2"/>
          <w:sz w:val="2"/>
        </w:rPr>
        <w:t> </w:t>
      </w:r>
      <w:r>
        <w:rPr>
          <w:color w:val="ABABAB"/>
          <w:sz w:val="2"/>
        </w:rPr>
        <w:t>Owners)</w:t>
      </w:r>
      <w:r>
        <w:rPr>
          <w:color w:val="ABABAB"/>
          <w:spacing w:val="-1"/>
          <w:sz w:val="2"/>
        </w:rPr>
        <w:t> </w:t>
      </w:r>
      <w:r>
        <w:rPr>
          <w:color w:val="ABABAB"/>
          <w:sz w:val="2"/>
        </w:rPr>
        <w:t>Date</w:t>
      </w:r>
    </w:p>
    <w:p>
      <w:pPr>
        <w:spacing w:after="0" w:line="583" w:lineRule="auto"/>
        <w:jc w:val="left"/>
        <w:rPr>
          <w:sz w:val="2"/>
        </w:rPr>
        <w:sectPr>
          <w:headerReference w:type="default" r:id="rId167"/>
          <w:footerReference w:type="default" r:id="rId168"/>
          <w:pgSz w:w="12240" w:h="15840"/>
          <w:pgMar w:header="529" w:footer="507" w:top="720" w:bottom="700" w:left="48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p>
    <w:p>
      <w:pPr>
        <w:pStyle w:val="BodyText"/>
        <w:ind w:left="531"/>
        <w:rPr>
          <w:sz w:val="20"/>
        </w:rPr>
      </w:pPr>
      <w:r>
        <w:rPr>
          <w:sz w:val="20"/>
        </w:rPr>
        <w:drawing>
          <wp:inline distT="0" distB="0" distL="0" distR="0">
            <wp:extent cx="6421759" cy="6379464"/>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70" cstate="print"/>
                    <a:stretch>
                      <a:fillRect/>
                    </a:stretch>
                  </pic:blipFill>
                  <pic:spPr>
                    <a:xfrm>
                      <a:off x="0" y="0"/>
                      <a:ext cx="6421759" cy="6379464"/>
                    </a:xfrm>
                    <a:prstGeom prst="rect">
                      <a:avLst/>
                    </a:prstGeom>
                  </pic:spPr>
                </pic:pic>
              </a:graphicData>
            </a:graphic>
          </wp:inline>
        </w:drawing>
      </w:r>
      <w:r>
        <w:rPr>
          <w:sz w:val="20"/>
        </w:rPr>
      </w:r>
    </w:p>
    <w:p>
      <w:pPr>
        <w:pStyle w:val="BodyText"/>
        <w:rPr>
          <w:sz w:val="20"/>
        </w:rPr>
      </w:pPr>
    </w:p>
    <w:p>
      <w:pPr>
        <w:pStyle w:val="BodyText"/>
        <w:spacing w:before="2"/>
        <w:rPr>
          <w:sz w:val="28"/>
        </w:rPr>
      </w:pPr>
    </w:p>
    <w:p>
      <w:pPr>
        <w:pStyle w:val="BodyText"/>
        <w:rPr>
          <w:sz w:val="2"/>
        </w:rPr>
      </w:pPr>
    </w:p>
    <w:p>
      <w:pPr>
        <w:pStyle w:val="BodyText"/>
        <w:rPr>
          <w:sz w:val="2"/>
        </w:rPr>
      </w:pPr>
    </w:p>
    <w:p>
      <w:pPr>
        <w:pStyle w:val="BodyText"/>
        <w:rPr>
          <w:sz w:val="2"/>
        </w:rPr>
      </w:pPr>
    </w:p>
    <w:p>
      <w:pPr>
        <w:pStyle w:val="BodyText"/>
        <w:spacing w:before="6"/>
        <w:rPr>
          <w:sz w:val="2"/>
        </w:rPr>
      </w:pPr>
    </w:p>
    <w:p>
      <w:pPr>
        <w:spacing w:before="0"/>
        <w:ind w:left="101" w:right="0" w:firstLine="0"/>
        <w:jc w:val="left"/>
        <w:rPr>
          <w:sz w:val="2"/>
        </w:rPr>
      </w:pPr>
      <w:r>
        <w:rPr>
          <w:color w:val="ABABAB"/>
          <w:w w:val="90"/>
          <w:sz w:val="2"/>
        </w:rPr>
        <w:t>Important</w:t>
      </w:r>
      <w:r>
        <w:rPr>
          <w:color w:val="ABABAB"/>
          <w:spacing w:val="-1"/>
          <w:sz w:val="2"/>
        </w:rPr>
        <w:t> </w:t>
      </w:r>
      <w:r>
        <w:rPr>
          <w:color w:val="ABABAB"/>
          <w:w w:val="90"/>
          <w:sz w:val="2"/>
        </w:rPr>
        <w:t>Notice</w:t>
      </w:r>
      <w:r>
        <w:rPr>
          <w:color w:val="ABABAB"/>
          <w:spacing w:val="1"/>
          <w:sz w:val="2"/>
        </w:rPr>
        <w:t> </w:t>
      </w:r>
      <w:r>
        <w:rPr>
          <w:color w:val="ABABAB"/>
          <w:w w:val="90"/>
          <w:sz w:val="2"/>
        </w:rPr>
        <w:t>Regarding</w:t>
      </w:r>
      <w:r>
        <w:rPr>
          <w:color w:val="ABABAB"/>
          <w:sz w:val="2"/>
        </w:rPr>
        <w:t> </w:t>
      </w:r>
      <w:r>
        <w:rPr>
          <w:color w:val="ABABAB"/>
          <w:w w:val="90"/>
          <w:sz w:val="2"/>
        </w:rPr>
        <w:t>the</w:t>
      </w:r>
      <w:r>
        <w:rPr>
          <w:color w:val="ABABAB"/>
          <w:sz w:val="2"/>
        </w:rPr>
        <w:t> </w:t>
      </w:r>
      <w:r>
        <w:rPr>
          <w:color w:val="ABABAB"/>
          <w:w w:val="90"/>
          <w:sz w:val="2"/>
        </w:rPr>
        <w:t>Availability</w:t>
      </w:r>
      <w:r>
        <w:rPr>
          <w:color w:val="ABABAB"/>
          <w:spacing w:val="1"/>
          <w:sz w:val="2"/>
        </w:rPr>
        <w:t> </w:t>
      </w:r>
      <w:r>
        <w:rPr>
          <w:color w:val="ABABAB"/>
          <w:w w:val="90"/>
          <w:sz w:val="2"/>
        </w:rPr>
        <w:t>of</w:t>
      </w:r>
      <w:r>
        <w:rPr>
          <w:color w:val="ABABAB"/>
          <w:spacing w:val="1"/>
          <w:sz w:val="2"/>
        </w:rPr>
        <w:t> </w:t>
      </w:r>
      <w:r>
        <w:rPr>
          <w:color w:val="ABABAB"/>
          <w:w w:val="90"/>
          <w:sz w:val="2"/>
        </w:rPr>
        <w:t>Proxy</w:t>
      </w:r>
      <w:r>
        <w:rPr>
          <w:color w:val="ABABAB"/>
          <w:spacing w:val="1"/>
          <w:sz w:val="2"/>
        </w:rPr>
        <w:t> </w:t>
      </w:r>
      <w:r>
        <w:rPr>
          <w:color w:val="ABABAB"/>
          <w:w w:val="90"/>
          <w:sz w:val="2"/>
        </w:rPr>
        <w:t>Materials</w:t>
      </w:r>
      <w:r>
        <w:rPr>
          <w:color w:val="ABABAB"/>
          <w:spacing w:val="1"/>
          <w:sz w:val="2"/>
        </w:rPr>
        <w:t> </w:t>
      </w:r>
      <w:r>
        <w:rPr>
          <w:color w:val="ABABAB"/>
          <w:w w:val="90"/>
          <w:sz w:val="2"/>
        </w:rPr>
        <w:t>for</w:t>
      </w:r>
      <w:r>
        <w:rPr>
          <w:color w:val="ABABAB"/>
          <w:spacing w:val="1"/>
          <w:sz w:val="2"/>
        </w:rPr>
        <w:t> </w:t>
      </w:r>
      <w:r>
        <w:rPr>
          <w:color w:val="ABABAB"/>
          <w:w w:val="90"/>
          <w:sz w:val="2"/>
        </w:rPr>
        <w:t>the</w:t>
      </w:r>
      <w:r>
        <w:rPr>
          <w:color w:val="ABABAB"/>
          <w:sz w:val="2"/>
        </w:rPr>
        <w:t> </w:t>
      </w:r>
      <w:r>
        <w:rPr>
          <w:color w:val="ABABAB"/>
          <w:w w:val="90"/>
          <w:sz w:val="2"/>
        </w:rPr>
        <w:t>Annual</w:t>
      </w:r>
      <w:r>
        <w:rPr>
          <w:color w:val="ABABAB"/>
          <w:spacing w:val="1"/>
          <w:sz w:val="2"/>
        </w:rPr>
        <w:t> </w:t>
      </w:r>
      <w:r>
        <w:rPr>
          <w:color w:val="ABABAB"/>
          <w:w w:val="90"/>
          <w:sz w:val="2"/>
        </w:rPr>
        <w:t>Meeting:The</w:t>
      </w:r>
      <w:r>
        <w:rPr>
          <w:color w:val="ABABAB"/>
          <w:spacing w:val="1"/>
          <w:sz w:val="2"/>
        </w:rPr>
        <w:t> </w:t>
      </w:r>
      <w:r>
        <w:rPr>
          <w:color w:val="ABABAB"/>
          <w:w w:val="90"/>
          <w:sz w:val="2"/>
        </w:rPr>
        <w:t>Notice</w:t>
      </w:r>
      <w:r>
        <w:rPr>
          <w:color w:val="ABABAB"/>
          <w:spacing w:val="1"/>
          <w:sz w:val="2"/>
        </w:rPr>
        <w:t> </w:t>
      </w:r>
      <w:r>
        <w:rPr>
          <w:color w:val="ABABAB"/>
          <w:w w:val="90"/>
          <w:sz w:val="2"/>
        </w:rPr>
        <w:t>and</w:t>
      </w:r>
      <w:r>
        <w:rPr>
          <w:color w:val="ABABAB"/>
          <w:spacing w:val="1"/>
          <w:sz w:val="2"/>
        </w:rPr>
        <w:t> </w:t>
      </w:r>
      <w:r>
        <w:rPr>
          <w:color w:val="ABABAB"/>
          <w:w w:val="90"/>
          <w:sz w:val="2"/>
        </w:rPr>
        <w:t>Proxy</w:t>
      </w:r>
      <w:r>
        <w:rPr>
          <w:color w:val="ABABAB"/>
          <w:spacing w:val="1"/>
          <w:sz w:val="2"/>
        </w:rPr>
        <w:t> </w:t>
      </w:r>
      <w:r>
        <w:rPr>
          <w:color w:val="ABABAB"/>
          <w:w w:val="90"/>
          <w:sz w:val="2"/>
        </w:rPr>
        <w:t>Statement</w:t>
      </w:r>
      <w:r>
        <w:rPr>
          <w:color w:val="ABABAB"/>
          <w:spacing w:val="1"/>
          <w:sz w:val="2"/>
        </w:rPr>
        <w:t> </w:t>
      </w:r>
      <w:r>
        <w:rPr>
          <w:color w:val="ABABAB"/>
          <w:w w:val="90"/>
          <w:sz w:val="2"/>
        </w:rPr>
        <w:t>and</w:t>
      </w:r>
      <w:r>
        <w:rPr>
          <w:color w:val="ABABAB"/>
          <w:sz w:val="2"/>
        </w:rPr>
        <w:t> </w:t>
      </w:r>
      <w:r>
        <w:rPr>
          <w:color w:val="ABABAB"/>
          <w:w w:val="90"/>
          <w:sz w:val="2"/>
        </w:rPr>
        <w:t>Annual</w:t>
      </w:r>
      <w:r>
        <w:rPr>
          <w:color w:val="ABABAB"/>
          <w:spacing w:val="1"/>
          <w:sz w:val="2"/>
        </w:rPr>
        <w:t> </w:t>
      </w:r>
      <w:r>
        <w:rPr>
          <w:color w:val="ABABAB"/>
          <w:w w:val="90"/>
          <w:sz w:val="2"/>
        </w:rPr>
        <w:t>Report</w:t>
      </w:r>
      <w:r>
        <w:rPr>
          <w:color w:val="ABABAB"/>
          <w:spacing w:val="1"/>
          <w:sz w:val="2"/>
        </w:rPr>
        <w:t> </w:t>
      </w:r>
      <w:r>
        <w:rPr>
          <w:color w:val="ABABAB"/>
          <w:w w:val="90"/>
          <w:sz w:val="2"/>
        </w:rPr>
        <w:t>are</w:t>
      </w:r>
      <w:r>
        <w:rPr>
          <w:color w:val="ABABAB"/>
          <w:spacing w:val="1"/>
          <w:sz w:val="2"/>
        </w:rPr>
        <w:t> </w:t>
      </w:r>
      <w:r>
        <w:rPr>
          <w:color w:val="ABABAB"/>
          <w:w w:val="90"/>
          <w:sz w:val="2"/>
        </w:rPr>
        <w:t>available</w:t>
      </w:r>
      <w:r>
        <w:rPr>
          <w:color w:val="ABABAB"/>
          <w:spacing w:val="1"/>
          <w:sz w:val="2"/>
        </w:rPr>
        <w:t> </w:t>
      </w:r>
      <w:r>
        <w:rPr>
          <w:color w:val="ABABAB"/>
          <w:w w:val="90"/>
          <w:sz w:val="2"/>
        </w:rPr>
        <w:t>at</w:t>
      </w:r>
      <w:r>
        <w:rPr>
          <w:color w:val="ABABAB"/>
          <w:spacing w:val="1"/>
          <w:sz w:val="2"/>
        </w:rPr>
        <w:t> </w:t>
      </w:r>
      <w:r>
        <w:rPr>
          <w:color w:val="ABABAB"/>
          <w:w w:val="90"/>
          <w:sz w:val="2"/>
        </w:rPr>
        <w:t>www.proxyvote.com.D93599-P83194VAREX</w:t>
      </w:r>
      <w:r>
        <w:rPr>
          <w:color w:val="ABABAB"/>
          <w:spacing w:val="1"/>
          <w:sz w:val="2"/>
        </w:rPr>
        <w:t> </w:t>
      </w:r>
      <w:r>
        <w:rPr>
          <w:color w:val="ABABAB"/>
          <w:w w:val="90"/>
          <w:sz w:val="2"/>
        </w:rPr>
        <w:t>IMAGING</w:t>
      </w:r>
      <w:r>
        <w:rPr>
          <w:color w:val="ABABAB"/>
          <w:spacing w:val="1"/>
          <w:sz w:val="2"/>
        </w:rPr>
        <w:t> </w:t>
      </w:r>
      <w:r>
        <w:rPr>
          <w:color w:val="ABABAB"/>
          <w:w w:val="90"/>
          <w:sz w:val="2"/>
        </w:rPr>
        <w:t>CORPORATION2023</w:t>
      </w:r>
      <w:r>
        <w:rPr>
          <w:color w:val="ABABAB"/>
          <w:sz w:val="2"/>
        </w:rPr>
        <w:t> </w:t>
      </w:r>
      <w:r>
        <w:rPr>
          <w:color w:val="ABABAB"/>
          <w:w w:val="90"/>
          <w:sz w:val="2"/>
        </w:rPr>
        <w:t>Annual</w:t>
      </w:r>
      <w:r>
        <w:rPr>
          <w:color w:val="ABABAB"/>
          <w:spacing w:val="1"/>
          <w:sz w:val="2"/>
        </w:rPr>
        <w:t> </w:t>
      </w:r>
      <w:r>
        <w:rPr>
          <w:color w:val="ABABAB"/>
          <w:w w:val="90"/>
          <w:sz w:val="2"/>
        </w:rPr>
        <w:t>Meeting</w:t>
      </w:r>
      <w:r>
        <w:rPr>
          <w:color w:val="ABABAB"/>
          <w:spacing w:val="1"/>
          <w:sz w:val="2"/>
        </w:rPr>
        <w:t> </w:t>
      </w:r>
      <w:r>
        <w:rPr>
          <w:color w:val="ABABAB"/>
          <w:w w:val="90"/>
          <w:sz w:val="2"/>
        </w:rPr>
        <w:t>of</w:t>
      </w:r>
      <w:r>
        <w:rPr>
          <w:color w:val="ABABAB"/>
          <w:spacing w:val="1"/>
          <w:sz w:val="2"/>
        </w:rPr>
        <w:t> </w:t>
      </w:r>
      <w:r>
        <w:rPr>
          <w:color w:val="ABABAB"/>
          <w:w w:val="90"/>
          <w:sz w:val="2"/>
        </w:rPr>
        <w:t>StockholdersFebruary</w:t>
      </w:r>
      <w:r>
        <w:rPr>
          <w:color w:val="ABABAB"/>
          <w:spacing w:val="1"/>
          <w:sz w:val="2"/>
        </w:rPr>
        <w:t> </w:t>
      </w:r>
      <w:r>
        <w:rPr>
          <w:color w:val="ABABAB"/>
          <w:w w:val="90"/>
          <w:sz w:val="2"/>
        </w:rPr>
        <w:t>9,</w:t>
      </w:r>
      <w:r>
        <w:rPr>
          <w:color w:val="ABABAB"/>
          <w:spacing w:val="1"/>
          <w:sz w:val="2"/>
        </w:rPr>
        <w:t> </w:t>
      </w:r>
      <w:r>
        <w:rPr>
          <w:color w:val="ABABAB"/>
          <w:w w:val="90"/>
          <w:sz w:val="2"/>
        </w:rPr>
        <w:t>2023</w:t>
      </w:r>
      <w:r>
        <w:rPr>
          <w:color w:val="ABABAB"/>
          <w:spacing w:val="1"/>
          <w:sz w:val="2"/>
        </w:rPr>
        <w:t> </w:t>
      </w:r>
      <w:r>
        <w:rPr>
          <w:color w:val="ABABAB"/>
          <w:w w:val="90"/>
          <w:sz w:val="2"/>
        </w:rPr>
        <w:t>5:30</w:t>
      </w:r>
      <w:r>
        <w:rPr>
          <w:color w:val="ABABAB"/>
          <w:spacing w:val="1"/>
          <w:sz w:val="2"/>
        </w:rPr>
        <w:t> </w:t>
      </w:r>
      <w:r>
        <w:rPr>
          <w:color w:val="ABABAB"/>
          <w:w w:val="90"/>
          <w:sz w:val="2"/>
        </w:rPr>
        <w:t>PM</w:t>
      </w:r>
      <w:r>
        <w:rPr>
          <w:color w:val="ABABAB"/>
          <w:spacing w:val="1"/>
          <w:sz w:val="2"/>
        </w:rPr>
        <w:t> </w:t>
      </w:r>
      <w:r>
        <w:rPr>
          <w:color w:val="ABABAB"/>
          <w:w w:val="90"/>
          <w:sz w:val="2"/>
        </w:rPr>
        <w:t>Mountain</w:t>
      </w:r>
      <w:r>
        <w:rPr>
          <w:color w:val="ABABAB"/>
          <w:spacing w:val="1"/>
          <w:sz w:val="2"/>
        </w:rPr>
        <w:t> </w:t>
      </w:r>
      <w:r>
        <w:rPr>
          <w:color w:val="ABABAB"/>
          <w:w w:val="90"/>
          <w:sz w:val="2"/>
        </w:rPr>
        <w:t>TimeThis</w:t>
      </w:r>
      <w:r>
        <w:rPr>
          <w:color w:val="ABABAB"/>
          <w:spacing w:val="1"/>
          <w:sz w:val="2"/>
        </w:rPr>
        <w:t> </w:t>
      </w:r>
      <w:r>
        <w:rPr>
          <w:color w:val="ABABAB"/>
          <w:w w:val="90"/>
          <w:sz w:val="2"/>
        </w:rPr>
        <w:t>proxy</w:t>
      </w:r>
      <w:r>
        <w:rPr>
          <w:color w:val="ABABAB"/>
          <w:spacing w:val="1"/>
          <w:sz w:val="2"/>
        </w:rPr>
        <w:t> </w:t>
      </w:r>
      <w:r>
        <w:rPr>
          <w:color w:val="ABABAB"/>
          <w:w w:val="90"/>
          <w:sz w:val="2"/>
        </w:rPr>
        <w:t>is</w:t>
      </w:r>
      <w:r>
        <w:rPr>
          <w:color w:val="ABABAB"/>
          <w:spacing w:val="1"/>
          <w:sz w:val="2"/>
        </w:rPr>
        <w:t> </w:t>
      </w:r>
      <w:r>
        <w:rPr>
          <w:color w:val="ABABAB"/>
          <w:w w:val="90"/>
          <w:sz w:val="2"/>
        </w:rPr>
        <w:t>solicited</w:t>
      </w:r>
      <w:r>
        <w:rPr>
          <w:color w:val="ABABAB"/>
          <w:spacing w:val="1"/>
          <w:sz w:val="2"/>
        </w:rPr>
        <w:t> </w:t>
      </w:r>
      <w:r>
        <w:rPr>
          <w:color w:val="ABABAB"/>
          <w:w w:val="90"/>
          <w:sz w:val="2"/>
        </w:rPr>
        <w:t>by</w:t>
      </w:r>
      <w:r>
        <w:rPr>
          <w:color w:val="ABABAB"/>
          <w:spacing w:val="1"/>
          <w:sz w:val="2"/>
        </w:rPr>
        <w:t> </w:t>
      </w:r>
      <w:r>
        <w:rPr>
          <w:color w:val="ABABAB"/>
          <w:w w:val="90"/>
          <w:sz w:val="2"/>
        </w:rPr>
        <w:t>the</w:t>
      </w:r>
      <w:r>
        <w:rPr>
          <w:color w:val="ABABAB"/>
          <w:spacing w:val="1"/>
          <w:sz w:val="2"/>
        </w:rPr>
        <w:t> </w:t>
      </w:r>
      <w:r>
        <w:rPr>
          <w:color w:val="ABABAB"/>
          <w:w w:val="90"/>
          <w:sz w:val="2"/>
        </w:rPr>
        <w:t>Board</w:t>
      </w:r>
      <w:r>
        <w:rPr>
          <w:color w:val="ABABAB"/>
          <w:spacing w:val="1"/>
          <w:sz w:val="2"/>
        </w:rPr>
        <w:t> </w:t>
      </w:r>
      <w:r>
        <w:rPr>
          <w:color w:val="ABABAB"/>
          <w:w w:val="90"/>
          <w:sz w:val="2"/>
        </w:rPr>
        <w:t>of</w:t>
      </w:r>
      <w:r>
        <w:rPr>
          <w:color w:val="ABABAB"/>
          <w:spacing w:val="1"/>
          <w:sz w:val="2"/>
        </w:rPr>
        <w:t> </w:t>
      </w:r>
      <w:r>
        <w:rPr>
          <w:color w:val="ABABAB"/>
          <w:w w:val="90"/>
          <w:sz w:val="2"/>
        </w:rPr>
        <w:t>DirectorsThestockholder(s)</w:t>
      </w:r>
      <w:r>
        <w:rPr>
          <w:color w:val="ABABAB"/>
          <w:spacing w:val="1"/>
          <w:sz w:val="2"/>
        </w:rPr>
        <w:t> </w:t>
      </w:r>
      <w:r>
        <w:rPr>
          <w:color w:val="ABABAB"/>
          <w:w w:val="90"/>
          <w:sz w:val="2"/>
        </w:rPr>
        <w:t>hereby</w:t>
      </w:r>
      <w:r>
        <w:rPr>
          <w:color w:val="ABABAB"/>
          <w:spacing w:val="1"/>
          <w:sz w:val="2"/>
        </w:rPr>
        <w:t> </w:t>
      </w:r>
      <w:r>
        <w:rPr>
          <w:color w:val="ABABAB"/>
          <w:w w:val="90"/>
          <w:sz w:val="2"/>
        </w:rPr>
        <w:t>appoint(s)</w:t>
      </w:r>
      <w:r>
        <w:rPr>
          <w:color w:val="ABABAB"/>
          <w:spacing w:val="1"/>
          <w:sz w:val="2"/>
        </w:rPr>
        <w:t> </w:t>
      </w:r>
      <w:r>
        <w:rPr>
          <w:color w:val="ABABAB"/>
          <w:w w:val="90"/>
          <w:sz w:val="2"/>
        </w:rPr>
        <w:t>Sunny</w:t>
      </w:r>
      <w:r>
        <w:rPr>
          <w:color w:val="ABABAB"/>
          <w:spacing w:val="1"/>
          <w:sz w:val="2"/>
        </w:rPr>
        <w:t> </w:t>
      </w:r>
      <w:r>
        <w:rPr>
          <w:color w:val="ABABAB"/>
          <w:w w:val="90"/>
          <w:sz w:val="2"/>
        </w:rPr>
        <w:t>S.</w:t>
      </w:r>
      <w:r>
        <w:rPr>
          <w:color w:val="ABABAB"/>
          <w:spacing w:val="1"/>
          <w:sz w:val="2"/>
        </w:rPr>
        <w:t> </w:t>
      </w:r>
      <w:r>
        <w:rPr>
          <w:color w:val="ABABAB"/>
          <w:w w:val="90"/>
          <w:sz w:val="2"/>
        </w:rPr>
        <w:t>Sanyal</w:t>
      </w:r>
      <w:r>
        <w:rPr>
          <w:color w:val="ABABAB"/>
          <w:spacing w:val="1"/>
          <w:sz w:val="2"/>
        </w:rPr>
        <w:t> </w:t>
      </w:r>
      <w:r>
        <w:rPr>
          <w:color w:val="ABABAB"/>
          <w:w w:val="90"/>
          <w:sz w:val="2"/>
        </w:rPr>
        <w:t>and</w:t>
      </w:r>
      <w:r>
        <w:rPr>
          <w:color w:val="ABABAB"/>
          <w:sz w:val="2"/>
        </w:rPr>
        <w:t> </w:t>
      </w:r>
      <w:r>
        <w:rPr>
          <w:color w:val="ABABAB"/>
          <w:w w:val="90"/>
          <w:sz w:val="2"/>
        </w:rPr>
        <w:t>Kimberley</w:t>
      </w:r>
      <w:r>
        <w:rPr>
          <w:color w:val="ABABAB"/>
          <w:spacing w:val="1"/>
          <w:sz w:val="2"/>
        </w:rPr>
        <w:t> </w:t>
      </w:r>
      <w:r>
        <w:rPr>
          <w:color w:val="ABABAB"/>
          <w:w w:val="90"/>
          <w:sz w:val="2"/>
        </w:rPr>
        <w:t>E.</w:t>
      </w:r>
      <w:r>
        <w:rPr>
          <w:color w:val="ABABAB"/>
          <w:spacing w:val="1"/>
          <w:sz w:val="2"/>
        </w:rPr>
        <w:t> </w:t>
      </w:r>
      <w:r>
        <w:rPr>
          <w:color w:val="ABABAB"/>
          <w:w w:val="90"/>
          <w:sz w:val="2"/>
        </w:rPr>
        <w:t>Honeysett,</w:t>
      </w:r>
      <w:r>
        <w:rPr>
          <w:color w:val="ABABAB"/>
          <w:spacing w:val="1"/>
          <w:sz w:val="2"/>
        </w:rPr>
        <w:t> </w:t>
      </w:r>
      <w:r>
        <w:rPr>
          <w:color w:val="ABABAB"/>
          <w:w w:val="90"/>
          <w:sz w:val="2"/>
        </w:rPr>
        <w:t>or</w:t>
      </w:r>
      <w:r>
        <w:rPr>
          <w:color w:val="ABABAB"/>
          <w:spacing w:val="1"/>
          <w:sz w:val="2"/>
        </w:rPr>
        <w:t> </w:t>
      </w:r>
      <w:r>
        <w:rPr>
          <w:color w:val="ABABAB"/>
          <w:w w:val="90"/>
          <w:sz w:val="2"/>
        </w:rPr>
        <w:t>either</w:t>
      </w:r>
      <w:r>
        <w:rPr>
          <w:color w:val="ABABAB"/>
          <w:spacing w:val="1"/>
          <w:sz w:val="2"/>
        </w:rPr>
        <w:t> </w:t>
      </w:r>
      <w:r>
        <w:rPr>
          <w:color w:val="ABABAB"/>
          <w:w w:val="90"/>
          <w:sz w:val="2"/>
        </w:rPr>
        <w:t>of</w:t>
      </w:r>
      <w:r>
        <w:rPr>
          <w:color w:val="ABABAB"/>
          <w:spacing w:val="1"/>
          <w:sz w:val="2"/>
        </w:rPr>
        <w:t> </w:t>
      </w:r>
      <w:r>
        <w:rPr>
          <w:color w:val="ABABAB"/>
          <w:w w:val="90"/>
          <w:sz w:val="2"/>
        </w:rPr>
        <w:t>them,</w:t>
      </w:r>
      <w:r>
        <w:rPr>
          <w:color w:val="ABABAB"/>
          <w:spacing w:val="1"/>
          <w:sz w:val="2"/>
        </w:rPr>
        <w:t> </w:t>
      </w:r>
      <w:r>
        <w:rPr>
          <w:color w:val="ABABAB"/>
          <w:w w:val="90"/>
          <w:sz w:val="2"/>
        </w:rPr>
        <w:t>as</w:t>
      </w:r>
      <w:r>
        <w:rPr>
          <w:color w:val="ABABAB"/>
          <w:spacing w:val="1"/>
          <w:sz w:val="2"/>
        </w:rPr>
        <w:t> </w:t>
      </w:r>
      <w:r>
        <w:rPr>
          <w:color w:val="ABABAB"/>
          <w:w w:val="90"/>
          <w:sz w:val="2"/>
        </w:rPr>
        <w:t>proxies,</w:t>
      </w:r>
      <w:r>
        <w:rPr>
          <w:color w:val="ABABAB"/>
          <w:spacing w:val="1"/>
          <w:sz w:val="2"/>
        </w:rPr>
        <w:t> </w:t>
      </w:r>
      <w:r>
        <w:rPr>
          <w:color w:val="ABABAB"/>
          <w:w w:val="90"/>
          <w:sz w:val="2"/>
        </w:rPr>
        <w:t>each</w:t>
      </w:r>
      <w:r>
        <w:rPr>
          <w:color w:val="ABABAB"/>
          <w:spacing w:val="1"/>
          <w:sz w:val="2"/>
        </w:rPr>
        <w:t> </w:t>
      </w:r>
      <w:r>
        <w:rPr>
          <w:color w:val="ABABAB"/>
          <w:w w:val="90"/>
          <w:sz w:val="2"/>
        </w:rPr>
        <w:t>with</w:t>
      </w:r>
      <w:r>
        <w:rPr>
          <w:color w:val="ABABAB"/>
          <w:spacing w:val="1"/>
          <w:sz w:val="2"/>
        </w:rPr>
        <w:t> </w:t>
      </w:r>
      <w:r>
        <w:rPr>
          <w:color w:val="ABABAB"/>
          <w:w w:val="90"/>
          <w:sz w:val="2"/>
        </w:rPr>
        <w:t>the</w:t>
      </w:r>
      <w:r>
        <w:rPr>
          <w:color w:val="ABABAB"/>
          <w:spacing w:val="1"/>
          <w:sz w:val="2"/>
        </w:rPr>
        <w:t> </w:t>
      </w:r>
      <w:r>
        <w:rPr>
          <w:color w:val="ABABAB"/>
          <w:w w:val="90"/>
          <w:sz w:val="2"/>
        </w:rPr>
        <w:t>power</w:t>
      </w:r>
      <w:r>
        <w:rPr>
          <w:color w:val="ABABAB"/>
          <w:spacing w:val="1"/>
          <w:sz w:val="2"/>
        </w:rPr>
        <w:t> </w:t>
      </w:r>
      <w:r>
        <w:rPr>
          <w:color w:val="ABABAB"/>
          <w:w w:val="90"/>
          <w:sz w:val="2"/>
        </w:rPr>
        <w:t>to</w:t>
      </w:r>
      <w:r>
        <w:rPr>
          <w:color w:val="ABABAB"/>
          <w:spacing w:val="1"/>
          <w:sz w:val="2"/>
        </w:rPr>
        <w:t> </w:t>
      </w:r>
      <w:r>
        <w:rPr>
          <w:color w:val="ABABAB"/>
          <w:w w:val="90"/>
          <w:sz w:val="2"/>
        </w:rPr>
        <w:t>appoint</w:t>
      </w:r>
      <w:r>
        <w:rPr>
          <w:color w:val="ABABAB"/>
          <w:spacing w:val="1"/>
          <w:sz w:val="2"/>
        </w:rPr>
        <w:t> </w:t>
      </w:r>
      <w:r>
        <w:rPr>
          <w:color w:val="ABABAB"/>
          <w:w w:val="90"/>
          <w:sz w:val="2"/>
        </w:rPr>
        <w:t>his</w:t>
      </w:r>
      <w:r>
        <w:rPr>
          <w:color w:val="ABABAB"/>
          <w:spacing w:val="1"/>
          <w:sz w:val="2"/>
        </w:rPr>
        <w:t> </w:t>
      </w:r>
      <w:r>
        <w:rPr>
          <w:color w:val="ABABAB"/>
          <w:w w:val="90"/>
          <w:sz w:val="2"/>
        </w:rPr>
        <w:t>or</w:t>
      </w:r>
      <w:r>
        <w:rPr>
          <w:color w:val="ABABAB"/>
          <w:spacing w:val="1"/>
          <w:sz w:val="2"/>
        </w:rPr>
        <w:t> </w:t>
      </w:r>
      <w:r>
        <w:rPr>
          <w:color w:val="ABABAB"/>
          <w:w w:val="90"/>
          <w:sz w:val="2"/>
        </w:rPr>
        <w:t>her</w:t>
      </w:r>
      <w:r>
        <w:rPr>
          <w:color w:val="ABABAB"/>
          <w:spacing w:val="1"/>
          <w:sz w:val="2"/>
        </w:rPr>
        <w:t> </w:t>
      </w:r>
      <w:r>
        <w:rPr>
          <w:color w:val="ABABAB"/>
          <w:w w:val="90"/>
          <w:sz w:val="2"/>
        </w:rPr>
        <w:t>substitute,</w:t>
      </w:r>
      <w:r>
        <w:rPr>
          <w:color w:val="ABABAB"/>
          <w:spacing w:val="1"/>
          <w:sz w:val="2"/>
        </w:rPr>
        <w:t> </w:t>
      </w:r>
      <w:r>
        <w:rPr>
          <w:color w:val="ABABAB"/>
          <w:w w:val="90"/>
          <w:sz w:val="2"/>
        </w:rPr>
        <w:t>and</w:t>
      </w:r>
      <w:r>
        <w:rPr>
          <w:color w:val="ABABAB"/>
          <w:spacing w:val="1"/>
          <w:sz w:val="2"/>
        </w:rPr>
        <w:t> </w:t>
      </w:r>
      <w:r>
        <w:rPr>
          <w:color w:val="ABABAB"/>
          <w:w w:val="90"/>
          <w:sz w:val="2"/>
        </w:rPr>
        <w:t>hereby</w:t>
      </w:r>
      <w:r>
        <w:rPr>
          <w:color w:val="ABABAB"/>
          <w:spacing w:val="1"/>
          <w:sz w:val="2"/>
        </w:rPr>
        <w:t> </w:t>
      </w:r>
      <w:r>
        <w:rPr>
          <w:color w:val="ABABAB"/>
          <w:w w:val="90"/>
          <w:sz w:val="2"/>
        </w:rPr>
        <w:t>authorize(s)</w:t>
      </w:r>
      <w:r>
        <w:rPr>
          <w:color w:val="ABABAB"/>
          <w:spacing w:val="1"/>
          <w:sz w:val="2"/>
        </w:rPr>
        <w:t> </w:t>
      </w:r>
      <w:r>
        <w:rPr>
          <w:color w:val="ABABAB"/>
          <w:w w:val="90"/>
          <w:sz w:val="2"/>
        </w:rPr>
        <w:t>them</w:t>
      </w:r>
      <w:r>
        <w:rPr>
          <w:color w:val="ABABAB"/>
          <w:spacing w:val="1"/>
          <w:sz w:val="2"/>
        </w:rPr>
        <w:t> </w:t>
      </w:r>
      <w:r>
        <w:rPr>
          <w:color w:val="ABABAB"/>
          <w:w w:val="90"/>
          <w:sz w:val="2"/>
        </w:rPr>
        <w:t>to</w:t>
      </w:r>
      <w:r>
        <w:rPr>
          <w:color w:val="ABABAB"/>
          <w:spacing w:val="1"/>
          <w:sz w:val="2"/>
        </w:rPr>
        <w:t> </w:t>
      </w:r>
      <w:r>
        <w:rPr>
          <w:color w:val="ABABAB"/>
          <w:w w:val="90"/>
          <w:sz w:val="2"/>
        </w:rPr>
        <w:t>represent</w:t>
      </w:r>
      <w:r>
        <w:rPr>
          <w:color w:val="ABABAB"/>
          <w:spacing w:val="1"/>
          <w:sz w:val="2"/>
        </w:rPr>
        <w:t> </w:t>
      </w:r>
      <w:r>
        <w:rPr>
          <w:color w:val="ABABAB"/>
          <w:w w:val="90"/>
          <w:sz w:val="2"/>
        </w:rPr>
        <w:t>and</w:t>
      </w:r>
      <w:r>
        <w:rPr>
          <w:color w:val="ABABAB"/>
          <w:spacing w:val="1"/>
          <w:sz w:val="2"/>
        </w:rPr>
        <w:t> </w:t>
      </w:r>
      <w:r>
        <w:rPr>
          <w:color w:val="ABABAB"/>
          <w:w w:val="90"/>
          <w:sz w:val="2"/>
        </w:rPr>
        <w:t>to</w:t>
      </w:r>
      <w:r>
        <w:rPr>
          <w:color w:val="ABABAB"/>
          <w:spacing w:val="1"/>
          <w:sz w:val="2"/>
        </w:rPr>
        <w:t> </w:t>
      </w:r>
      <w:r>
        <w:rPr>
          <w:color w:val="ABABAB"/>
          <w:w w:val="90"/>
          <w:sz w:val="2"/>
        </w:rPr>
        <w:t>vote,</w:t>
      </w:r>
      <w:r>
        <w:rPr>
          <w:color w:val="ABABAB"/>
          <w:spacing w:val="1"/>
          <w:sz w:val="2"/>
        </w:rPr>
        <w:t> </w:t>
      </w:r>
      <w:r>
        <w:rPr>
          <w:color w:val="ABABAB"/>
          <w:w w:val="90"/>
          <w:sz w:val="2"/>
        </w:rPr>
        <w:t>as</w:t>
      </w:r>
      <w:r>
        <w:rPr>
          <w:color w:val="ABABAB"/>
          <w:spacing w:val="1"/>
          <w:sz w:val="2"/>
        </w:rPr>
        <w:t> </w:t>
      </w:r>
      <w:r>
        <w:rPr>
          <w:color w:val="ABABAB"/>
          <w:w w:val="90"/>
          <w:sz w:val="2"/>
        </w:rPr>
        <w:t>designated</w:t>
      </w:r>
      <w:r>
        <w:rPr>
          <w:color w:val="ABABAB"/>
          <w:spacing w:val="1"/>
          <w:sz w:val="2"/>
        </w:rPr>
        <w:t> </w:t>
      </w:r>
      <w:r>
        <w:rPr>
          <w:color w:val="ABABAB"/>
          <w:w w:val="90"/>
          <w:sz w:val="2"/>
        </w:rPr>
        <w:t>on</w:t>
      </w:r>
      <w:r>
        <w:rPr>
          <w:color w:val="ABABAB"/>
          <w:spacing w:val="1"/>
          <w:sz w:val="2"/>
        </w:rPr>
        <w:t> </w:t>
      </w:r>
      <w:r>
        <w:rPr>
          <w:color w:val="ABABAB"/>
          <w:w w:val="90"/>
          <w:sz w:val="2"/>
        </w:rPr>
        <w:t>the</w:t>
      </w:r>
      <w:r>
        <w:rPr>
          <w:color w:val="ABABAB"/>
          <w:spacing w:val="1"/>
          <w:sz w:val="2"/>
        </w:rPr>
        <w:t> </w:t>
      </w:r>
      <w:r>
        <w:rPr>
          <w:color w:val="ABABAB"/>
          <w:w w:val="90"/>
          <w:sz w:val="2"/>
        </w:rPr>
        <w:t>reverse</w:t>
      </w:r>
      <w:r>
        <w:rPr>
          <w:color w:val="ABABAB"/>
          <w:spacing w:val="1"/>
          <w:sz w:val="2"/>
        </w:rPr>
        <w:t> </w:t>
      </w:r>
      <w:r>
        <w:rPr>
          <w:color w:val="ABABAB"/>
          <w:w w:val="90"/>
          <w:sz w:val="2"/>
        </w:rPr>
        <w:t>side</w:t>
      </w:r>
      <w:r>
        <w:rPr>
          <w:color w:val="ABABAB"/>
          <w:spacing w:val="1"/>
          <w:sz w:val="2"/>
        </w:rPr>
        <w:t> </w:t>
      </w:r>
      <w:r>
        <w:rPr>
          <w:color w:val="ABABAB"/>
          <w:w w:val="90"/>
          <w:sz w:val="2"/>
        </w:rPr>
        <w:t>of</w:t>
      </w:r>
      <w:r>
        <w:rPr>
          <w:color w:val="ABABAB"/>
          <w:spacing w:val="1"/>
          <w:sz w:val="2"/>
        </w:rPr>
        <w:t> </w:t>
      </w:r>
      <w:r>
        <w:rPr>
          <w:color w:val="ABABAB"/>
          <w:w w:val="90"/>
          <w:sz w:val="2"/>
        </w:rPr>
        <w:t>this</w:t>
      </w:r>
      <w:r>
        <w:rPr>
          <w:color w:val="ABABAB"/>
          <w:spacing w:val="1"/>
          <w:sz w:val="2"/>
        </w:rPr>
        <w:t> </w:t>
      </w:r>
      <w:r>
        <w:rPr>
          <w:color w:val="ABABAB"/>
          <w:w w:val="90"/>
          <w:sz w:val="2"/>
        </w:rPr>
        <w:t>ballot,</w:t>
      </w:r>
      <w:r>
        <w:rPr>
          <w:color w:val="ABABAB"/>
          <w:spacing w:val="1"/>
          <w:sz w:val="2"/>
        </w:rPr>
        <w:t> </w:t>
      </w:r>
      <w:r>
        <w:rPr>
          <w:color w:val="ABABAB"/>
          <w:w w:val="90"/>
          <w:sz w:val="2"/>
        </w:rPr>
        <w:t>all</w:t>
      </w:r>
      <w:r>
        <w:rPr>
          <w:color w:val="ABABAB"/>
          <w:spacing w:val="1"/>
          <w:sz w:val="2"/>
        </w:rPr>
        <w:t> </w:t>
      </w:r>
      <w:r>
        <w:rPr>
          <w:color w:val="ABABAB"/>
          <w:w w:val="90"/>
          <w:sz w:val="2"/>
        </w:rPr>
        <w:t>of</w:t>
      </w:r>
      <w:r>
        <w:rPr>
          <w:color w:val="ABABAB"/>
          <w:spacing w:val="1"/>
          <w:sz w:val="2"/>
        </w:rPr>
        <w:t> </w:t>
      </w:r>
      <w:r>
        <w:rPr>
          <w:color w:val="ABABAB"/>
          <w:w w:val="90"/>
          <w:sz w:val="2"/>
        </w:rPr>
        <w:t>the</w:t>
      </w:r>
      <w:r>
        <w:rPr>
          <w:color w:val="ABABAB"/>
          <w:spacing w:val="1"/>
          <w:sz w:val="2"/>
        </w:rPr>
        <w:t> </w:t>
      </w:r>
      <w:r>
        <w:rPr>
          <w:color w:val="ABABAB"/>
          <w:w w:val="90"/>
          <w:sz w:val="2"/>
        </w:rPr>
        <w:t>shares</w:t>
      </w:r>
      <w:r>
        <w:rPr>
          <w:color w:val="ABABAB"/>
          <w:spacing w:val="1"/>
          <w:sz w:val="2"/>
        </w:rPr>
        <w:t> </w:t>
      </w:r>
      <w:r>
        <w:rPr>
          <w:color w:val="ABABAB"/>
          <w:w w:val="90"/>
          <w:sz w:val="2"/>
        </w:rPr>
        <w:t>of</w:t>
      </w:r>
      <w:r>
        <w:rPr>
          <w:color w:val="ABABAB"/>
          <w:spacing w:val="1"/>
          <w:sz w:val="2"/>
        </w:rPr>
        <w:t> </w:t>
      </w:r>
      <w:r>
        <w:rPr>
          <w:color w:val="ABABAB"/>
          <w:w w:val="90"/>
          <w:sz w:val="2"/>
        </w:rPr>
        <w:t>Common</w:t>
      </w:r>
      <w:r>
        <w:rPr>
          <w:color w:val="ABABAB"/>
          <w:spacing w:val="1"/>
          <w:sz w:val="2"/>
        </w:rPr>
        <w:t> </w:t>
      </w:r>
      <w:r>
        <w:rPr>
          <w:color w:val="ABABAB"/>
          <w:w w:val="90"/>
          <w:sz w:val="2"/>
        </w:rPr>
        <w:t>Stock</w:t>
      </w:r>
      <w:r>
        <w:rPr>
          <w:color w:val="ABABAB"/>
          <w:spacing w:val="1"/>
          <w:sz w:val="2"/>
        </w:rPr>
        <w:t> </w:t>
      </w:r>
      <w:r>
        <w:rPr>
          <w:color w:val="ABABAB"/>
          <w:w w:val="90"/>
          <w:sz w:val="2"/>
        </w:rPr>
        <w:t>of</w:t>
      </w:r>
      <w:r>
        <w:rPr>
          <w:color w:val="ABABAB"/>
          <w:spacing w:val="1"/>
          <w:sz w:val="2"/>
        </w:rPr>
        <w:t> </w:t>
      </w:r>
      <w:r>
        <w:rPr>
          <w:color w:val="ABABAB"/>
          <w:w w:val="90"/>
          <w:sz w:val="2"/>
        </w:rPr>
        <w:t>VAREX</w:t>
      </w:r>
      <w:r>
        <w:rPr>
          <w:color w:val="ABABAB"/>
          <w:spacing w:val="1"/>
          <w:sz w:val="2"/>
        </w:rPr>
        <w:t> </w:t>
      </w:r>
      <w:r>
        <w:rPr>
          <w:color w:val="ABABAB"/>
          <w:w w:val="90"/>
          <w:sz w:val="2"/>
        </w:rPr>
        <w:t>IMAGING</w:t>
      </w:r>
      <w:r>
        <w:rPr>
          <w:color w:val="ABABAB"/>
          <w:spacing w:val="1"/>
          <w:sz w:val="2"/>
        </w:rPr>
        <w:t> </w:t>
      </w:r>
      <w:r>
        <w:rPr>
          <w:color w:val="ABABAB"/>
          <w:w w:val="90"/>
          <w:sz w:val="2"/>
        </w:rPr>
        <w:t>CORPORATION</w:t>
      </w:r>
      <w:r>
        <w:rPr>
          <w:color w:val="ABABAB"/>
          <w:spacing w:val="1"/>
          <w:sz w:val="2"/>
        </w:rPr>
        <w:t> </w:t>
      </w:r>
      <w:r>
        <w:rPr>
          <w:color w:val="ABABAB"/>
          <w:w w:val="90"/>
          <w:sz w:val="2"/>
        </w:rPr>
        <w:t>that</w:t>
      </w:r>
      <w:r>
        <w:rPr>
          <w:color w:val="ABABAB"/>
          <w:spacing w:val="1"/>
          <w:sz w:val="2"/>
        </w:rPr>
        <w:t> </w:t>
      </w:r>
      <w:r>
        <w:rPr>
          <w:color w:val="ABABAB"/>
          <w:w w:val="90"/>
          <w:sz w:val="2"/>
        </w:rPr>
        <w:t>the</w:t>
      </w:r>
      <w:r>
        <w:rPr>
          <w:color w:val="ABABAB"/>
          <w:spacing w:val="1"/>
          <w:sz w:val="2"/>
        </w:rPr>
        <w:t> </w:t>
      </w:r>
      <w:r>
        <w:rPr>
          <w:color w:val="ABABAB"/>
          <w:w w:val="90"/>
          <w:sz w:val="2"/>
        </w:rPr>
        <w:t>stockholder(s)</w:t>
      </w:r>
      <w:r>
        <w:rPr>
          <w:color w:val="ABABAB"/>
          <w:spacing w:val="1"/>
          <w:sz w:val="2"/>
        </w:rPr>
        <w:t> </w:t>
      </w:r>
      <w:r>
        <w:rPr>
          <w:color w:val="ABABAB"/>
          <w:w w:val="90"/>
          <w:sz w:val="2"/>
        </w:rPr>
        <w:t>is/are</w:t>
      </w:r>
      <w:r>
        <w:rPr>
          <w:color w:val="ABABAB"/>
          <w:spacing w:val="1"/>
          <w:sz w:val="2"/>
        </w:rPr>
        <w:t> </w:t>
      </w:r>
      <w:r>
        <w:rPr>
          <w:color w:val="ABABAB"/>
          <w:w w:val="90"/>
          <w:sz w:val="2"/>
        </w:rPr>
        <w:t>entitled</w:t>
      </w:r>
      <w:r>
        <w:rPr>
          <w:color w:val="ABABAB"/>
          <w:spacing w:val="1"/>
          <w:sz w:val="2"/>
        </w:rPr>
        <w:t> </w:t>
      </w:r>
      <w:r>
        <w:rPr>
          <w:color w:val="ABABAB"/>
          <w:w w:val="90"/>
          <w:sz w:val="2"/>
        </w:rPr>
        <w:t>to</w:t>
      </w:r>
      <w:r>
        <w:rPr>
          <w:color w:val="ABABAB"/>
          <w:spacing w:val="1"/>
          <w:sz w:val="2"/>
        </w:rPr>
        <w:t> </w:t>
      </w:r>
      <w:r>
        <w:rPr>
          <w:color w:val="ABABAB"/>
          <w:w w:val="90"/>
          <w:sz w:val="2"/>
        </w:rPr>
        <w:t>vote</w:t>
      </w:r>
      <w:r>
        <w:rPr>
          <w:color w:val="ABABAB"/>
          <w:spacing w:val="1"/>
          <w:sz w:val="2"/>
        </w:rPr>
        <w:t> </w:t>
      </w:r>
      <w:r>
        <w:rPr>
          <w:color w:val="ABABAB"/>
          <w:w w:val="90"/>
          <w:sz w:val="2"/>
        </w:rPr>
        <w:t>at</w:t>
      </w:r>
      <w:r>
        <w:rPr>
          <w:color w:val="ABABAB"/>
          <w:spacing w:val="1"/>
          <w:sz w:val="2"/>
        </w:rPr>
        <w:t> </w:t>
      </w:r>
      <w:r>
        <w:rPr>
          <w:color w:val="ABABAB"/>
          <w:w w:val="90"/>
          <w:sz w:val="2"/>
        </w:rPr>
        <w:t>the</w:t>
      </w:r>
      <w:r>
        <w:rPr>
          <w:color w:val="ABABAB"/>
          <w:spacing w:val="1"/>
          <w:sz w:val="2"/>
        </w:rPr>
        <w:t> </w:t>
      </w:r>
      <w:r>
        <w:rPr>
          <w:color w:val="ABABAB"/>
          <w:w w:val="90"/>
          <w:sz w:val="2"/>
        </w:rPr>
        <w:t>2023</w:t>
      </w:r>
      <w:r>
        <w:rPr>
          <w:color w:val="ABABAB"/>
          <w:sz w:val="2"/>
        </w:rPr>
        <w:t> </w:t>
      </w:r>
      <w:r>
        <w:rPr>
          <w:color w:val="ABABAB"/>
          <w:w w:val="90"/>
          <w:sz w:val="2"/>
        </w:rPr>
        <w:t>Annual</w:t>
      </w:r>
      <w:r>
        <w:rPr>
          <w:color w:val="ABABAB"/>
          <w:spacing w:val="1"/>
          <w:sz w:val="2"/>
        </w:rPr>
        <w:t> </w:t>
      </w:r>
      <w:r>
        <w:rPr>
          <w:color w:val="ABABAB"/>
          <w:w w:val="90"/>
          <w:sz w:val="2"/>
        </w:rPr>
        <w:t>Meeting</w:t>
      </w:r>
      <w:r>
        <w:rPr>
          <w:color w:val="ABABAB"/>
          <w:spacing w:val="1"/>
          <w:sz w:val="2"/>
        </w:rPr>
        <w:t> </w:t>
      </w:r>
      <w:r>
        <w:rPr>
          <w:color w:val="ABABAB"/>
          <w:w w:val="90"/>
          <w:sz w:val="2"/>
        </w:rPr>
        <w:t>of</w:t>
      </w:r>
      <w:r>
        <w:rPr>
          <w:color w:val="ABABAB"/>
          <w:spacing w:val="1"/>
          <w:sz w:val="2"/>
        </w:rPr>
        <w:t> </w:t>
      </w:r>
      <w:r>
        <w:rPr>
          <w:color w:val="ABABAB"/>
          <w:w w:val="90"/>
          <w:sz w:val="2"/>
        </w:rPr>
        <w:t>Stockholders</w:t>
      </w:r>
      <w:r>
        <w:rPr>
          <w:color w:val="ABABAB"/>
          <w:spacing w:val="1"/>
          <w:sz w:val="2"/>
        </w:rPr>
        <w:t> </w:t>
      </w:r>
      <w:r>
        <w:rPr>
          <w:color w:val="ABABAB"/>
          <w:w w:val="90"/>
          <w:sz w:val="2"/>
        </w:rPr>
        <w:t>to</w:t>
      </w:r>
      <w:r>
        <w:rPr>
          <w:color w:val="ABABAB"/>
          <w:spacing w:val="1"/>
          <w:sz w:val="2"/>
        </w:rPr>
        <w:t> </w:t>
      </w:r>
      <w:r>
        <w:rPr>
          <w:color w:val="ABABAB"/>
          <w:w w:val="90"/>
          <w:sz w:val="2"/>
        </w:rPr>
        <w:t>be</w:t>
      </w:r>
      <w:r>
        <w:rPr>
          <w:color w:val="ABABAB"/>
          <w:spacing w:val="1"/>
          <w:sz w:val="2"/>
        </w:rPr>
        <w:t> </w:t>
      </w:r>
      <w:r>
        <w:rPr>
          <w:color w:val="ABABAB"/>
          <w:w w:val="90"/>
          <w:sz w:val="2"/>
        </w:rPr>
        <w:t>held</w:t>
      </w:r>
      <w:r>
        <w:rPr>
          <w:color w:val="ABABAB"/>
          <w:spacing w:val="1"/>
          <w:sz w:val="2"/>
        </w:rPr>
        <w:t> </w:t>
      </w:r>
      <w:r>
        <w:rPr>
          <w:color w:val="ABABAB"/>
          <w:w w:val="90"/>
          <w:sz w:val="2"/>
        </w:rPr>
        <w:t>at</w:t>
      </w:r>
      <w:r>
        <w:rPr>
          <w:color w:val="ABABAB"/>
          <w:spacing w:val="1"/>
          <w:sz w:val="2"/>
        </w:rPr>
        <w:t> </w:t>
      </w:r>
      <w:r>
        <w:rPr>
          <w:color w:val="ABABAB"/>
          <w:w w:val="90"/>
          <w:sz w:val="2"/>
        </w:rPr>
        <w:t>5:30</w:t>
      </w:r>
      <w:r>
        <w:rPr>
          <w:color w:val="ABABAB"/>
          <w:spacing w:val="1"/>
          <w:sz w:val="2"/>
        </w:rPr>
        <w:t> </w:t>
      </w:r>
      <w:r>
        <w:rPr>
          <w:color w:val="ABABAB"/>
          <w:w w:val="90"/>
          <w:sz w:val="2"/>
        </w:rPr>
        <w:t>PM,</w:t>
      </w:r>
      <w:r>
        <w:rPr>
          <w:color w:val="ABABAB"/>
          <w:spacing w:val="1"/>
          <w:sz w:val="2"/>
        </w:rPr>
        <w:t> </w:t>
      </w:r>
      <w:r>
        <w:rPr>
          <w:color w:val="ABABAB"/>
          <w:w w:val="90"/>
          <w:sz w:val="2"/>
        </w:rPr>
        <w:t>Mountain</w:t>
      </w:r>
      <w:r>
        <w:rPr>
          <w:color w:val="ABABAB"/>
          <w:spacing w:val="1"/>
          <w:sz w:val="2"/>
        </w:rPr>
        <w:t> </w:t>
      </w:r>
      <w:r>
        <w:rPr>
          <w:color w:val="ABABAB"/>
          <w:w w:val="90"/>
          <w:sz w:val="2"/>
        </w:rPr>
        <w:t>Time</w:t>
      </w:r>
      <w:r>
        <w:rPr>
          <w:color w:val="ABABAB"/>
          <w:spacing w:val="1"/>
          <w:sz w:val="2"/>
        </w:rPr>
        <w:t> </w:t>
      </w:r>
      <w:r>
        <w:rPr>
          <w:color w:val="ABABAB"/>
          <w:w w:val="90"/>
          <w:sz w:val="2"/>
        </w:rPr>
        <w:t>on</w:t>
      </w:r>
      <w:r>
        <w:rPr>
          <w:color w:val="ABABAB"/>
          <w:spacing w:val="1"/>
          <w:sz w:val="2"/>
        </w:rPr>
        <w:t> </w:t>
      </w:r>
      <w:r>
        <w:rPr>
          <w:color w:val="ABABAB"/>
          <w:w w:val="90"/>
          <w:sz w:val="2"/>
        </w:rPr>
        <w:t>February</w:t>
      </w:r>
      <w:r>
        <w:rPr>
          <w:color w:val="ABABAB"/>
          <w:spacing w:val="1"/>
          <w:sz w:val="2"/>
        </w:rPr>
        <w:t> </w:t>
      </w:r>
      <w:r>
        <w:rPr>
          <w:color w:val="ABABAB"/>
          <w:w w:val="90"/>
          <w:sz w:val="2"/>
        </w:rPr>
        <w:t>9,</w:t>
      </w:r>
      <w:r>
        <w:rPr>
          <w:color w:val="ABABAB"/>
          <w:spacing w:val="1"/>
          <w:sz w:val="2"/>
        </w:rPr>
        <w:t> </w:t>
      </w:r>
      <w:r>
        <w:rPr>
          <w:color w:val="ABABAB"/>
          <w:w w:val="90"/>
          <w:sz w:val="2"/>
        </w:rPr>
        <w:t>2023,</w:t>
      </w:r>
      <w:r>
        <w:rPr>
          <w:color w:val="ABABAB"/>
          <w:spacing w:val="1"/>
          <w:sz w:val="2"/>
        </w:rPr>
        <w:t> </w:t>
      </w:r>
      <w:r>
        <w:rPr>
          <w:color w:val="ABABAB"/>
          <w:w w:val="90"/>
          <w:sz w:val="2"/>
        </w:rPr>
        <w:t>and</w:t>
      </w:r>
      <w:r>
        <w:rPr>
          <w:color w:val="ABABAB"/>
          <w:spacing w:val="1"/>
          <w:sz w:val="2"/>
        </w:rPr>
        <w:t> </w:t>
      </w:r>
      <w:r>
        <w:rPr>
          <w:color w:val="ABABAB"/>
          <w:w w:val="90"/>
          <w:sz w:val="2"/>
        </w:rPr>
        <w:t>any</w:t>
      </w:r>
      <w:r>
        <w:rPr>
          <w:color w:val="ABABAB"/>
          <w:spacing w:val="1"/>
          <w:sz w:val="2"/>
        </w:rPr>
        <w:t> </w:t>
      </w:r>
      <w:r>
        <w:rPr>
          <w:color w:val="ABABAB"/>
          <w:w w:val="90"/>
          <w:sz w:val="2"/>
        </w:rPr>
        <w:t>adjournment</w:t>
      </w:r>
      <w:r>
        <w:rPr>
          <w:color w:val="ABABAB"/>
          <w:spacing w:val="1"/>
          <w:sz w:val="2"/>
        </w:rPr>
        <w:t> </w:t>
      </w:r>
      <w:r>
        <w:rPr>
          <w:color w:val="ABABAB"/>
          <w:w w:val="90"/>
          <w:sz w:val="2"/>
        </w:rPr>
        <w:t>or</w:t>
      </w:r>
      <w:r>
        <w:rPr>
          <w:color w:val="ABABAB"/>
          <w:spacing w:val="1"/>
          <w:sz w:val="2"/>
        </w:rPr>
        <w:t> </w:t>
      </w:r>
      <w:r>
        <w:rPr>
          <w:color w:val="ABABAB"/>
          <w:w w:val="90"/>
          <w:sz w:val="2"/>
        </w:rPr>
        <w:t>postponement</w:t>
      </w:r>
      <w:r>
        <w:rPr>
          <w:color w:val="ABABAB"/>
          <w:spacing w:val="1"/>
          <w:sz w:val="2"/>
        </w:rPr>
        <w:t> </w:t>
      </w:r>
      <w:r>
        <w:rPr>
          <w:color w:val="ABABAB"/>
          <w:w w:val="90"/>
          <w:sz w:val="2"/>
        </w:rPr>
        <w:t>thereof.</w:t>
      </w:r>
      <w:r>
        <w:rPr>
          <w:color w:val="ABABAB"/>
          <w:spacing w:val="1"/>
          <w:sz w:val="2"/>
        </w:rPr>
        <w:t> </w:t>
      </w:r>
      <w:r>
        <w:rPr>
          <w:color w:val="ABABAB"/>
          <w:w w:val="90"/>
          <w:sz w:val="2"/>
        </w:rPr>
        <w:t>This</w:t>
      </w:r>
      <w:r>
        <w:rPr>
          <w:color w:val="ABABAB"/>
          <w:spacing w:val="1"/>
          <w:sz w:val="2"/>
        </w:rPr>
        <w:t> </w:t>
      </w:r>
      <w:r>
        <w:rPr>
          <w:color w:val="ABABAB"/>
          <w:w w:val="90"/>
          <w:sz w:val="2"/>
        </w:rPr>
        <w:t>2023</w:t>
      </w:r>
      <w:r>
        <w:rPr>
          <w:color w:val="ABABAB"/>
          <w:sz w:val="2"/>
        </w:rPr>
        <w:t> </w:t>
      </w:r>
      <w:r>
        <w:rPr>
          <w:color w:val="ABABAB"/>
          <w:w w:val="90"/>
          <w:sz w:val="2"/>
        </w:rPr>
        <w:t>Annual</w:t>
      </w:r>
      <w:r>
        <w:rPr>
          <w:color w:val="ABABAB"/>
          <w:spacing w:val="1"/>
          <w:sz w:val="2"/>
        </w:rPr>
        <w:t> </w:t>
      </w:r>
      <w:r>
        <w:rPr>
          <w:color w:val="ABABAB"/>
          <w:w w:val="90"/>
          <w:sz w:val="2"/>
        </w:rPr>
        <w:t>Meeting</w:t>
      </w:r>
      <w:r>
        <w:rPr>
          <w:color w:val="ABABAB"/>
          <w:spacing w:val="1"/>
          <w:sz w:val="2"/>
        </w:rPr>
        <w:t> </w:t>
      </w:r>
      <w:r>
        <w:rPr>
          <w:color w:val="ABABAB"/>
          <w:w w:val="90"/>
          <w:sz w:val="2"/>
        </w:rPr>
        <w:t>of</w:t>
      </w:r>
      <w:r>
        <w:rPr>
          <w:color w:val="ABABAB"/>
          <w:spacing w:val="1"/>
          <w:sz w:val="2"/>
        </w:rPr>
        <w:t> </w:t>
      </w:r>
      <w:r>
        <w:rPr>
          <w:color w:val="ABABAB"/>
          <w:w w:val="90"/>
          <w:sz w:val="2"/>
        </w:rPr>
        <w:t>Stockholders</w:t>
      </w:r>
      <w:r>
        <w:rPr>
          <w:color w:val="ABABAB"/>
          <w:spacing w:val="1"/>
          <w:sz w:val="2"/>
        </w:rPr>
        <w:t> </w:t>
      </w:r>
      <w:r>
        <w:rPr>
          <w:color w:val="ABABAB"/>
          <w:w w:val="90"/>
          <w:sz w:val="2"/>
        </w:rPr>
        <w:t>will</w:t>
      </w:r>
      <w:r>
        <w:rPr>
          <w:color w:val="ABABAB"/>
          <w:spacing w:val="1"/>
          <w:sz w:val="2"/>
        </w:rPr>
        <w:t> </w:t>
      </w:r>
      <w:r>
        <w:rPr>
          <w:color w:val="ABABAB"/>
          <w:w w:val="90"/>
          <w:sz w:val="2"/>
        </w:rPr>
        <w:t>be</w:t>
      </w:r>
      <w:r>
        <w:rPr>
          <w:color w:val="ABABAB"/>
          <w:spacing w:val="1"/>
          <w:sz w:val="2"/>
        </w:rPr>
        <w:t> </w:t>
      </w:r>
      <w:r>
        <w:rPr>
          <w:color w:val="ABABAB"/>
          <w:w w:val="90"/>
          <w:sz w:val="2"/>
        </w:rPr>
        <w:t>held</w:t>
      </w:r>
      <w:r>
        <w:rPr>
          <w:color w:val="ABABAB"/>
          <w:spacing w:val="1"/>
          <w:sz w:val="2"/>
        </w:rPr>
        <w:t> </w:t>
      </w:r>
      <w:r>
        <w:rPr>
          <w:color w:val="ABABAB"/>
          <w:w w:val="90"/>
          <w:sz w:val="2"/>
        </w:rPr>
        <w:t>virtually</w:t>
      </w:r>
      <w:r>
        <w:rPr>
          <w:color w:val="ABABAB"/>
          <w:spacing w:val="1"/>
          <w:sz w:val="2"/>
        </w:rPr>
        <w:t> </w:t>
      </w:r>
      <w:r>
        <w:rPr>
          <w:color w:val="ABABAB"/>
          <w:w w:val="90"/>
          <w:sz w:val="2"/>
        </w:rPr>
        <w:t>and</w:t>
      </w:r>
      <w:r>
        <w:rPr>
          <w:color w:val="ABABAB"/>
          <w:spacing w:val="1"/>
          <w:sz w:val="2"/>
        </w:rPr>
        <w:t> </w:t>
      </w:r>
      <w:r>
        <w:rPr>
          <w:color w:val="ABABAB"/>
          <w:w w:val="90"/>
          <w:sz w:val="2"/>
        </w:rPr>
        <w:t>may</w:t>
      </w:r>
      <w:r>
        <w:rPr>
          <w:color w:val="ABABAB"/>
          <w:spacing w:val="1"/>
          <w:sz w:val="2"/>
        </w:rPr>
        <w:t> </w:t>
      </w:r>
      <w:r>
        <w:rPr>
          <w:color w:val="ABABAB"/>
          <w:w w:val="90"/>
          <w:sz w:val="2"/>
        </w:rPr>
        <w:t>be</w:t>
      </w:r>
      <w:r>
        <w:rPr>
          <w:color w:val="ABABAB"/>
          <w:spacing w:val="1"/>
          <w:sz w:val="2"/>
        </w:rPr>
        <w:t> </w:t>
      </w:r>
      <w:r>
        <w:rPr>
          <w:color w:val="ABABAB"/>
          <w:w w:val="90"/>
          <w:sz w:val="2"/>
        </w:rPr>
        <w:t>accessed</w:t>
      </w:r>
      <w:r>
        <w:rPr>
          <w:color w:val="ABABAB"/>
          <w:spacing w:val="1"/>
          <w:sz w:val="2"/>
        </w:rPr>
        <w:t> </w:t>
      </w:r>
      <w:r>
        <w:rPr>
          <w:color w:val="ABABAB"/>
          <w:w w:val="90"/>
          <w:sz w:val="2"/>
        </w:rPr>
        <w:t>by</w:t>
      </w:r>
      <w:r>
        <w:rPr>
          <w:color w:val="ABABAB"/>
          <w:spacing w:val="1"/>
          <w:sz w:val="2"/>
        </w:rPr>
        <w:t> </w:t>
      </w:r>
      <w:r>
        <w:rPr>
          <w:color w:val="ABABAB"/>
          <w:w w:val="90"/>
          <w:sz w:val="2"/>
        </w:rPr>
        <w:t>visiting</w:t>
      </w:r>
      <w:hyperlink r:id="rId171">
        <w:r>
          <w:rPr>
            <w:color w:val="ABABAB"/>
            <w:w w:val="90"/>
            <w:sz w:val="2"/>
          </w:rPr>
          <w:t>www.virtualshareholdermeeting.com/VREX2023.This</w:t>
        </w:r>
        <w:r>
          <w:rPr>
            <w:color w:val="ABABAB"/>
            <w:spacing w:val="1"/>
            <w:sz w:val="2"/>
          </w:rPr>
          <w:t> </w:t>
        </w:r>
        <w:r>
          <w:rPr>
            <w:color w:val="ABABAB"/>
            <w:w w:val="90"/>
            <w:sz w:val="2"/>
          </w:rPr>
          <w:t>proxy,</w:t>
        </w:r>
        <w:r>
          <w:rPr>
            <w:color w:val="ABABAB"/>
            <w:spacing w:val="1"/>
            <w:sz w:val="2"/>
          </w:rPr>
          <w:t> </w:t>
        </w:r>
        <w:r>
          <w:rPr>
            <w:color w:val="ABABAB"/>
            <w:w w:val="90"/>
            <w:sz w:val="2"/>
          </w:rPr>
          <w:t>when</w:t>
        </w:r>
        <w:r>
          <w:rPr>
            <w:color w:val="ABABAB"/>
            <w:spacing w:val="1"/>
            <w:sz w:val="2"/>
          </w:rPr>
          <w:t> </w:t>
        </w:r>
        <w:r>
          <w:rPr>
            <w:color w:val="ABABAB"/>
            <w:w w:val="90"/>
            <w:sz w:val="2"/>
          </w:rPr>
          <w:t>properly</w:t>
        </w:r>
        <w:r>
          <w:rPr>
            <w:color w:val="ABABAB"/>
            <w:spacing w:val="1"/>
            <w:sz w:val="2"/>
          </w:rPr>
          <w:t> </w:t>
        </w:r>
        <w:r>
          <w:rPr>
            <w:color w:val="ABABAB"/>
            <w:w w:val="90"/>
            <w:sz w:val="2"/>
          </w:rPr>
          <w:t>executed,</w:t>
        </w:r>
        <w:r>
          <w:rPr>
            <w:color w:val="ABABAB"/>
            <w:spacing w:val="1"/>
            <w:sz w:val="2"/>
          </w:rPr>
          <w:t> </w:t>
        </w:r>
        <w:r>
          <w:rPr>
            <w:color w:val="ABABAB"/>
            <w:w w:val="90"/>
            <w:sz w:val="2"/>
          </w:rPr>
          <w:t>will</w:t>
        </w:r>
        <w:r>
          <w:rPr>
            <w:color w:val="ABABAB"/>
            <w:spacing w:val="1"/>
            <w:sz w:val="2"/>
          </w:rPr>
          <w:t> </w:t>
        </w:r>
        <w:r>
          <w:rPr>
            <w:color w:val="ABABAB"/>
            <w:w w:val="90"/>
            <w:sz w:val="2"/>
          </w:rPr>
          <w:t>be</w:t>
        </w:r>
        <w:r>
          <w:rPr>
            <w:color w:val="ABABAB"/>
            <w:spacing w:val="1"/>
            <w:sz w:val="2"/>
          </w:rPr>
          <w:t> </w:t>
        </w:r>
        <w:r>
          <w:rPr>
            <w:color w:val="ABABAB"/>
            <w:w w:val="90"/>
            <w:sz w:val="2"/>
          </w:rPr>
          <w:t>voted</w:t>
        </w:r>
        <w:r>
          <w:rPr>
            <w:color w:val="ABABAB"/>
            <w:spacing w:val="1"/>
            <w:sz w:val="2"/>
          </w:rPr>
          <w:t> </w:t>
        </w:r>
        <w:r>
          <w:rPr>
            <w:color w:val="ABABAB"/>
            <w:w w:val="90"/>
            <w:sz w:val="2"/>
          </w:rPr>
          <w:t>in</w:t>
        </w:r>
        <w:r>
          <w:rPr>
            <w:color w:val="ABABAB"/>
            <w:spacing w:val="1"/>
            <w:sz w:val="2"/>
          </w:rPr>
          <w:t> </w:t>
        </w:r>
        <w:r>
          <w:rPr>
            <w:color w:val="ABABAB"/>
            <w:w w:val="90"/>
            <w:sz w:val="2"/>
          </w:rPr>
          <w:t>the</w:t>
        </w:r>
        <w:r>
          <w:rPr>
            <w:color w:val="ABABAB"/>
            <w:spacing w:val="1"/>
            <w:sz w:val="2"/>
          </w:rPr>
          <w:t> </w:t>
        </w:r>
        <w:r>
          <w:rPr>
            <w:color w:val="ABABAB"/>
            <w:w w:val="90"/>
            <w:sz w:val="2"/>
          </w:rPr>
          <w:t>manner</w:t>
        </w:r>
        <w:r>
          <w:rPr>
            <w:color w:val="ABABAB"/>
            <w:spacing w:val="1"/>
            <w:sz w:val="2"/>
          </w:rPr>
          <w:t> </w:t>
        </w:r>
        <w:r>
          <w:rPr>
            <w:color w:val="ABABAB"/>
            <w:w w:val="90"/>
            <w:sz w:val="2"/>
          </w:rPr>
          <w:t>directed</w:t>
        </w:r>
        <w:r>
          <w:rPr>
            <w:color w:val="ABABAB"/>
            <w:spacing w:val="1"/>
            <w:sz w:val="2"/>
          </w:rPr>
          <w:t> </w:t>
        </w:r>
        <w:r>
          <w:rPr>
            <w:color w:val="ABABAB"/>
            <w:w w:val="90"/>
            <w:sz w:val="2"/>
          </w:rPr>
          <w:t>herein.</w:t>
        </w:r>
        <w:r>
          <w:rPr>
            <w:color w:val="ABABAB"/>
            <w:spacing w:val="1"/>
            <w:sz w:val="2"/>
          </w:rPr>
          <w:t> </w:t>
        </w:r>
        <w:r>
          <w:rPr>
            <w:color w:val="ABABAB"/>
            <w:w w:val="90"/>
            <w:sz w:val="2"/>
          </w:rPr>
          <w:t>If</w:t>
        </w:r>
        <w:r>
          <w:rPr>
            <w:color w:val="ABABAB"/>
            <w:spacing w:val="1"/>
            <w:sz w:val="2"/>
          </w:rPr>
          <w:t> </w:t>
        </w:r>
        <w:r>
          <w:rPr>
            <w:color w:val="ABABAB"/>
            <w:w w:val="90"/>
            <w:sz w:val="2"/>
          </w:rPr>
          <w:t>no</w:t>
        </w:r>
        <w:r>
          <w:rPr>
            <w:color w:val="ABABAB"/>
            <w:spacing w:val="1"/>
            <w:sz w:val="2"/>
          </w:rPr>
          <w:t> </w:t>
        </w:r>
        <w:r>
          <w:rPr>
            <w:color w:val="ABABAB"/>
            <w:w w:val="90"/>
            <w:sz w:val="2"/>
          </w:rPr>
          <w:t>such</w:t>
        </w:r>
        <w:r>
          <w:rPr>
            <w:color w:val="ABABAB"/>
            <w:spacing w:val="1"/>
            <w:sz w:val="2"/>
          </w:rPr>
          <w:t> </w:t>
        </w:r>
        <w:r>
          <w:rPr>
            <w:color w:val="ABABAB"/>
            <w:w w:val="90"/>
            <w:sz w:val="2"/>
          </w:rPr>
          <w:t>direction</w:t>
        </w:r>
        <w:r>
          <w:rPr>
            <w:color w:val="ABABAB"/>
            <w:spacing w:val="1"/>
            <w:sz w:val="2"/>
          </w:rPr>
          <w:t> </w:t>
        </w:r>
        <w:r>
          <w:rPr>
            <w:color w:val="ABABAB"/>
            <w:w w:val="90"/>
            <w:sz w:val="2"/>
          </w:rPr>
          <w:t>is</w:t>
        </w:r>
        <w:r>
          <w:rPr>
            <w:color w:val="ABABAB"/>
            <w:spacing w:val="1"/>
            <w:sz w:val="2"/>
          </w:rPr>
          <w:t> </w:t>
        </w:r>
        <w:r>
          <w:rPr>
            <w:color w:val="ABABAB"/>
            <w:w w:val="90"/>
            <w:sz w:val="2"/>
          </w:rPr>
          <w:t>made,</w:t>
        </w:r>
        <w:r>
          <w:rPr>
            <w:color w:val="ABABAB"/>
            <w:spacing w:val="1"/>
            <w:sz w:val="2"/>
          </w:rPr>
          <w:t> </w:t>
        </w:r>
        <w:r>
          <w:rPr>
            <w:color w:val="ABABAB"/>
            <w:w w:val="90"/>
            <w:sz w:val="2"/>
          </w:rPr>
          <w:t>this</w:t>
        </w:r>
        <w:r>
          <w:rPr>
            <w:color w:val="ABABAB"/>
            <w:spacing w:val="1"/>
            <w:sz w:val="2"/>
          </w:rPr>
          <w:t> </w:t>
        </w:r>
        <w:r>
          <w:rPr>
            <w:color w:val="ABABAB"/>
            <w:w w:val="90"/>
            <w:sz w:val="2"/>
          </w:rPr>
          <w:t>proxy</w:t>
        </w:r>
        <w:r>
          <w:rPr>
            <w:color w:val="ABABAB"/>
            <w:spacing w:val="1"/>
            <w:sz w:val="2"/>
          </w:rPr>
          <w:t> </w:t>
        </w:r>
        <w:r>
          <w:rPr>
            <w:color w:val="ABABAB"/>
            <w:w w:val="90"/>
            <w:sz w:val="2"/>
          </w:rPr>
          <w:t>will</w:t>
        </w:r>
        <w:r>
          <w:rPr>
            <w:color w:val="ABABAB"/>
            <w:spacing w:val="1"/>
            <w:sz w:val="2"/>
          </w:rPr>
          <w:t> </w:t>
        </w:r>
        <w:r>
          <w:rPr>
            <w:color w:val="ABABAB"/>
            <w:w w:val="90"/>
            <w:sz w:val="2"/>
          </w:rPr>
          <w:t>be</w:t>
        </w:r>
        <w:r>
          <w:rPr>
            <w:color w:val="ABABAB"/>
            <w:spacing w:val="1"/>
            <w:sz w:val="2"/>
          </w:rPr>
          <w:t> </w:t>
        </w:r>
        <w:r>
          <w:rPr>
            <w:color w:val="ABABAB"/>
            <w:w w:val="90"/>
            <w:sz w:val="2"/>
          </w:rPr>
          <w:t>voted</w:t>
        </w:r>
        <w:r>
          <w:rPr>
            <w:color w:val="ABABAB"/>
            <w:spacing w:val="1"/>
            <w:sz w:val="2"/>
          </w:rPr>
          <w:t> </w:t>
        </w:r>
        <w:r>
          <w:rPr>
            <w:color w:val="ABABAB"/>
            <w:w w:val="90"/>
            <w:sz w:val="2"/>
          </w:rPr>
          <w:t>in</w:t>
        </w:r>
        <w:r>
          <w:rPr>
            <w:color w:val="ABABAB"/>
            <w:spacing w:val="1"/>
            <w:sz w:val="2"/>
          </w:rPr>
          <w:t> </w:t>
        </w:r>
        <w:r>
          <w:rPr>
            <w:color w:val="ABABAB"/>
            <w:w w:val="90"/>
            <w:sz w:val="2"/>
          </w:rPr>
          <w:t>accordance</w:t>
        </w:r>
        <w:r>
          <w:rPr>
            <w:color w:val="ABABAB"/>
            <w:spacing w:val="1"/>
            <w:sz w:val="2"/>
          </w:rPr>
          <w:t> </w:t>
        </w:r>
        <w:r>
          <w:rPr>
            <w:color w:val="ABABAB"/>
            <w:w w:val="90"/>
            <w:sz w:val="2"/>
          </w:rPr>
          <w:t>with</w:t>
        </w:r>
        <w:r>
          <w:rPr>
            <w:color w:val="ABABAB"/>
            <w:spacing w:val="1"/>
            <w:sz w:val="2"/>
          </w:rPr>
          <w:t> </w:t>
        </w:r>
        <w:r>
          <w:rPr>
            <w:color w:val="ABABAB"/>
            <w:w w:val="90"/>
            <w:sz w:val="2"/>
          </w:rPr>
          <w:t>the</w:t>
        </w:r>
        <w:r>
          <w:rPr>
            <w:color w:val="ABABAB"/>
            <w:spacing w:val="1"/>
            <w:sz w:val="2"/>
          </w:rPr>
          <w:t> </w:t>
        </w:r>
        <w:r>
          <w:rPr>
            <w:color w:val="ABABAB"/>
            <w:w w:val="90"/>
            <w:sz w:val="2"/>
          </w:rPr>
          <w:t>Board</w:t>
        </w:r>
        <w:r>
          <w:rPr>
            <w:color w:val="ABABAB"/>
            <w:spacing w:val="1"/>
            <w:sz w:val="2"/>
          </w:rPr>
          <w:t> </w:t>
        </w:r>
        <w:r>
          <w:rPr>
            <w:color w:val="ABABAB"/>
            <w:w w:val="90"/>
            <w:sz w:val="2"/>
          </w:rPr>
          <w:t>of</w:t>
        </w:r>
        <w:r>
          <w:rPr>
            <w:color w:val="ABABAB"/>
            <w:spacing w:val="1"/>
            <w:sz w:val="2"/>
          </w:rPr>
          <w:t> </w:t>
        </w:r>
        <w:r>
          <w:rPr>
            <w:color w:val="ABABAB"/>
            <w:w w:val="90"/>
            <w:sz w:val="2"/>
          </w:rPr>
          <w:t>Directors'</w:t>
        </w:r>
        <w:r>
          <w:rPr>
            <w:color w:val="ABABAB"/>
            <w:spacing w:val="1"/>
            <w:sz w:val="2"/>
          </w:rPr>
          <w:t> </w:t>
        </w:r>
        <w:r>
          <w:rPr>
            <w:color w:val="ABABAB"/>
            <w:w w:val="90"/>
            <w:sz w:val="2"/>
          </w:rPr>
          <w:t>recommendations.Continued</w:t>
        </w:r>
        <w:r>
          <w:rPr>
            <w:color w:val="ABABAB"/>
            <w:spacing w:val="1"/>
            <w:sz w:val="2"/>
          </w:rPr>
          <w:t> </w:t>
        </w:r>
        <w:r>
          <w:rPr>
            <w:color w:val="ABABAB"/>
            <w:w w:val="90"/>
            <w:sz w:val="2"/>
          </w:rPr>
          <w:t>and</w:t>
        </w:r>
        <w:r>
          <w:rPr>
            <w:color w:val="ABABAB"/>
            <w:spacing w:val="1"/>
            <w:sz w:val="2"/>
          </w:rPr>
          <w:t> </w:t>
        </w:r>
        <w:r>
          <w:rPr>
            <w:color w:val="ABABAB"/>
            <w:w w:val="90"/>
            <w:sz w:val="2"/>
          </w:rPr>
          <w:t>to</w:t>
        </w:r>
        <w:r>
          <w:rPr>
            <w:color w:val="ABABAB"/>
            <w:spacing w:val="1"/>
            <w:sz w:val="2"/>
          </w:rPr>
          <w:t> </w:t>
        </w:r>
        <w:r>
          <w:rPr>
            <w:color w:val="ABABAB"/>
            <w:w w:val="90"/>
            <w:sz w:val="2"/>
          </w:rPr>
          <w:t>be</w:t>
        </w:r>
        <w:r>
          <w:rPr>
            <w:color w:val="ABABAB"/>
            <w:spacing w:val="1"/>
            <w:sz w:val="2"/>
          </w:rPr>
          <w:t> </w:t>
        </w:r>
        <w:r>
          <w:rPr>
            <w:color w:val="ABABAB"/>
            <w:w w:val="90"/>
            <w:sz w:val="2"/>
          </w:rPr>
          <w:t>signed</w:t>
        </w:r>
        <w:r>
          <w:rPr>
            <w:color w:val="ABABAB"/>
            <w:spacing w:val="1"/>
            <w:sz w:val="2"/>
          </w:rPr>
          <w:t> </w:t>
        </w:r>
        <w:r>
          <w:rPr>
            <w:color w:val="ABABAB"/>
            <w:w w:val="90"/>
            <w:sz w:val="2"/>
          </w:rPr>
          <w:t>on</w:t>
        </w:r>
        <w:r>
          <w:rPr>
            <w:color w:val="ABABAB"/>
            <w:spacing w:val="1"/>
            <w:sz w:val="2"/>
          </w:rPr>
          <w:t> </w:t>
        </w:r>
        <w:r>
          <w:rPr>
            <w:color w:val="ABABAB"/>
            <w:w w:val="90"/>
            <w:sz w:val="2"/>
          </w:rPr>
          <w:t>reverse</w:t>
        </w:r>
        <w:r>
          <w:rPr>
            <w:color w:val="ABABAB"/>
            <w:spacing w:val="1"/>
            <w:sz w:val="2"/>
          </w:rPr>
          <w:t> </w:t>
        </w:r>
        <w:r>
          <w:rPr>
            <w:color w:val="ABABAB"/>
            <w:spacing w:val="-4"/>
            <w:w w:val="90"/>
            <w:sz w:val="2"/>
          </w:rPr>
          <w:t>side</w:t>
        </w:r>
      </w:hyperlink>
    </w:p>
    <w:sectPr>
      <w:pgSz w:w="12240" w:h="15840"/>
      <w:pgMar w:header="529" w:footer="507" w:top="720" w:bottom="700" w:left="4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Symbol">
    <w:altName w:val="Segoe UI Symbo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43.370178pt;width:555pt;height:1.4pt;mso-position-horizontal-relative:page;mso-position-vertical-relative:page;z-index:-20521984" id="docshapegroup1" coordorigin="580,14867" coordsize="11100,28">
          <v:rect style="position:absolute;left:580;top:14867;width:11100;height:14" id="docshape2" filled="true" fillcolor="#999999" stroked="false">
            <v:fill type="solid"/>
          </v:rect>
          <v:shape style="position:absolute;left:579;top:14867;width:11100;height:28" id="docshape3" coordorigin="580,14867" coordsize="11100,28" path="m11680,14867l11666,14881,580,14881,580,14895,11666,14895,11680,14895,11680,14881,11680,14867xe" filled="true" fillcolor="#ededed" stroked="false">
            <v:path arrowok="t"/>
            <v:fill type="solid"/>
          </v:shape>
          <v:shape style="position:absolute;left:580;top:14867;width:14;height:28" id="docshape4" coordorigin="580,14867" coordsize="14,28" path="m580,14895l580,14867,594,14867,594,14881,580,14895xe" filled="true" fillcolor="#999999" stroked="false">
            <v:path arrowok="t"/>
            <v:fill type="solid"/>
          </v:shape>
          <w10:wrap type="non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51.058655pt;width:555pt;height:1.4pt;mso-position-horizontal-relative:page;mso-position-vertical-relative:page;z-index:-20511232" id="docshapegroup70" coordorigin="580,15021" coordsize="11100,28">
          <v:rect style="position:absolute;left:580;top:15021;width:11100;height:14" id="docshape71" filled="true" fillcolor="#999999" stroked="false">
            <v:fill type="solid"/>
          </v:rect>
          <v:shape style="position:absolute;left:579;top:15021;width:11100;height:28" id="docshape72" coordorigin="580,15021" coordsize="11100,28" path="m11680,15021l11666,15035,580,15035,580,15049,11666,15049,11680,15049,11680,15035,11680,15021xe" filled="true" fillcolor="#ededed" stroked="false">
            <v:path arrowok="t"/>
            <v:fill type="solid"/>
          </v:shape>
          <v:shape style="position:absolute;left:580;top:15021;width:14;height:28" id="docshape73" coordorigin="580,15021" coordsize="14,28" path="m580,15049l580,15021,594,15021,594,15035,580,15049xe" filled="true" fillcolor="#999999" stroked="false">
            <v:path arrowok="t"/>
            <v:fill type="solid"/>
          </v:shape>
          <w10:wrap type="none"/>
        </v:group>
      </w:pict>
    </w:r>
    <w:r>
      <w:rPr/>
      <w:pict>
        <v:shape style="position:absolute;margin-left:303.075348pt;margin-top:718.689087pt;width:6.7pt;height:12.35pt;mso-position-horizontal-relative:page;mso-position-vertical-relative:page;z-index:-20510720" type="#_x0000_t202" id="docshape74" filled="false" stroked="false">
          <v:textbox inset="0,0,0,0">
            <w:txbxContent>
              <w:p>
                <w:pPr>
                  <w:pStyle w:val="BodyText"/>
                  <w:spacing w:before="18"/>
                  <w:ind w:left="20"/>
                </w:pPr>
                <w:r>
                  <w:rPr>
                    <w:w w:val="103"/>
                  </w:rPr>
                  <w:t>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075348pt;margin-top:728.475037pt;width:6.7pt;height:12.35pt;mso-position-horizontal-relative:page;mso-position-vertical-relative:page;z-index:-20509696" type="#_x0000_t202" id="docshape76" filled="false" stroked="false">
          <v:textbox inset="0,0,0,0">
            <w:txbxContent>
              <w:p>
                <w:pPr>
                  <w:pStyle w:val="BodyText"/>
                  <w:spacing w:before="18"/>
                  <w:ind w:left="20"/>
                </w:pPr>
                <w:r>
                  <w:rPr>
                    <w:w w:val="103"/>
                  </w:rPr>
                  <w:t>8</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12.614197pt;width:555pt;height:1.4pt;mso-position-horizontal-relative:page;mso-position-vertical-relative:page;z-index:-20508672" id="docshapegroup82" coordorigin="580,14252" coordsize="11100,28">
          <v:rect style="position:absolute;left:580;top:14252;width:11100;height:14" id="docshape83" filled="true" fillcolor="#999999" stroked="false">
            <v:fill type="solid"/>
          </v:rect>
          <v:shape style="position:absolute;left:579;top:14252;width:11100;height:28" id="docshape84" coordorigin="580,14252" coordsize="11100,28" path="m11680,14252l11666,14266,580,14266,580,14280,11666,14280,11680,14280,11680,14266,11680,14252xe" filled="true" fillcolor="#ededed" stroked="false">
            <v:path arrowok="t"/>
            <v:fill type="solid"/>
          </v:shape>
          <v:shape style="position:absolute;left:580;top:14252;width:14;height:28" id="docshape85" coordorigin="580,14252" coordsize="14,28" path="m580,14280l580,14252,594,14252,594,14266,580,14280xe" filled="true" fillcolor="#999999" stroked="false">
            <v:path arrowok="t"/>
            <v:fill type="solid"/>
          </v:shape>
          <w10:wrap type="none"/>
        </v:group>
      </w:pict>
    </w:r>
    <w:r>
      <w:rPr/>
      <w:pict>
        <v:shape style="position:absolute;margin-left:303.075348pt;margin-top:680.244629pt;width:6.7pt;height:12.35pt;mso-position-horizontal-relative:page;mso-position-vertical-relative:page;z-index:-20508160" type="#_x0000_t202" id="docshape86" filled="false" stroked="false">
          <v:textbox inset="0,0,0,0">
            <w:txbxContent>
              <w:p>
                <w:pPr>
                  <w:pStyle w:val="BodyText"/>
                  <w:spacing w:before="18"/>
                  <w:ind w:left="20"/>
                </w:pPr>
                <w:r>
                  <w:rPr>
                    <w:w w:val="103"/>
                  </w:rPr>
                  <w:t>9</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12.614258pt;width:555pt;height:1.4pt;mso-position-horizontal-relative:page;mso-position-vertical-relative:page;z-index:-20507136" id="docshapegroup88" coordorigin="580,14252" coordsize="11100,28">
          <v:rect style="position:absolute;left:580;top:14252;width:11100;height:14" id="docshape89" filled="true" fillcolor="#999999" stroked="false">
            <v:fill type="solid"/>
          </v:rect>
          <v:shape style="position:absolute;left:579;top:14252;width:11100;height:28" id="docshape90" coordorigin="580,14252" coordsize="11100,28" path="m11680,14252l11666,14266,580,14266,580,14280,11666,14280,11680,14280,11680,14266,11680,14252xe" filled="true" fillcolor="#ededed" stroked="false">
            <v:path arrowok="t"/>
            <v:fill type="solid"/>
          </v:shape>
          <v:shape style="position:absolute;left:580;top:14252;width:14;height:28" id="docshape91" coordorigin="580,14252" coordsize="14,28" path="m580,14280l580,14252,594,14252,594,14266,580,14280xe" filled="true" fillcolor="#999999" stroked="false">
            <v:path arrowok="t"/>
            <v:fill type="solid"/>
          </v:shape>
          <w10:wrap type="none"/>
        </v:group>
      </w:pict>
    </w:r>
    <w:r>
      <w:rPr/>
      <w:pict>
        <v:shape style="position:absolute;margin-left:300.650726pt;margin-top:680.244751pt;width:11.55pt;height:12.35pt;mso-position-horizontal-relative:page;mso-position-vertical-relative:page;z-index:-20506624" type="#_x0000_t202" id="docshape92" filled="false" stroked="false">
          <v:textbox inset="0,0,0,0">
            <w:txbxContent>
              <w:p>
                <w:pPr>
                  <w:pStyle w:val="BodyText"/>
                  <w:spacing w:before="18"/>
                  <w:ind w:left="20"/>
                </w:pPr>
                <w:r>
                  <w:rPr>
                    <w:spacing w:val="-5"/>
                    <w:w w:val="105"/>
                  </w:rPr>
                  <w:t>10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82547pt;margin-top:734.066467pt;width:11.2pt;height:12.35pt;mso-position-horizontal-relative:page;mso-position-vertical-relative:page;z-index:-20505600" type="#_x0000_t202" id="docshape94" filled="false" stroked="false">
          <v:textbox inset="0,0,0,0">
            <w:txbxContent>
              <w:p>
                <w:pPr>
                  <w:pStyle w:val="BodyText"/>
                  <w:spacing w:before="18"/>
                  <w:ind w:left="20"/>
                </w:pPr>
                <w:r>
                  <w:rPr>
                    <w:spacing w:val="-5"/>
                    <w:w w:val="105"/>
                  </w:rPr>
                  <w:t>11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50.143433pt;width:11.55pt;height:12.35pt;mso-position-horizontal-relative:page;mso-position-vertical-relative:page;z-index:-20505088" type="#_x0000_t202" id="docshape100" filled="false" stroked="false">
          <v:textbox inset="0,0,0,0">
            <w:txbxContent>
              <w:p>
                <w:pPr>
                  <w:pStyle w:val="BodyText"/>
                  <w:spacing w:before="18"/>
                  <w:ind w:left="20"/>
                </w:pPr>
                <w:r>
                  <w:rPr>
                    <w:spacing w:val="-5"/>
                    <w:w w:val="105"/>
                  </w:rPr>
                  <w:t>12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36.163757pt;width:11.55pt;height:12.35pt;mso-position-horizontal-relative:page;mso-position-vertical-relative:page;z-index:-20504576" type="#_x0000_t202" id="docshape105" filled="false" stroked="false">
          <v:textbox inset="0,0,0,0">
            <w:txbxContent>
              <w:p>
                <w:pPr>
                  <w:pStyle w:val="BodyText"/>
                  <w:spacing w:before="18"/>
                  <w:ind w:left="20"/>
                </w:pPr>
                <w:r>
                  <w:rPr>
                    <w:spacing w:val="-5"/>
                    <w:w w:val="105"/>
                  </w:rPr>
                  <w:t>13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34.067444pt;width:11.55pt;height:12.35pt;mso-position-horizontal-relative:page;mso-position-vertical-relative:page;z-index:-20504064" type="#_x0000_t202" id="docshape118" filled="false" stroked="false">
          <v:textbox inset="0,0,0,0">
            <w:txbxContent>
              <w:p>
                <w:pPr>
                  <w:pStyle w:val="BodyText"/>
                  <w:spacing w:before="18"/>
                  <w:ind w:left="20"/>
                </w:pPr>
                <w:r>
                  <w:rPr>
                    <w:spacing w:val="-5"/>
                    <w:w w:val="105"/>
                  </w:rPr>
                  <w:t>16</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30.572571pt;width:11.55pt;height:12.35pt;mso-position-horizontal-relative:page;mso-position-vertical-relative:page;z-index:-20503552" type="#_x0000_t202" id="docshape131" filled="false" stroked="false">
          <v:textbox inset="0,0,0,0">
            <w:txbxContent>
              <w:p>
                <w:pPr>
                  <w:pStyle w:val="BodyText"/>
                  <w:spacing w:before="18"/>
                  <w:ind w:left="20"/>
                </w:pPr>
                <w:r>
                  <w:rPr>
                    <w:spacing w:val="-5"/>
                    <w:w w:val="105"/>
                  </w:rPr>
                  <w:t>17</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9.174866pt;width:11.55pt;height:12.35pt;mso-position-horizontal-relative:page;mso-position-vertical-relative:page;z-index:-20502528" type="#_x0000_t202" id="docshape141" filled="false" stroked="false">
          <v:textbox inset="0,0,0,0">
            <w:txbxContent>
              <w:p>
                <w:pPr>
                  <w:pStyle w:val="BodyText"/>
                  <w:spacing w:before="18"/>
                  <w:ind w:left="20"/>
                </w:pPr>
                <w:r>
                  <w:rPr>
                    <w:spacing w:val="-5"/>
                    <w:w w:val="105"/>
                  </w:rPr>
                  <w:t>19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7.505249pt;width:11.55pt;height:12.35pt;mso-position-horizontal-relative:page;mso-position-vertical-relative:page;z-index:-20501504" type="#_x0000_t202" id="docshape150" filled="false" stroked="false">
          <v:textbox inset="0,0,0,0">
            <w:txbxContent>
              <w:p>
                <w:pPr>
                  <w:pStyle w:val="BodyText"/>
                  <w:spacing w:before="18"/>
                  <w:ind w:left="20"/>
                </w:pPr>
                <w:r>
                  <w:rPr>
                    <w:spacing w:val="-5"/>
                    <w:w w:val="105"/>
                  </w:rPr>
                  <w:t>20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80.245544pt;width:11.55pt;height:12.35pt;mso-position-horizontal-relative:page;mso-position-vertical-relative:page;z-index:-20500480" type="#_x0000_t202" id="docshape156" filled="false" stroked="false">
          <v:textbox inset="0,0,0,0">
            <w:txbxContent>
              <w:p>
                <w:pPr>
                  <w:pStyle w:val="BodyText"/>
                  <w:spacing w:before="18"/>
                  <w:ind w:left="20"/>
                </w:pPr>
                <w:r>
                  <w:rPr>
                    <w:spacing w:val="-5"/>
                    <w:w w:val="105"/>
                  </w:rPr>
                  <w:t>21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80.245056pt;width:11.55pt;height:12.35pt;mso-position-horizontal-relative:page;mso-position-vertical-relative:page;z-index:-20498944" type="#_x0000_t202" id="docshape167" filled="false" stroked="false">
          <v:textbox inset="0,0,0,0">
            <w:txbxContent>
              <w:p>
                <w:pPr>
                  <w:pStyle w:val="BodyText"/>
                  <w:spacing w:before="18"/>
                  <w:ind w:left="20"/>
                </w:pPr>
                <w:r>
                  <w:rPr>
                    <w:spacing w:val="-5"/>
                    <w:w w:val="105"/>
                  </w:rPr>
                  <w:t>23</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2.613831pt;width:11.55pt;height:12.35pt;mso-position-horizontal-relative:page;mso-position-vertical-relative:page;z-index:-20497920" type="#_x0000_t202" id="docshape173" filled="false" stroked="false">
          <v:textbox inset="0,0,0,0">
            <w:txbxContent>
              <w:p>
                <w:pPr>
                  <w:pStyle w:val="BodyText"/>
                  <w:spacing w:before="18"/>
                  <w:ind w:left="20"/>
                </w:pPr>
                <w:r>
                  <w:rPr>
                    <w:spacing w:val="-5"/>
                    <w:w w:val="105"/>
                  </w:rPr>
                  <w:t>24</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2.184753pt;width:11.55pt;height:12.35pt;mso-position-horizontal-relative:page;mso-position-vertical-relative:page;z-index:-20496896" type="#_x0000_t202" id="docshape179" filled="false" stroked="false">
          <v:textbox inset="0,0,0,0">
            <w:txbxContent>
              <w:p>
                <w:pPr>
                  <w:pStyle w:val="BodyText"/>
                  <w:spacing w:before="18"/>
                  <w:ind w:left="20"/>
                </w:pPr>
                <w:r>
                  <w:rPr>
                    <w:spacing w:val="-5"/>
                    <w:w w:val="105"/>
                  </w:rPr>
                  <w:t>25</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12.613403pt;width:555pt;height:1.4pt;mso-position-horizontal-relative:page;mso-position-vertical-relative:page;z-index:-20495872" id="docshapegroup189" coordorigin="580,14252" coordsize="11100,28">
          <v:rect style="position:absolute;left:580;top:14252;width:11100;height:14" id="docshape190" filled="true" fillcolor="#999999" stroked="false">
            <v:fill type="solid"/>
          </v:rect>
          <v:shape style="position:absolute;left:579;top:14252;width:11100;height:28" id="docshape191" coordorigin="580,14252" coordsize="11100,28" path="m11680,14252l11666,14266,580,14266,580,14280,11666,14280,11680,14280,11680,14266,11680,14252xe" filled="true" fillcolor="#ededed" stroked="false">
            <v:path arrowok="t"/>
            <v:fill type="solid"/>
          </v:shape>
          <v:shape style="position:absolute;left:580;top:14252;width:14;height:28" id="docshape192" coordorigin="580,14252" coordsize="14,28" path="m580,14280l580,14252,594,14252,594,14266,580,14280xe" filled="true" fillcolor="#999999" stroked="false">
            <v:path arrowok="t"/>
            <v:fill type="solid"/>
          </v:shape>
          <w10:wrap type="none"/>
        </v:group>
      </w:pict>
    </w:r>
    <w:r>
      <w:rPr/>
      <w:pict>
        <v:shape style="position:absolute;margin-left:300.650726pt;margin-top:680.244324pt;width:11.55pt;height:12.35pt;mso-position-horizontal-relative:page;mso-position-vertical-relative:page;z-index:-20495360" type="#_x0000_t202" id="docshape193" filled="false" stroked="false">
          <v:textbox inset="0,0,0,0">
            <w:txbxContent>
              <w:p>
                <w:pPr>
                  <w:pStyle w:val="BodyText"/>
                  <w:spacing w:before="18"/>
                  <w:ind w:left="20"/>
                </w:pPr>
                <w:r>
                  <w:rPr>
                    <w:spacing w:val="-5"/>
                    <w:w w:val="105"/>
                  </w:rPr>
                  <w:t>26</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16.109375pt;width:555pt;height:1.4pt;mso-position-horizontal-relative:page;mso-position-vertical-relative:page;z-index:-20494336" id="docshapegroup195" coordorigin="580,14322" coordsize="11100,28">
          <v:rect style="position:absolute;left:580;top:14322;width:11100;height:14" id="docshape196" filled="true" fillcolor="#999999" stroked="false">
            <v:fill type="solid"/>
          </v:rect>
          <v:shape style="position:absolute;left:579;top:14322;width:11100;height:28" id="docshape197" coordorigin="580,14322" coordsize="11100,28" path="m11680,14322l11666,14336,580,14336,580,14350,11666,14350,11680,14350,11680,14336,11680,14322xe" filled="true" fillcolor="#ededed" stroked="false">
            <v:path arrowok="t"/>
            <v:fill type="solid"/>
          </v:shape>
          <v:shape style="position:absolute;left:580;top:14322;width:14;height:28" id="docshape198" coordorigin="580,14322" coordsize="14,28" path="m580,14350l580,14322,594,14322,594,14336,580,14350xe" filled="true" fillcolor="#999999" stroked="false">
            <v:path arrowok="t"/>
            <v:fill type="solid"/>
          </v:shape>
          <w10:wrap type="none"/>
        </v:group>
      </w:pict>
    </w:r>
    <w:r>
      <w:rPr/>
      <w:pict>
        <v:shape style="position:absolute;margin-left:300.650726pt;margin-top:683.041321pt;width:14.55pt;height:12.35pt;mso-position-horizontal-relative:page;mso-position-vertical-relative:page;z-index:-20493824" type="#_x0000_t202" id="docshape199" filled="false" stroked="false">
          <v:textbox inset="0,0,0,0">
            <w:txbxContent>
              <w:p>
                <w:pPr>
                  <w:pStyle w:val="BodyText"/>
                  <w:spacing w:before="18"/>
                  <w:ind w:left="20"/>
                </w:pPr>
                <w:r>
                  <w:rPr>
                    <w:spacing w:val="-5"/>
                    <w:w w:val="105"/>
                  </w:rPr>
                  <w:t>2</w:t>
                </w:r>
                <w:r>
                  <w:rPr>
                    <w:spacing w:val="-5"/>
                    <w:w w:val="105"/>
                  </w:rPr>
                  <w:fldChar w:fldCharType="begin"/>
                </w:r>
                <w:r>
                  <w:rPr>
                    <w:spacing w:val="-5"/>
                    <w:w w:val="105"/>
                  </w:rPr>
                  <w:instrText> PAGE </w:instrText>
                </w:r>
                <w:r>
                  <w:rPr>
                    <w:spacing w:val="-5"/>
                    <w:w w:val="105"/>
                  </w:rPr>
                  <w:fldChar w:fldCharType="separate"/>
                </w:r>
                <w:r>
                  <w:rPr>
                    <w:spacing w:val="-5"/>
                    <w:w w:val="105"/>
                  </w:rPr>
                  <w:t>7</w:t>
                </w:r>
                <w:r>
                  <w:rPr>
                    <w:spacing w:val="-5"/>
                    <w:w w:val="105"/>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39.176147pt;width:555pt;height:1.4pt;mso-position-horizontal-relative:page;mso-position-vertical-relative:page;z-index:-20519936" id="docshapegroup19" coordorigin="580,14784" coordsize="11100,28">
          <v:rect style="position:absolute;left:580;top:14783;width:11100;height:14" id="docshape20" filled="true" fillcolor="#999999" stroked="false">
            <v:fill type="solid"/>
          </v:rect>
          <v:shape style="position:absolute;left:579;top:14783;width:11100;height:28" id="docshape21" coordorigin="580,14784" coordsize="11100,28" path="m11680,14784l11666,14798,580,14798,580,14811,11666,14811,11680,14811,11680,14798,11680,14784xe" filled="true" fillcolor="#ededed" stroked="false">
            <v:path arrowok="t"/>
            <v:fill type="solid"/>
          </v:shape>
          <v:shape style="position:absolute;left:580;top:14783;width:14;height:28" id="docshape22" coordorigin="580,14784" coordsize="14,28" path="m580,14811l580,14784,594,14784,594,14798,580,14811xe" filled="true" fillcolor="#999999" stroked="false">
            <v:path arrowok="t"/>
            <v:fill type="solid"/>
          </v:shape>
          <w10:wrap type="none"/>
        </v:group>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22.399841pt;width:555pt;height:1.4pt;mso-position-horizontal-relative:page;mso-position-vertical-relative:page;z-index:-20491776" id="docshapegroup213" coordorigin="580,14448" coordsize="11100,28">
          <v:rect style="position:absolute;left:580;top:14448;width:11100;height:14" id="docshape214" filled="true" fillcolor="#999999" stroked="false">
            <v:fill type="solid"/>
          </v:rect>
          <v:shape style="position:absolute;left:579;top:14448;width:11100;height:28" id="docshape215" coordorigin="580,14448" coordsize="11100,28" path="m11680,14448l11666,14462,580,14462,580,14476,11666,14476,11680,14476,11680,14462,11680,14448xe" filled="true" fillcolor="#ededed" stroked="false">
            <v:path arrowok="t"/>
            <v:fill type="solid"/>
          </v:shape>
          <v:shape style="position:absolute;left:580;top:14448;width:14;height:28" id="docshape216" coordorigin="580,14448" coordsize="14,28" path="m580,14476l580,14448,594,14448,594,14462,580,14476xe" filled="true" fillcolor="#999999" stroked="false">
            <v:path arrowok="t"/>
            <v:fill type="solid"/>
          </v:shape>
          <w10:wrap type="none"/>
        </v:group>
      </w:pict>
    </w:r>
    <w:r>
      <w:rPr/>
      <w:pict>
        <v:shape style="position:absolute;margin-left:300.650726pt;margin-top:690.030823pt;width:11.55pt;height:12.35pt;mso-position-horizontal-relative:page;mso-position-vertical-relative:page;z-index:-20491264" type="#_x0000_t202" id="docshape217" filled="false" stroked="false">
          <v:textbox inset="0,0,0,0">
            <w:txbxContent>
              <w:p>
                <w:pPr>
                  <w:pStyle w:val="BodyText"/>
                  <w:spacing w:before="18"/>
                  <w:ind w:left="20"/>
                </w:pPr>
                <w:r>
                  <w:rPr>
                    <w:spacing w:val="-5"/>
                    <w:w w:val="105"/>
                  </w:rPr>
                  <w:t>31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23.795044pt;width:555pt;height:1.4pt;mso-position-horizontal-relative:page;mso-position-vertical-relative:page;z-index:-20490240" id="docshapegroup220" coordorigin="580,14476" coordsize="11100,28">
          <v:rect style="position:absolute;left:580;top:14475;width:11100;height:14" id="docshape221" filled="true" fillcolor="#999999" stroked="false">
            <v:fill type="solid"/>
          </v:rect>
          <v:shape style="position:absolute;left:579;top:14475;width:11100;height:28" id="docshape222" coordorigin="580,14476" coordsize="11100,28" path="m11680,14476l11666,14490,580,14490,580,14504,11666,14504,11680,14504,11680,14490,11680,14476xe" filled="true" fillcolor="#ededed" stroked="false">
            <v:path arrowok="t"/>
            <v:fill type="solid"/>
          </v:shape>
          <v:shape style="position:absolute;left:580;top:14475;width:14;height:28" id="docshape223" coordorigin="580,14476" coordsize="14,28" path="m580,14504l580,14476,594,14476,594,14490,580,14504xe" filled="true" fillcolor="#999999" stroked="false">
            <v:path arrowok="t"/>
            <v:fill type="solid"/>
          </v:shape>
          <w10:wrap type="none"/>
        </v:group>
      </w:pict>
    </w:r>
    <w:r>
      <w:rPr/>
      <w:pict>
        <v:shape style="position:absolute;margin-left:300.650726pt;margin-top:691.426025pt;width:11.55pt;height:12.35pt;mso-position-horizontal-relative:page;mso-position-vertical-relative:page;z-index:-20489728" type="#_x0000_t202" id="docshape224" filled="false" stroked="false">
          <v:textbox inset="0,0,0,0">
            <w:txbxContent>
              <w:p>
                <w:pPr>
                  <w:pStyle w:val="BodyText"/>
                  <w:spacing w:before="18"/>
                  <w:ind w:left="20"/>
                </w:pPr>
                <w:r>
                  <w:rPr>
                    <w:spacing w:val="-5"/>
                    <w:w w:val="105"/>
                  </w:rPr>
                  <w:t>32</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7.502075pt;width:11.55pt;height:12.35pt;mso-position-horizontal-relative:page;mso-position-vertical-relative:page;z-index:-20488192" type="#_x0000_t202" id="docshape236" filled="false" stroked="false">
          <v:textbox inset="0,0,0,0">
            <w:txbxContent>
              <w:p>
                <w:pPr>
                  <w:pStyle w:val="BodyText"/>
                  <w:spacing w:before="18"/>
                  <w:ind w:left="20"/>
                </w:pPr>
                <w:r>
                  <w:rPr>
                    <w:spacing w:val="-5"/>
                    <w:w w:val="105"/>
                  </w:rPr>
                  <w:t>34</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4.977905pt;width:11.55pt;height:12.35pt;mso-position-horizontal-relative:page;mso-position-vertical-relative:page;z-index:-20487168" type="#_x0000_t202" id="docshape242" filled="false" stroked="false">
          <v:textbox inset="0,0,0,0">
            <w:txbxContent>
              <w:p>
                <w:pPr>
                  <w:pStyle w:val="BodyText"/>
                  <w:spacing w:before="18"/>
                  <w:ind w:left="20"/>
                </w:pPr>
                <w:r>
                  <w:rPr>
                    <w:spacing w:val="-5"/>
                    <w:w w:val="105"/>
                  </w:rPr>
                  <w:t>35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91.427307pt;width:11.55pt;height:12.35pt;mso-position-horizontal-relative:page;mso-position-vertical-relative:page;z-index:-20486144" type="#_x0000_t202" id="docshape248" filled="false" stroked="false">
          <v:textbox inset="0,0,0,0">
            <w:txbxContent>
              <w:p>
                <w:pPr>
                  <w:pStyle w:val="BodyText"/>
                  <w:spacing w:before="18"/>
                  <w:ind w:left="20"/>
                </w:pPr>
                <w:r>
                  <w:rPr>
                    <w:spacing w:val="-5"/>
                    <w:w w:val="105"/>
                  </w:rPr>
                  <w:t>36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075348pt;margin-top:714.4953pt;width:6.7pt;height:12.35pt;mso-position-horizontal-relative:page;mso-position-vertical-relative:page;z-index:-20517888" type="#_x0000_t202" id="docshape33" filled="false" stroked="false">
          <v:textbox inset="0,0,0,0">
            <w:txbxContent>
              <w:p>
                <w:pPr>
                  <w:pStyle w:val="BodyText"/>
                  <w:spacing w:before="18"/>
                  <w:ind w:left="20"/>
                </w:pPr>
                <w:r>
                  <w:rPr>
                    <w:w w:val="103"/>
                  </w:rPr>
                  <w:t>1</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9.872925pt;width:11.55pt;height:12.35pt;mso-position-horizontal-relative:page;mso-position-vertical-relative:page;z-index:-20485120" type="#_x0000_t202" id="docshape254" filled="false" stroked="false">
          <v:textbox inset="0,0,0,0">
            <w:txbxContent>
              <w:p>
                <w:pPr>
                  <w:pStyle w:val="BodyText"/>
                  <w:spacing w:before="18"/>
                  <w:ind w:left="20"/>
                </w:pPr>
                <w:r>
                  <w:rPr>
                    <w:spacing w:val="-5"/>
                    <w:w w:val="105"/>
                  </w:rPr>
                  <w:t>37</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33.365295pt;width:11.55pt;height:12.35pt;mso-position-horizontal-relative:page;mso-position-vertical-relative:page;z-index:-20484096" type="#_x0000_t202" id="docshape266" filled="false" stroked="false">
          <v:textbox inset="0,0,0,0">
            <w:txbxContent>
              <w:p>
                <w:pPr>
                  <w:pStyle w:val="BodyText"/>
                  <w:spacing w:before="18"/>
                  <w:ind w:left="20"/>
                </w:pPr>
                <w:r>
                  <w:rPr>
                    <w:spacing w:val="-5"/>
                    <w:w w:val="105"/>
                  </w:rPr>
                  <w:t>38</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15.891602pt;width:11.55pt;height:12.35pt;mso-position-horizontal-relative:page;mso-position-vertical-relative:page;z-index:-20483072" type="#_x0000_t202" id="docshape272" filled="false" stroked="false">
          <v:textbox inset="0,0,0,0">
            <w:txbxContent>
              <w:p>
                <w:pPr>
                  <w:pStyle w:val="BodyText"/>
                  <w:spacing w:before="18"/>
                  <w:ind w:left="20"/>
                </w:pPr>
                <w:r>
                  <w:rPr>
                    <w:spacing w:val="-5"/>
                    <w:w w:val="105"/>
                  </w:rPr>
                  <w:t>39</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89.330933pt;width:11.55pt;height:12.35pt;mso-position-horizontal-relative:page;mso-position-vertical-relative:page;z-index:-20482048" type="#_x0000_t202" id="docshape286" filled="false" stroked="false">
          <v:textbox inset="0,0,0,0">
            <w:txbxContent>
              <w:p>
                <w:pPr>
                  <w:pStyle w:val="BodyText"/>
                  <w:spacing w:before="18"/>
                  <w:ind w:left="20"/>
                </w:pPr>
                <w:r>
                  <w:rPr>
                    <w:spacing w:val="-5"/>
                    <w:w w:val="105"/>
                  </w:rPr>
                  <w:t>40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7.077209pt;width:11.55pt;height:12.35pt;mso-position-horizontal-relative:page;mso-position-vertical-relative:page;z-index:-20480000" type="#_x0000_t202" id="docshape306" filled="false" stroked="false">
          <v:textbox inset="0,0,0,0">
            <w:txbxContent>
              <w:p>
                <w:pPr>
                  <w:pStyle w:val="BodyText"/>
                  <w:spacing w:before="18"/>
                  <w:ind w:left="20"/>
                </w:pPr>
                <w:r>
                  <w:rPr>
                    <w:spacing w:val="-5"/>
                    <w:w w:val="105"/>
                  </w:rPr>
                  <w:t>43</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46.860352pt;width:555pt;height:1.4pt;mso-position-horizontal-relative:page;mso-position-vertical-relative:page;z-index:-20478976" id="docshapegroup317" coordorigin="580,14937" coordsize="11100,28">
          <v:rect style="position:absolute;left:580;top:14937;width:11100;height:14" id="docshape318" filled="true" fillcolor="#999999" stroked="false">
            <v:fill type="solid"/>
          </v:rect>
          <v:shape style="position:absolute;left:579;top:14937;width:11100;height:28" id="docshape319" coordorigin="580,14937" coordsize="11100,28" path="m11680,14937l11666,14951,580,14951,580,14965,11666,14965,11680,14965,11680,14951,11680,14937xe" filled="true" fillcolor="#ededed" stroked="false">
            <v:path arrowok="t"/>
            <v:fill type="solid"/>
          </v:shape>
          <v:shape style="position:absolute;left:580;top:14937;width:14;height:28" id="docshape320" coordorigin="580,14937" coordsize="14,28" path="m580,14965l580,14937,594,14937,594,14951,580,14965xe" filled="true" fillcolor="#999999" stroked="false">
            <v:path arrowok="t"/>
            <v:fill type="solid"/>
          </v:shape>
          <w10:wrap type="none"/>
        </v:group>
      </w:pict>
    </w:r>
    <w:r>
      <w:rPr/>
      <w:pict>
        <v:shape style="position:absolute;margin-left:300.650726pt;margin-top:713.792603pt;width:14.55pt;height:13.05pt;mso-position-horizontal-relative:page;mso-position-vertical-relative:page;z-index:-20478464" type="#_x0000_t202" id="docshape321" filled="false" stroked="false">
          <v:textbox inset="0,0,0,0">
            <w:txbxContent>
              <w:p>
                <w:pPr>
                  <w:pStyle w:val="BodyText"/>
                  <w:spacing w:before="32"/>
                  <w:ind w:left="20"/>
                </w:pPr>
                <w:r>
                  <w:rPr>
                    <w:spacing w:val="-5"/>
                    <w:w w:val="105"/>
                  </w:rPr>
                  <w:t>4</w:t>
                </w:r>
                <w:r>
                  <w:rPr>
                    <w:spacing w:val="-5"/>
                    <w:w w:val="105"/>
                  </w:rPr>
                  <w:fldChar w:fldCharType="begin"/>
                </w:r>
                <w:r>
                  <w:rPr>
                    <w:spacing w:val="-5"/>
                    <w:w w:val="105"/>
                  </w:rPr>
                  <w:instrText> PAGE </w:instrText>
                </w:r>
                <w:r>
                  <w:rPr>
                    <w:spacing w:val="-5"/>
                    <w:w w:val="105"/>
                  </w:rPr>
                  <w:fldChar w:fldCharType="separate"/>
                </w:r>
                <w:r>
                  <w:rPr>
                    <w:spacing w:val="-5"/>
                    <w:w w:val="105"/>
                  </w:rPr>
                  <w:t>5</w:t>
                </w:r>
                <w:r>
                  <w:rPr>
                    <w:spacing w:val="-5"/>
                    <w:w w:val="105"/>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6.376526pt;width:11.55pt;height:12.35pt;mso-position-horizontal-relative:page;mso-position-vertical-relative:page;z-index:-20477440" type="#_x0000_t202" id="docshape323" filled="false" stroked="false">
          <v:textbox inset="0,0,0,0">
            <w:txbxContent>
              <w:p>
                <w:pPr>
                  <w:pStyle w:val="BodyText"/>
                  <w:spacing w:before="18"/>
                  <w:ind w:left="20"/>
                </w:pPr>
                <w:r>
                  <w:rPr>
                    <w:spacing w:val="-5"/>
                    <w:w w:val="105"/>
                  </w:rPr>
                  <w:t>46</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075348pt;margin-top:723.582642pt;width:6.7pt;height:12.35pt;mso-position-horizontal-relative:page;mso-position-vertical-relative:page;z-index:-20516864" type="#_x0000_t202" id="docshape42" filled="false" stroked="false">
          <v:textbox inset="0,0,0,0">
            <w:txbxContent>
              <w:p>
                <w:pPr>
                  <w:pStyle w:val="BodyText"/>
                  <w:spacing w:before="18"/>
                  <w:ind w:left="20"/>
                </w:pPr>
                <w:r>
                  <w:rPr>
                    <w:w w:val="103"/>
                  </w:rPr>
                  <w:t>2</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8.90271pt;width:11.55pt;height:12.35pt;mso-position-horizontal-relative:page;mso-position-vertical-relative:page;z-index:-20476416" type="#_x0000_t202" id="docshape333" filled="false" stroked="false">
          <v:textbox inset="0,0,0,0">
            <w:txbxContent>
              <w:p>
                <w:pPr>
                  <w:pStyle w:val="BodyText"/>
                  <w:spacing w:before="18"/>
                  <w:ind w:left="20"/>
                </w:pPr>
                <w:r>
                  <w:rPr>
                    <w:spacing w:val="-5"/>
                    <w:w w:val="105"/>
                  </w:rPr>
                  <w:t>47</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91.426514pt;width:11.55pt;height:12.35pt;mso-position-horizontal-relative:page;mso-position-vertical-relative:page;z-index:-20475392" type="#_x0000_t202" id="docshape339" filled="false" stroked="false">
          <v:textbox inset="0,0,0,0">
            <w:txbxContent>
              <w:p>
                <w:pPr>
                  <w:pStyle w:val="BodyText"/>
                  <w:spacing w:before="18"/>
                  <w:ind w:left="20"/>
                </w:pPr>
                <w:r>
                  <w:rPr>
                    <w:spacing w:val="-5"/>
                    <w:w w:val="105"/>
                  </w:rPr>
                  <w:t>48</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6.106384pt;width:11.55pt;height:12.35pt;mso-position-horizontal-relative:page;mso-position-vertical-relative:page;z-index:-20474368" type="#_x0000_t202" id="docshape345" filled="false" stroked="false">
          <v:textbox inset="0,0,0,0">
            <w:txbxContent>
              <w:p>
                <w:pPr>
                  <w:pStyle w:val="BodyText"/>
                  <w:spacing w:before="18"/>
                  <w:ind w:left="20"/>
                </w:pPr>
                <w:r>
                  <w:rPr>
                    <w:spacing w:val="-5"/>
                    <w:w w:val="105"/>
                  </w:rPr>
                  <w:t>49</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20.08728pt;width:11.55pt;height:12.35pt;mso-position-horizontal-relative:page;mso-position-vertical-relative:page;z-index:-20473344" type="#_x0000_t202" id="docshape353" filled="false" stroked="false">
          <v:textbox inset="0,0,0,0">
            <w:txbxContent>
              <w:p>
                <w:pPr>
                  <w:pStyle w:val="BodyText"/>
                  <w:spacing w:before="18"/>
                  <w:ind w:left="20"/>
                </w:pPr>
                <w:r>
                  <w:rPr>
                    <w:spacing w:val="-5"/>
                    <w:w w:val="105"/>
                  </w:rPr>
                  <w:t>50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8.200623pt;width:11.55pt;height:12.35pt;mso-position-horizontal-relative:page;mso-position-vertical-relative:page;z-index:-20472320" type="#_x0000_t202" id="docshape364" filled="false" stroked="false">
          <v:textbox inset="0,0,0,0">
            <w:txbxContent>
              <w:p>
                <w:pPr>
                  <w:pStyle w:val="BodyText"/>
                  <w:spacing w:before="18"/>
                  <w:ind w:left="20"/>
                </w:pPr>
                <w:r>
                  <w:rPr>
                    <w:spacing w:val="-5"/>
                    <w:w w:val="105"/>
                  </w:rPr>
                  <w:t>51</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99.813782pt;width:11.55pt;height:12.35pt;mso-position-horizontal-relative:page;mso-position-vertical-relative:page;z-index:-20471296" type="#_x0000_t202" id="docshape378" filled="false" stroked="false">
          <v:textbox inset="0,0,0,0">
            <w:txbxContent>
              <w:p>
                <w:pPr>
                  <w:pStyle w:val="BodyText"/>
                  <w:spacing w:before="18"/>
                  <w:ind w:left="20"/>
                </w:pPr>
                <w:r>
                  <w:rPr>
                    <w:spacing w:val="-5"/>
                    <w:w w:val="105"/>
                  </w:rPr>
                  <w:t>52</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55.949158pt;width:555pt;height:1.4pt;mso-position-horizontal-relative:page;mso-position-vertical-relative:page;z-index:-20470272" id="docshapegroup426" coordorigin="580,15119" coordsize="11100,28">
          <v:rect style="position:absolute;left:580;top:15118;width:11100;height:14" id="docshape427" filled="true" fillcolor="#999999" stroked="false">
            <v:fill type="solid"/>
          </v:rect>
          <v:shape style="position:absolute;left:579;top:15119;width:11100;height:28" id="docshape428" coordorigin="580,15119" coordsize="11100,28" path="m11680,15119l11666,15133,580,15133,580,15147,11666,15147,11680,15147,11680,15133,11680,15119xe" filled="true" fillcolor="#ededed" stroked="false">
            <v:path arrowok="t"/>
            <v:fill type="solid"/>
          </v:shape>
          <v:shape style="position:absolute;left:580;top:15118;width:14;height:28" id="docshape429" coordorigin="580,15119" coordsize="14,28" path="m580,15147l580,15119,594,15119,594,15133,580,15147xe" filled="true" fillcolor="#999999" stroked="false">
            <v:path arrowok="t"/>
            <v:fill type="solid"/>
          </v:shape>
          <w10:wrap type="none"/>
        </v:group>
      </w:pict>
    </w:r>
    <w:r>
      <w:rPr/>
      <w:pict>
        <v:shape style="position:absolute;margin-left:300.650726pt;margin-top:723.580566pt;width:11.55pt;height:12.35pt;mso-position-horizontal-relative:page;mso-position-vertical-relative:page;z-index:-20469760" type="#_x0000_t202" id="docshape430" filled="false" stroked="false">
          <v:textbox inset="0,0,0,0">
            <w:txbxContent>
              <w:p>
                <w:pPr>
                  <w:pStyle w:val="BodyText"/>
                  <w:spacing w:before="18"/>
                  <w:ind w:left="20"/>
                </w:pPr>
                <w:r>
                  <w:rPr>
                    <w:spacing w:val="-5"/>
                    <w:w w:val="105"/>
                  </w:rPr>
                  <w:t>53</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54.552185pt;width:555pt;height:1.4pt;mso-position-horizontal-relative:page;mso-position-vertical-relative:page;z-index:-20468736" id="docshapegroup434" coordorigin="580,15091" coordsize="11100,28">
          <v:rect style="position:absolute;left:580;top:15091;width:11100;height:14" id="docshape435" filled="true" fillcolor="#999999" stroked="false">
            <v:fill type="solid"/>
          </v:rect>
          <v:shape style="position:absolute;left:579;top:15091;width:11100;height:28" id="docshape436" coordorigin="580,15091" coordsize="11100,28" path="m11680,15091l11666,15105,580,15105,580,15119,11666,15119,11680,15119,11680,15105,11680,15091xe" filled="true" fillcolor="#ededed" stroked="false">
            <v:path arrowok="t"/>
            <v:fill type="solid"/>
          </v:shape>
          <v:shape style="position:absolute;left:580;top:15091;width:14;height:28" id="docshape437" coordorigin="580,15091" coordsize="14,28" path="m580,15119l580,15091,594,15091,594,15105,580,15119xe" filled="true" fillcolor="#999999" stroked="false">
            <v:path arrowok="t"/>
            <v:fill type="solid"/>
          </v:shape>
          <w10:wrap type="none"/>
        </v:group>
      </w:pict>
    </w:r>
    <w:r>
      <w:rPr/>
      <w:pict>
        <v:shape style="position:absolute;margin-left:300.650726pt;margin-top:722.183594pt;width:11.55pt;height:12.35pt;mso-position-horizontal-relative:page;mso-position-vertical-relative:page;z-index:-20468224" type="#_x0000_t202" id="docshape438" filled="false" stroked="false">
          <v:textbox inset="0,0,0,0">
            <w:txbxContent>
              <w:p>
                <w:pPr>
                  <w:pStyle w:val="BodyText"/>
                  <w:spacing w:before="18"/>
                  <w:ind w:left="20"/>
                </w:pPr>
                <w:r>
                  <w:rPr>
                    <w:spacing w:val="-5"/>
                    <w:w w:val="105"/>
                  </w:rPr>
                  <w:t>54</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51.754822pt;width:555pt;height:1.4pt;mso-position-horizontal-relative:page;mso-position-vertical-relative:page;z-index:-20467200" id="docshapegroup441" coordorigin="580,15035" coordsize="11100,28">
          <v:rect style="position:absolute;left:580;top:15035;width:11100;height:14" id="docshape442" filled="true" fillcolor="#999999" stroked="false">
            <v:fill type="solid"/>
          </v:rect>
          <v:shape style="position:absolute;left:579;top:15035;width:11100;height:28" id="docshape443" coordorigin="580,15035" coordsize="11100,28" path="m11680,15035l11666,15049,580,15049,580,15063,11666,15063,11680,15063,11680,15049,11680,15035xe" filled="true" fillcolor="#ededed" stroked="false">
            <v:path arrowok="t"/>
            <v:fill type="solid"/>
          </v:shape>
          <v:shape style="position:absolute;left:580;top:15035;width:14;height:28" id="docshape444" coordorigin="580,15035" coordsize="14,28" path="m580,15063l580,15035,594,15035,594,15049,580,15063xe" filled="true" fillcolor="#999999" stroked="false">
            <v:path arrowok="t"/>
            <v:fill type="solid"/>
          </v:shape>
          <w10:wrap type="none"/>
        </v:group>
      </w:pict>
    </w:r>
    <w:r>
      <w:rPr/>
      <w:pict>
        <v:shape style="position:absolute;margin-left:300.650726pt;margin-top:718.687256pt;width:11.55pt;height:12.35pt;mso-position-horizontal-relative:page;mso-position-vertical-relative:page;z-index:-20466688" type="#_x0000_t202" id="docshape445" filled="false" stroked="false">
          <v:textbox inset="0,0,0,0">
            <w:txbxContent>
              <w:p>
                <w:pPr>
                  <w:pStyle w:val="BodyText"/>
                  <w:spacing w:before="18"/>
                  <w:ind w:left="20"/>
                </w:pPr>
                <w:r>
                  <w:rPr>
                    <w:spacing w:val="-5"/>
                    <w:w w:val="105"/>
                  </w:rPr>
                  <w:t>55</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4.00946pt;width:11.55pt;height:12.35pt;mso-position-horizontal-relative:page;mso-position-vertical-relative:page;z-index:-20465664" type="#_x0000_t202" id="docshape447" filled="false" stroked="false">
          <v:textbox inset="0,0,0,0">
            <w:txbxContent>
              <w:p>
                <w:pPr>
                  <w:pStyle w:val="BodyText"/>
                  <w:spacing w:before="18"/>
                  <w:ind w:left="20"/>
                </w:pPr>
                <w:r>
                  <w:rPr>
                    <w:spacing w:val="-5"/>
                    <w:w w:val="105"/>
                  </w:rPr>
                  <w:t>56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47.564453pt;width:555pt;height:1.4pt;mso-position-horizontal-relative:page;mso-position-vertical-relative:page;z-index:-20515840" id="docshapegroup51" coordorigin="580,14951" coordsize="11100,28">
          <v:rect style="position:absolute;left:580;top:14951;width:11100;height:14" id="docshape52" filled="true" fillcolor="#999999" stroked="false">
            <v:fill type="solid"/>
          </v:rect>
          <v:shape style="position:absolute;left:579;top:14951;width:11100;height:28" id="docshape53" coordorigin="580,14951" coordsize="11100,28" path="m11680,14951l11666,14965,580,14965,580,14979,11666,14979,11680,14979,11680,14965,11680,14951xe" filled="true" fillcolor="#ededed" stroked="false">
            <v:path arrowok="t"/>
            <v:fill type="solid"/>
          </v:shape>
          <v:shape style="position:absolute;left:580;top:14951;width:14;height:28" id="docshape54" coordorigin="580,14951" coordsize="14,28" path="m580,14979l580,14951,594,14951,594,14965,580,14979xe" filled="true" fillcolor="#999999" stroked="false">
            <v:path arrowok="t"/>
            <v:fill type="solid"/>
          </v:shape>
          <w10:wrap type="none"/>
        </v:group>
      </w:pict>
    </w:r>
    <w:r>
      <w:rPr/>
      <w:pict>
        <v:shape style="position:absolute;margin-left:303.075348pt;margin-top:714.49585pt;width:6.7pt;height:12.35pt;mso-position-horizontal-relative:page;mso-position-vertical-relative:page;z-index:-20515328" type="#_x0000_t202" id="docshape55" filled="false" stroked="false">
          <v:textbox inset="0,0,0,0">
            <w:txbxContent>
              <w:p>
                <w:pPr>
                  <w:pStyle w:val="BodyText"/>
                  <w:spacing w:before="18"/>
                  <w:ind w:left="20"/>
                </w:pPr>
                <w:r>
                  <w:rPr>
                    <w:w w:val="103"/>
                  </w:rPr>
                  <w:t>3</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35.465149pt;width:11.55pt;height:12.35pt;mso-position-horizontal-relative:page;mso-position-vertical-relative:page;z-index:-20464640" type="#_x0000_t202" id="docshape454" filled="false" stroked="false">
          <v:textbox inset="0,0,0,0">
            <w:txbxContent>
              <w:p>
                <w:pPr>
                  <w:pStyle w:val="BodyText"/>
                  <w:spacing w:before="18"/>
                  <w:ind w:left="20"/>
                </w:pPr>
                <w:r>
                  <w:rPr>
                    <w:spacing w:val="-5"/>
                    <w:w w:val="105"/>
                  </w:rPr>
                  <w:t>57</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701.211731pt;width:11.55pt;height:12.35pt;mso-position-horizontal-relative:page;mso-position-vertical-relative:page;z-index:-20463616" type="#_x0000_t202" id="docshape463" filled="false" stroked="false">
          <v:textbox inset="0,0,0,0">
            <w:txbxContent>
              <w:p>
                <w:pPr>
                  <w:pStyle w:val="BodyText"/>
                  <w:spacing w:before="18"/>
                  <w:ind w:left="20"/>
                </w:pPr>
                <w:r>
                  <w:rPr>
                    <w:spacing w:val="-5"/>
                    <w:w w:val="105"/>
                  </w:rPr>
                  <w:t>58</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21.698425pt;width:555pt;height:1.4pt;mso-position-horizontal-relative:page;mso-position-vertical-relative:page;z-index:-20462592" id="docshapegroup472" coordorigin="580,14434" coordsize="11100,28">
          <v:rect style="position:absolute;left:580;top:14433;width:11100;height:14" id="docshape473" filled="true" fillcolor="#999999" stroked="false">
            <v:fill type="solid"/>
          </v:rect>
          <v:shape style="position:absolute;left:579;top:14433;width:11100;height:28" id="docshape474" coordorigin="580,14434" coordsize="11100,28" path="m11680,14434l11666,14448,580,14448,580,14462,11666,14462,11680,14462,11680,14448,11680,14434xe" filled="true" fillcolor="#ededed" stroked="false">
            <v:path arrowok="t"/>
            <v:fill type="solid"/>
          </v:shape>
          <v:shape style="position:absolute;left:580;top:14433;width:14;height:28" id="docshape475" coordorigin="580,14434" coordsize="14,28" path="m580,14462l580,14434,594,14434,594,14448,580,14462xe" filled="true" fillcolor="#999999" stroked="false">
            <v:path arrowok="t"/>
            <v:fill type="solid"/>
          </v:shape>
          <w10:wrap type="none"/>
        </v:group>
      </w:pict>
    </w:r>
    <w:r>
      <w:rPr/>
      <w:pict>
        <v:shape style="position:absolute;margin-left:300.650726pt;margin-top:689.329895pt;width:11.55pt;height:12.35pt;mso-position-horizontal-relative:page;mso-position-vertical-relative:page;z-index:-20462080" type="#_x0000_t202" id="docshape476" filled="false" stroked="false">
          <v:textbox inset="0,0,0,0">
            <w:txbxContent>
              <w:p>
                <w:pPr>
                  <w:pStyle w:val="BodyText"/>
                  <w:spacing w:before="18"/>
                  <w:ind w:left="20"/>
                </w:pPr>
                <w:r>
                  <w:rPr>
                    <w:spacing w:val="-5"/>
                    <w:w w:val="105"/>
                  </w:rPr>
                  <w:t>59</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16.806519pt;width:555pt;height:1.4pt;mso-position-horizontal-relative:page;mso-position-vertical-relative:page;z-index:-20461056" id="docshapegroup482" coordorigin="580,14336" coordsize="11100,28">
          <v:rect style="position:absolute;left:580;top:14336;width:11100;height:14" id="docshape483" filled="true" fillcolor="#999999" stroked="false">
            <v:fill type="solid"/>
          </v:rect>
          <v:shape style="position:absolute;left:579;top:14336;width:11100;height:28" id="docshape484" coordorigin="580,14336" coordsize="11100,28" path="m11680,14336l11666,14350,580,14350,580,14364,11666,14364,11680,14364,11680,14350,11680,14336xe" filled="true" fillcolor="#ededed" stroked="false">
            <v:path arrowok="t"/>
            <v:fill type="solid"/>
          </v:shape>
          <v:shape style="position:absolute;left:580;top:14336;width:14;height:28" id="docshape485" coordorigin="580,14336" coordsize="14,28" path="m580,14364l580,14336,594,14336,594,14350,580,14364xe" filled="true" fillcolor="#999999" stroked="false">
            <v:path arrowok="t"/>
            <v:fill type="solid"/>
          </v:shape>
          <w10:wrap type="none"/>
        </v:group>
      </w:pict>
    </w:r>
    <w:r>
      <w:rPr/>
      <w:pict>
        <v:shape style="position:absolute;margin-left:300.650726pt;margin-top:684.437988pt;width:11.55pt;height:12.35pt;mso-position-horizontal-relative:page;mso-position-vertical-relative:page;z-index:-20460544" type="#_x0000_t202" id="docshape486" filled="false" stroked="false">
          <v:textbox inset="0,0,0,0">
            <w:txbxContent>
              <w:p>
                <w:pPr>
                  <w:pStyle w:val="BodyText"/>
                  <w:spacing w:before="18"/>
                  <w:ind w:left="20"/>
                </w:pPr>
                <w:r>
                  <w:rPr>
                    <w:spacing w:val="-5"/>
                    <w:w w:val="105"/>
                  </w:rPr>
                  <w:t>60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50726pt;margin-top:669.056396pt;width:11.55pt;height:12.35pt;mso-position-horizontal-relative:page;mso-position-vertical-relative:page;z-index:-20459520" type="#_x0000_t202" id="docshape488" filled="false" stroked="false">
          <v:textbox inset="0,0,0,0">
            <w:txbxContent>
              <w:p>
                <w:pPr>
                  <w:pStyle w:val="BodyText"/>
                  <w:spacing w:before="18"/>
                  <w:ind w:left="20"/>
                </w:pPr>
                <w:r>
                  <w:rPr>
                    <w:spacing w:val="-5"/>
                    <w:w w:val="105"/>
                  </w:rPr>
                  <w:t>61</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group style="position:absolute;margin-left:28.999998pt;margin-top:754.549316pt;width:555pt;height:1.4pt;mso-position-horizontal-relative:page;mso-position-vertical-relative:page;z-index:-20458496" id="docshapegroup494" coordorigin="580,15091" coordsize="11100,28">
          <v:rect style="position:absolute;left:580;top:15090;width:11100;height:14" id="docshape495" filled="true" fillcolor="#999999" stroked="false">
            <v:fill type="solid"/>
          </v:rect>
          <v:shape style="position:absolute;left:579;top:15091;width:11100;height:28" id="docshape496" coordorigin="580,15091" coordsize="11100,28" path="m11680,15091l11666,15105,580,15105,580,15119,11666,15119,11680,15119,11680,15105,11680,15091xe" filled="true" fillcolor="#ededed" stroked="false">
            <v:path arrowok="t"/>
            <v:fill type="solid"/>
          </v:shape>
          <v:shape style="position:absolute;left:580;top:15090;width:14;height:28" id="docshape497" coordorigin="580,15091" coordsize="14,28" path="m580,15119l580,15091,594,15091,594,15105,580,15119xe" filled="true" fillcolor="#999999" stroked="false">
            <v:path arrowok="t"/>
            <v:fill type="solid"/>
          </v:shape>
          <w10:wrap type="non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42.671082pt;width:555pt;height:1.4pt;mso-position-horizontal-relative:page;mso-position-vertical-relative:page;z-index:-20514304" id="docshapegroup58" coordorigin="580,14853" coordsize="11100,28">
          <v:rect style="position:absolute;left:580;top:14853;width:11100;height:14" id="docshape59" filled="true" fillcolor="#999999" stroked="false">
            <v:fill type="solid"/>
          </v:rect>
          <v:shape style="position:absolute;left:579;top:14853;width:11100;height:28" id="docshape60" coordorigin="580,14853" coordsize="11100,28" path="m11680,14853l11666,14867,580,14867,580,14881,11666,14881,11680,14881,11680,14867,11680,14853xe" filled="true" fillcolor="#ededed" stroked="false">
            <v:path arrowok="t"/>
            <v:fill type="solid"/>
          </v:shape>
          <v:shape style="position:absolute;left:580;top:14853;width:14;height:28" id="docshape61" coordorigin="580,14853" coordsize="14,28" path="m580,14881l580,14853,594,14853,594,14867,580,14881xe" filled="true" fillcolor="#999999" stroked="false">
            <v:path arrowok="t"/>
            <v:fill type="solid"/>
          </v:shape>
          <w10:wrap type="none"/>
        </v:group>
      </w:pict>
    </w:r>
    <w:r>
      <w:rPr/>
      <w:pict>
        <v:shape style="position:absolute;margin-left:303.075348pt;margin-top:710.301453pt;width:6.7pt;height:12.35pt;mso-position-horizontal-relative:page;mso-position-vertical-relative:page;z-index:-20513792" type="#_x0000_t202" id="docshape62" filled="false" stroked="false">
          <v:textbox inset="0,0,0,0">
            <w:txbxContent>
              <w:p>
                <w:pPr>
                  <w:pStyle w:val="BodyText"/>
                  <w:spacing w:before="18"/>
                  <w:ind w:left="20"/>
                </w:pPr>
                <w:r>
                  <w:rPr>
                    <w:w w:val="103"/>
                  </w:rPr>
                  <w:t>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999998pt;margin-top:748.263062pt;width:555pt;height:1.4pt;mso-position-horizontal-relative:page;mso-position-vertical-relative:page;z-index:-20512768" id="docshapegroup64" coordorigin="580,14965" coordsize="11100,28">
          <v:rect style="position:absolute;left:580;top:14965;width:11100;height:14" id="docshape65" filled="true" fillcolor="#999999" stroked="false">
            <v:fill type="solid"/>
          </v:rect>
          <v:shape style="position:absolute;left:579;top:14965;width:11100;height:28" id="docshape66" coordorigin="580,14965" coordsize="11100,28" path="m11680,14965l11666,14979,580,14979,580,14993,11666,14993,11680,14993,11680,14979,11680,14965xe" filled="true" fillcolor="#ededed" stroked="false">
            <v:path arrowok="t"/>
            <v:fill type="solid"/>
          </v:shape>
          <v:shape style="position:absolute;left:580;top:14965;width:14;height:28" id="docshape67" coordorigin="580,14965" coordsize="14,28" path="m580,14993l580,14965,594,14965,594,14979,580,14993xe" filled="true" fillcolor="#999999" stroked="false">
            <v:path arrowok="t"/>
            <v:fill type="solid"/>
          </v:shape>
          <w10:wrap type="none"/>
        </v:group>
      </w:pict>
    </w:r>
    <w:r>
      <w:rPr/>
      <w:pict>
        <v:shape style="position:absolute;margin-left:301.075348pt;margin-top:715.893494pt;width:11.7pt;height:13.05pt;mso-position-horizontal-relative:page;mso-position-vertical-relative:page;z-index:-20512256" type="#_x0000_t202" id="docshape68" filled="false" stroked="false">
          <v:textbox inset="0,0,0,0">
            <w:txbxContent>
              <w:p>
                <w:pPr>
                  <w:pStyle w:val="BodyText"/>
                  <w:spacing w:before="32"/>
                  <w:ind w:left="60"/>
                </w:pPr>
                <w:r>
                  <w:rPr>
                    <w:w w:val="103"/>
                  </w:rPr>
                  <w:fldChar w:fldCharType="begin"/>
                </w:r>
                <w:r>
                  <w:rPr>
                    <w:w w:val="103"/>
                  </w:rPr>
                  <w:instrText> PAGE </w:instrText>
                </w:r>
                <w:r>
                  <w:rPr>
                    <w:w w:val="103"/>
                  </w:rPr>
                  <w:fldChar w:fldCharType="separate"/>
                </w:r>
                <w:r>
                  <w:rPr>
                    <w:w w:val="103"/>
                  </w:rPr>
                  <w:t>6</w:t>
                </w:r>
                <w:r>
                  <w:rPr>
                    <w:w w:val="103"/>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087372pt;margin-top:28.00346pt;width:64.7pt;height:9.5pt;mso-position-horizontal-relative:page;mso-position-vertical-relative:page;z-index:-20521472" type="#_x0000_t202" id="docshape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284pt;width:64.7pt;height:9.5pt;mso-position-horizontal-relative:page;mso-position-vertical-relative:page;z-index:-20510208" type="#_x0000_t202" id="docshape7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353pt;width:64.7pt;height:9.5pt;mso-position-horizontal-relative:page;mso-position-vertical-relative:page;z-index:-20509184" type="#_x0000_t202" id="docshape8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24pt;width:64.7pt;height:9.5pt;mso-position-horizontal-relative:page;mso-position-vertical-relative:page;z-index:-20507648" type="#_x0000_t202" id="docshape8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771pt;width:64.7pt;height:9.5pt;mso-position-horizontal-relative:page;mso-position-vertical-relative:page;z-index:-20506112" type="#_x0000_t202" id="docshape9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81pt;width:64.7pt;height:9.5pt;mso-position-horizontal-relative:page;mso-position-vertical-relative:page;z-index:-20520960" type="#_x0000_t202" id="docshape1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412pt;width:64.7pt;height:9.5pt;mso-position-horizontal-relative:page;mso-position-vertical-relative:page;z-index:-20503040" type="#_x0000_t202" id="docshape140"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54pt;width:64.7pt;height:9.5pt;mso-position-horizontal-relative:page;mso-position-vertical-relative:page;z-index:-20520448" type="#_x0000_t202" id="docshape18"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229pt;width:64.7pt;height:9.5pt;mso-position-horizontal-relative:page;mso-position-vertical-relative:page;z-index:-20502016" type="#_x0000_t202" id="docshape149"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4257pt;width:64.7pt;height:9.5pt;mso-position-horizontal-relative:page;mso-position-vertical-relative:page;z-index:-20500992" type="#_x0000_t202" id="docshape15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366pt;width:64.7pt;height:9.5pt;mso-position-horizontal-relative:page;mso-position-vertical-relative:page;z-index:-20499968" type="#_x0000_t202" id="docshape16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746pt;width:64.7pt;height:9.5pt;mso-position-horizontal-relative:page;mso-position-vertical-relative:page;z-index:-20499456" type="#_x0000_t202" id="docshape166"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4774pt;width:64.7pt;height:9.5pt;mso-position-horizontal-relative:page;mso-position-vertical-relative:page;z-index:-20498432" type="#_x0000_t202" id="docshape17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883pt;width:64.7pt;height:9.5pt;mso-position-horizontal-relative:page;mso-position-vertical-relative:page;z-index:-20497408" type="#_x0000_t202" id="docshape178"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993pt;width:64.7pt;height:9.5pt;mso-position-horizontal-relative:page;mso-position-vertical-relative:page;z-index:-20496384" type="#_x0000_t202" id="docshape188"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4023pt;width:64.7pt;height:9.5pt;mso-position-horizontal-relative:page;mso-position-vertical-relative:page;z-index:-20494848" type="#_x0000_t202" id="docshape194"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4162pt;width:64.7pt;height:9.5pt;mso-position-horizontal-relative:page;mso-position-vertical-relative:page;z-index:-20493312" type="#_x0000_t202" id="docshape20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01pt;width:64.7pt;height:9.5pt;mso-position-horizontal-relative:page;mso-position-vertical-relative:page;z-index:-20518400" type="#_x0000_t202" id="docshape3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591pt;width:64.7pt;height:9.5pt;mso-position-horizontal-relative:page;mso-position-vertical-relative:page;z-index:-20492800" type="#_x0000_t202" id="docshape20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649pt;width:64.7pt;height:9.5pt;mso-position-horizontal-relative:page;mso-position-vertical-relative:page;z-index:-20492288" type="#_x0000_t202" id="docshape21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0837pt;width:64.7pt;height:9.5pt;mso-position-horizontal-relative:page;mso-position-vertical-relative:page;z-index:-20490752" type="#_x0000_t202" id="docshape219"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867pt;width:64.7pt;height:9.5pt;mso-position-horizontal-relative:page;mso-position-vertical-relative:page;z-index:-20489216" type="#_x0000_t202" id="docshape22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0086pt;width:64.7pt;height:9.5pt;mso-position-horizontal-relative:page;mso-position-vertical-relative:page;z-index:-20488704" type="#_x0000_t202" id="docshape23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114pt;width:64.7pt;height:9.5pt;mso-position-horizontal-relative:page;mso-position-vertical-relative:page;z-index:-20487680" type="#_x0000_t202" id="docshape24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144pt;width:64.7pt;height:9.5pt;mso-position-horizontal-relative:page;mso-position-vertical-relative:page;z-index:-20486656" type="#_x0000_t202" id="docshape24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174pt;width:64.7pt;height:9.5pt;mso-position-horizontal-relative:page;mso-position-vertical-relative:page;z-index:-20485632" type="#_x0000_t202" id="docshape25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83pt;width:64.7pt;height:9.5pt;mso-position-horizontal-relative:page;mso-position-vertical-relative:page;z-index:-20517376" type="#_x0000_t202" id="docshape4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0603pt;width:64.7pt;height:9.5pt;mso-position-horizontal-relative:page;mso-position-vertical-relative:page;z-index:-20484608" type="#_x0000_t202" id="docshape26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701pt;width:64.7pt;height:9.5pt;mso-position-horizontal-relative:page;mso-position-vertical-relative:page;z-index:-20483584" type="#_x0000_t202" id="docshape27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729pt;width:64.7pt;height:9.5pt;mso-position-horizontal-relative:page;mso-position-vertical-relative:page;z-index:-20482560" type="#_x0000_t202" id="docshape28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36pt;width:64.7pt;height:9.5pt;mso-position-horizontal-relative:page;mso-position-vertical-relative:page;z-index:-20481536" type="#_x0000_t202" id="docshape294"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388pt;width:64.7pt;height:9.5pt;mso-position-horizontal-relative:page;mso-position-vertical-relative:page;z-index:-20481024" type="#_x0000_t202" id="docshape300"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18pt;width:64.7pt;height:9.5pt;mso-position-horizontal-relative:page;mso-position-vertical-relative:page;z-index:-20480512" type="#_x0000_t202" id="docshape30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7.999647pt;width:64.7pt;height:9.5pt;mso-position-horizontal-relative:page;mso-position-vertical-relative:page;z-index:-20479488" type="#_x0000_t202" id="docshape316"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705pt;width:64.7pt;height:9.5pt;mso-position-horizontal-relative:page;mso-position-vertical-relative:page;z-index:-20477952" type="#_x0000_t202" id="docshape32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735pt;width:64.7pt;height:9.5pt;mso-position-horizontal-relative:page;mso-position-vertical-relative:page;z-index:-20476928" type="#_x0000_t202" id="docshape33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899pt;width:64.7pt;height:9.5pt;mso-position-horizontal-relative:page;mso-position-vertical-relative:page;z-index:-20516352" type="#_x0000_t202" id="docshape50"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364pt;width:64.7pt;height:9.5pt;mso-position-horizontal-relative:page;mso-position-vertical-relative:page;z-index:-20475904" type="#_x0000_t202" id="docshape338"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394pt;width:64.7pt;height:9.5pt;mso-position-horizontal-relative:page;mso-position-vertical-relative:page;z-index:-20474880" type="#_x0000_t202" id="docshape344"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22pt;width:64.7pt;height:9.5pt;mso-position-horizontal-relative:page;mso-position-vertical-relative:page;z-index:-20473856" type="#_x0000_t202" id="docshape35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7.999651pt;width:64.7pt;height:9.5pt;mso-position-horizontal-relative:page;mso-position-vertical-relative:page;z-index:-20472832" type="#_x0000_t202" id="docshape36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0681pt;width:64.7pt;height:9.5pt;mso-position-horizontal-relative:page;mso-position-vertical-relative:page;z-index:-20471808" type="#_x0000_t202" id="docshape37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709pt;width:64.7pt;height:9.5pt;mso-position-horizontal-relative:page;mso-position-vertical-relative:page;z-index:-20470784" type="#_x0000_t202" id="docshape425"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739pt;width:64.7pt;height:9.5pt;mso-position-horizontal-relative:page;mso-position-vertical-relative:page;z-index:-20469248" type="#_x0000_t202" id="docshape43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368pt;width:64.7pt;height:9.5pt;mso-position-horizontal-relative:page;mso-position-vertical-relative:page;z-index:-20467712" type="#_x0000_t202" id="docshape440"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398pt;width:64.7pt;height:9.5pt;mso-position-horizontal-relative:page;mso-position-vertical-relative:page;z-index:-20466176" type="#_x0000_t202" id="docshape446"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28pt;width:64.7pt;height:9.5pt;mso-position-horizontal-relative:page;mso-position-vertical-relative:page;z-index:-20465152" type="#_x0000_t202" id="docshape45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489pt;width:64.7pt;height:9.5pt;mso-position-horizontal-relative:page;mso-position-vertical-relative:page;z-index:-20514816" type="#_x0000_t202" id="docshape5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0685pt;width:64.7pt;height:9.5pt;mso-position-horizontal-relative:page;mso-position-vertical-relative:page;z-index:-20464128" type="#_x0000_t202" id="docshape462"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1715pt;width:64.7pt;height:9.5pt;mso-position-horizontal-relative:page;mso-position-vertical-relative:page;z-index:-20463104" type="#_x0000_t202" id="docshape47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2743pt;width:64.7pt;height:9.5pt;mso-position-horizontal-relative:page;mso-position-vertical-relative:page;z-index:-20461568" type="#_x0000_t202" id="docshape481"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7.998972pt;width:64.7pt;height:9.5pt;mso-position-horizontal-relative:page;mso-position-vertical-relative:page;z-index:-20460032" type="#_x0000_t202" id="docshape487"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0002pt;width:64.7pt;height:9.5pt;mso-position-horizontal-relative:page;mso-position-vertical-relative:page;z-index:-20459008" type="#_x0000_t202" id="docshape49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557pt;width:64.7pt;height:9.5pt;mso-position-horizontal-relative:page;mso-position-vertical-relative:page;z-index:-20513280" type="#_x0000_t202" id="docshape63"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7372pt;margin-top:28.003216pt;width:64.7pt;height:9.5pt;mso-position-horizontal-relative:page;mso-position-vertical-relative:page;z-index:-20511744" type="#_x0000_t202" id="docshape69" filled="false" stroked="false">
          <v:textbox inset="0,0,0,0">
            <w:txbxContent>
              <w:p>
                <w:pPr>
                  <w:spacing w:line="172" w:lineRule="exact" w:before="0"/>
                  <w:ind w:left="20" w:right="0" w:firstLine="0"/>
                  <w:jc w:val="left"/>
                  <w:rPr>
                    <w:rFonts w:ascii="Calibri"/>
                    <w:sz w:val="15"/>
                  </w:rPr>
                </w:pPr>
                <w:r>
                  <w:rPr>
                    <w:rFonts w:ascii="Calibri"/>
                    <w:color w:val="003366"/>
                    <w:spacing w:val="-2"/>
                    <w:sz w:val="15"/>
                  </w:rPr>
                  <w:t>TABLE</w:t>
                </w:r>
                <w:r>
                  <w:rPr>
                    <w:rFonts w:ascii="Calibri"/>
                    <w:color w:val="003366"/>
                    <w:spacing w:val="-3"/>
                    <w:sz w:val="15"/>
                  </w:rPr>
                  <w:t> </w:t>
                </w:r>
                <w:r>
                  <w:rPr>
                    <w:rFonts w:ascii="Calibri"/>
                    <w:color w:val="003366"/>
                    <w:spacing w:val="-2"/>
                    <w:sz w:val="15"/>
                  </w:rPr>
                  <w:t>OF</w:t>
                </w:r>
                <w:r>
                  <w:rPr>
                    <w:rFonts w:ascii="Calibri"/>
                    <w:color w:val="003366"/>
                    <w:spacing w:val="-3"/>
                    <w:sz w:val="15"/>
                  </w:rPr>
                  <w:t> </w:t>
                </w:r>
                <w:r>
                  <w:rPr>
                    <w:rFonts w:ascii="Calibri"/>
                    <w:color w:val="003366"/>
                    <w:spacing w:val="-2"/>
                    <w:sz w:val="15"/>
                  </w:rPr>
                  <w:t>CONTENTS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973"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912" w:hanging="187"/>
      </w:pPr>
      <w:rPr>
        <w:rFonts w:hint="default"/>
        <w:lang w:val="en-US" w:eastAsia="en-US" w:bidi="ar-SA"/>
      </w:rPr>
    </w:lvl>
    <w:lvl w:ilvl="2">
      <w:start w:val="0"/>
      <w:numFmt w:val="bullet"/>
      <w:lvlText w:val="•"/>
      <w:lvlJc w:val="left"/>
      <w:pPr>
        <w:ind w:left="3844" w:hanging="187"/>
      </w:pPr>
      <w:rPr>
        <w:rFonts w:hint="default"/>
        <w:lang w:val="en-US" w:eastAsia="en-US" w:bidi="ar-SA"/>
      </w:rPr>
    </w:lvl>
    <w:lvl w:ilvl="3">
      <w:start w:val="0"/>
      <w:numFmt w:val="bullet"/>
      <w:lvlText w:val="•"/>
      <w:lvlJc w:val="left"/>
      <w:pPr>
        <w:ind w:left="4776" w:hanging="187"/>
      </w:pPr>
      <w:rPr>
        <w:rFonts w:hint="default"/>
        <w:lang w:val="en-US" w:eastAsia="en-US" w:bidi="ar-SA"/>
      </w:rPr>
    </w:lvl>
    <w:lvl w:ilvl="4">
      <w:start w:val="0"/>
      <w:numFmt w:val="bullet"/>
      <w:lvlText w:val="•"/>
      <w:lvlJc w:val="left"/>
      <w:pPr>
        <w:ind w:left="5708" w:hanging="187"/>
      </w:pPr>
      <w:rPr>
        <w:rFonts w:hint="default"/>
        <w:lang w:val="en-US" w:eastAsia="en-US" w:bidi="ar-SA"/>
      </w:rPr>
    </w:lvl>
    <w:lvl w:ilvl="5">
      <w:start w:val="0"/>
      <w:numFmt w:val="bullet"/>
      <w:lvlText w:val="•"/>
      <w:lvlJc w:val="left"/>
      <w:pPr>
        <w:ind w:left="6640" w:hanging="187"/>
      </w:pPr>
      <w:rPr>
        <w:rFonts w:hint="default"/>
        <w:lang w:val="en-US" w:eastAsia="en-US" w:bidi="ar-SA"/>
      </w:rPr>
    </w:lvl>
    <w:lvl w:ilvl="6">
      <w:start w:val="0"/>
      <w:numFmt w:val="bullet"/>
      <w:lvlText w:val="•"/>
      <w:lvlJc w:val="left"/>
      <w:pPr>
        <w:ind w:left="7572" w:hanging="187"/>
      </w:pPr>
      <w:rPr>
        <w:rFonts w:hint="default"/>
        <w:lang w:val="en-US" w:eastAsia="en-US" w:bidi="ar-SA"/>
      </w:rPr>
    </w:lvl>
    <w:lvl w:ilvl="7">
      <w:start w:val="0"/>
      <w:numFmt w:val="bullet"/>
      <w:lvlText w:val="•"/>
      <w:lvlJc w:val="left"/>
      <w:pPr>
        <w:ind w:left="8504" w:hanging="187"/>
      </w:pPr>
      <w:rPr>
        <w:rFonts w:hint="default"/>
        <w:lang w:val="en-US" w:eastAsia="en-US" w:bidi="ar-SA"/>
      </w:rPr>
    </w:lvl>
    <w:lvl w:ilvl="8">
      <w:start w:val="0"/>
      <w:numFmt w:val="bullet"/>
      <w:lvlText w:val="•"/>
      <w:lvlJc w:val="left"/>
      <w:pPr>
        <w:ind w:left="9436" w:hanging="187"/>
      </w:pPr>
      <w:rPr>
        <w:rFonts w:hint="default"/>
        <w:lang w:val="en-US" w:eastAsia="en-US" w:bidi="ar-SA"/>
      </w:rPr>
    </w:lvl>
  </w:abstractNum>
  <w:abstractNum w:abstractNumId="37">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36">
    <w:multiLevelType w:val="hybridMultilevel"/>
    <w:lvl w:ilvl="0">
      <w:start w:val="1"/>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2732" w:hanging="373"/>
      </w:pPr>
      <w:rPr>
        <w:rFonts w:hint="default"/>
        <w:lang w:val="en-US" w:eastAsia="en-US" w:bidi="ar-SA"/>
      </w:rPr>
    </w:lvl>
    <w:lvl w:ilvl="2">
      <w:start w:val="0"/>
      <w:numFmt w:val="bullet"/>
      <w:lvlText w:val="•"/>
      <w:lvlJc w:val="left"/>
      <w:pPr>
        <w:ind w:left="3684" w:hanging="373"/>
      </w:pPr>
      <w:rPr>
        <w:rFonts w:hint="default"/>
        <w:lang w:val="en-US" w:eastAsia="en-US" w:bidi="ar-SA"/>
      </w:rPr>
    </w:lvl>
    <w:lvl w:ilvl="3">
      <w:start w:val="0"/>
      <w:numFmt w:val="bullet"/>
      <w:lvlText w:val="•"/>
      <w:lvlJc w:val="left"/>
      <w:pPr>
        <w:ind w:left="4636" w:hanging="373"/>
      </w:pPr>
      <w:rPr>
        <w:rFonts w:hint="default"/>
        <w:lang w:val="en-US" w:eastAsia="en-US" w:bidi="ar-SA"/>
      </w:rPr>
    </w:lvl>
    <w:lvl w:ilvl="4">
      <w:start w:val="0"/>
      <w:numFmt w:val="bullet"/>
      <w:lvlText w:val="•"/>
      <w:lvlJc w:val="left"/>
      <w:pPr>
        <w:ind w:left="5588" w:hanging="373"/>
      </w:pPr>
      <w:rPr>
        <w:rFonts w:hint="default"/>
        <w:lang w:val="en-US" w:eastAsia="en-US" w:bidi="ar-SA"/>
      </w:rPr>
    </w:lvl>
    <w:lvl w:ilvl="5">
      <w:start w:val="0"/>
      <w:numFmt w:val="bullet"/>
      <w:lvlText w:val="•"/>
      <w:lvlJc w:val="left"/>
      <w:pPr>
        <w:ind w:left="6540" w:hanging="373"/>
      </w:pPr>
      <w:rPr>
        <w:rFonts w:hint="default"/>
        <w:lang w:val="en-US" w:eastAsia="en-US" w:bidi="ar-SA"/>
      </w:rPr>
    </w:lvl>
    <w:lvl w:ilvl="6">
      <w:start w:val="0"/>
      <w:numFmt w:val="bullet"/>
      <w:lvlText w:val="•"/>
      <w:lvlJc w:val="left"/>
      <w:pPr>
        <w:ind w:left="7492" w:hanging="373"/>
      </w:pPr>
      <w:rPr>
        <w:rFonts w:hint="default"/>
        <w:lang w:val="en-US" w:eastAsia="en-US" w:bidi="ar-SA"/>
      </w:rPr>
    </w:lvl>
    <w:lvl w:ilvl="7">
      <w:start w:val="0"/>
      <w:numFmt w:val="bullet"/>
      <w:lvlText w:val="•"/>
      <w:lvlJc w:val="left"/>
      <w:pPr>
        <w:ind w:left="8444" w:hanging="373"/>
      </w:pPr>
      <w:rPr>
        <w:rFonts w:hint="default"/>
        <w:lang w:val="en-US" w:eastAsia="en-US" w:bidi="ar-SA"/>
      </w:rPr>
    </w:lvl>
    <w:lvl w:ilvl="8">
      <w:start w:val="0"/>
      <w:numFmt w:val="bullet"/>
      <w:lvlText w:val="•"/>
      <w:lvlJc w:val="left"/>
      <w:pPr>
        <w:ind w:left="9396" w:hanging="373"/>
      </w:pPr>
      <w:rPr>
        <w:rFonts w:hint="default"/>
        <w:lang w:val="en-US" w:eastAsia="en-US" w:bidi="ar-SA"/>
      </w:rPr>
    </w:lvl>
  </w:abstractNum>
  <w:abstractNum w:abstractNumId="35">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115" w:hanging="187"/>
      </w:pPr>
      <w:rPr>
        <w:rFonts w:hint="default"/>
        <w:lang w:val="en-US" w:eastAsia="en-US" w:bidi="ar-SA"/>
      </w:rPr>
    </w:lvl>
    <w:lvl w:ilvl="2">
      <w:start w:val="0"/>
      <w:numFmt w:val="bullet"/>
      <w:lvlText w:val="•"/>
      <w:lvlJc w:val="left"/>
      <w:pPr>
        <w:ind w:left="2651" w:hanging="187"/>
      </w:pPr>
      <w:rPr>
        <w:rFonts w:hint="default"/>
        <w:lang w:val="en-US" w:eastAsia="en-US" w:bidi="ar-SA"/>
      </w:rPr>
    </w:lvl>
    <w:lvl w:ilvl="3">
      <w:start w:val="0"/>
      <w:numFmt w:val="bullet"/>
      <w:lvlText w:val="•"/>
      <w:lvlJc w:val="left"/>
      <w:pPr>
        <w:ind w:left="3187" w:hanging="187"/>
      </w:pPr>
      <w:rPr>
        <w:rFonts w:hint="default"/>
        <w:lang w:val="en-US" w:eastAsia="en-US" w:bidi="ar-SA"/>
      </w:rPr>
    </w:lvl>
    <w:lvl w:ilvl="4">
      <w:start w:val="0"/>
      <w:numFmt w:val="bullet"/>
      <w:lvlText w:val="•"/>
      <w:lvlJc w:val="left"/>
      <w:pPr>
        <w:ind w:left="3723" w:hanging="187"/>
      </w:pPr>
      <w:rPr>
        <w:rFonts w:hint="default"/>
        <w:lang w:val="en-US" w:eastAsia="en-US" w:bidi="ar-SA"/>
      </w:rPr>
    </w:lvl>
    <w:lvl w:ilvl="5">
      <w:start w:val="0"/>
      <w:numFmt w:val="bullet"/>
      <w:lvlText w:val="•"/>
      <w:lvlJc w:val="left"/>
      <w:pPr>
        <w:ind w:left="4259" w:hanging="187"/>
      </w:pPr>
      <w:rPr>
        <w:rFonts w:hint="default"/>
        <w:lang w:val="en-US" w:eastAsia="en-US" w:bidi="ar-SA"/>
      </w:rPr>
    </w:lvl>
    <w:lvl w:ilvl="6">
      <w:start w:val="0"/>
      <w:numFmt w:val="bullet"/>
      <w:lvlText w:val="•"/>
      <w:lvlJc w:val="left"/>
      <w:pPr>
        <w:ind w:left="4794" w:hanging="187"/>
      </w:pPr>
      <w:rPr>
        <w:rFonts w:hint="default"/>
        <w:lang w:val="en-US" w:eastAsia="en-US" w:bidi="ar-SA"/>
      </w:rPr>
    </w:lvl>
    <w:lvl w:ilvl="7">
      <w:start w:val="0"/>
      <w:numFmt w:val="bullet"/>
      <w:lvlText w:val="•"/>
      <w:lvlJc w:val="left"/>
      <w:pPr>
        <w:ind w:left="5330" w:hanging="187"/>
      </w:pPr>
      <w:rPr>
        <w:rFonts w:hint="default"/>
        <w:lang w:val="en-US" w:eastAsia="en-US" w:bidi="ar-SA"/>
      </w:rPr>
    </w:lvl>
    <w:lvl w:ilvl="8">
      <w:start w:val="0"/>
      <w:numFmt w:val="bullet"/>
      <w:lvlText w:val="•"/>
      <w:lvlJc w:val="left"/>
      <w:pPr>
        <w:ind w:left="5866" w:hanging="187"/>
      </w:pPr>
      <w:rPr>
        <w:rFonts w:hint="default"/>
        <w:lang w:val="en-US" w:eastAsia="en-US" w:bidi="ar-SA"/>
      </w:rPr>
    </w:lvl>
  </w:abstractNum>
  <w:abstractNum w:abstractNumId="34">
    <w:multiLevelType w:val="hybridMultilevel"/>
    <w:lvl w:ilvl="0">
      <w:start w:val="0"/>
      <w:numFmt w:val="bullet"/>
      <w:lvlText w:val="–"/>
      <w:lvlJc w:val="left"/>
      <w:pPr>
        <w:ind w:left="1579" w:hanging="138"/>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793" w:hanging="138"/>
      </w:pPr>
      <w:rPr>
        <w:rFonts w:hint="default"/>
        <w:lang w:val="en-US" w:eastAsia="en-US" w:bidi="ar-SA"/>
      </w:rPr>
    </w:lvl>
    <w:lvl w:ilvl="2">
      <w:start w:val="0"/>
      <w:numFmt w:val="bullet"/>
      <w:lvlText w:val="•"/>
      <w:lvlJc w:val="left"/>
      <w:pPr>
        <w:ind w:left="2006" w:hanging="138"/>
      </w:pPr>
      <w:rPr>
        <w:rFonts w:hint="default"/>
        <w:lang w:val="en-US" w:eastAsia="en-US" w:bidi="ar-SA"/>
      </w:rPr>
    </w:lvl>
    <w:lvl w:ilvl="3">
      <w:start w:val="0"/>
      <w:numFmt w:val="bullet"/>
      <w:lvlText w:val="•"/>
      <w:lvlJc w:val="left"/>
      <w:pPr>
        <w:ind w:left="2220" w:hanging="138"/>
      </w:pPr>
      <w:rPr>
        <w:rFonts w:hint="default"/>
        <w:lang w:val="en-US" w:eastAsia="en-US" w:bidi="ar-SA"/>
      </w:rPr>
    </w:lvl>
    <w:lvl w:ilvl="4">
      <w:start w:val="0"/>
      <w:numFmt w:val="bullet"/>
      <w:lvlText w:val="•"/>
      <w:lvlJc w:val="left"/>
      <w:pPr>
        <w:ind w:left="2433" w:hanging="138"/>
      </w:pPr>
      <w:rPr>
        <w:rFonts w:hint="default"/>
        <w:lang w:val="en-US" w:eastAsia="en-US" w:bidi="ar-SA"/>
      </w:rPr>
    </w:lvl>
    <w:lvl w:ilvl="5">
      <w:start w:val="0"/>
      <w:numFmt w:val="bullet"/>
      <w:lvlText w:val="•"/>
      <w:lvlJc w:val="left"/>
      <w:pPr>
        <w:ind w:left="2646" w:hanging="138"/>
      </w:pPr>
      <w:rPr>
        <w:rFonts w:hint="default"/>
        <w:lang w:val="en-US" w:eastAsia="en-US" w:bidi="ar-SA"/>
      </w:rPr>
    </w:lvl>
    <w:lvl w:ilvl="6">
      <w:start w:val="0"/>
      <w:numFmt w:val="bullet"/>
      <w:lvlText w:val="•"/>
      <w:lvlJc w:val="left"/>
      <w:pPr>
        <w:ind w:left="2860" w:hanging="138"/>
      </w:pPr>
      <w:rPr>
        <w:rFonts w:hint="default"/>
        <w:lang w:val="en-US" w:eastAsia="en-US" w:bidi="ar-SA"/>
      </w:rPr>
    </w:lvl>
    <w:lvl w:ilvl="7">
      <w:start w:val="0"/>
      <w:numFmt w:val="bullet"/>
      <w:lvlText w:val="•"/>
      <w:lvlJc w:val="left"/>
      <w:pPr>
        <w:ind w:left="3073" w:hanging="138"/>
      </w:pPr>
      <w:rPr>
        <w:rFonts w:hint="default"/>
        <w:lang w:val="en-US" w:eastAsia="en-US" w:bidi="ar-SA"/>
      </w:rPr>
    </w:lvl>
    <w:lvl w:ilvl="8">
      <w:start w:val="0"/>
      <w:numFmt w:val="bullet"/>
      <w:lvlText w:val="•"/>
      <w:lvlJc w:val="left"/>
      <w:pPr>
        <w:ind w:left="3286" w:hanging="138"/>
      </w:pPr>
      <w:rPr>
        <w:rFonts w:hint="default"/>
        <w:lang w:val="en-US" w:eastAsia="en-US" w:bidi="ar-SA"/>
      </w:rPr>
    </w:lvl>
  </w:abstractNum>
  <w:abstractNum w:abstractNumId="33">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32">
    <w:multiLevelType w:val="hybridMultilevel"/>
    <w:lvl w:ilvl="0">
      <w:start w:val="1"/>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1"/>
      <w:numFmt w:val="lowerRoman"/>
      <w:lvlText w:val="(%2)"/>
      <w:lvlJc w:val="left"/>
      <w:pPr>
        <w:ind w:left="2145"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2">
      <w:start w:val="0"/>
      <w:numFmt w:val="bullet"/>
      <w:lvlText w:val="•"/>
      <w:lvlJc w:val="left"/>
      <w:pPr>
        <w:ind w:left="3157" w:hanging="373"/>
      </w:pPr>
      <w:rPr>
        <w:rFonts w:hint="default"/>
        <w:lang w:val="en-US" w:eastAsia="en-US" w:bidi="ar-SA"/>
      </w:rPr>
    </w:lvl>
    <w:lvl w:ilvl="3">
      <w:start w:val="0"/>
      <w:numFmt w:val="bullet"/>
      <w:lvlText w:val="•"/>
      <w:lvlJc w:val="left"/>
      <w:pPr>
        <w:ind w:left="4175" w:hanging="373"/>
      </w:pPr>
      <w:rPr>
        <w:rFonts w:hint="default"/>
        <w:lang w:val="en-US" w:eastAsia="en-US" w:bidi="ar-SA"/>
      </w:rPr>
    </w:lvl>
    <w:lvl w:ilvl="4">
      <w:start w:val="0"/>
      <w:numFmt w:val="bullet"/>
      <w:lvlText w:val="•"/>
      <w:lvlJc w:val="left"/>
      <w:pPr>
        <w:ind w:left="5193" w:hanging="373"/>
      </w:pPr>
      <w:rPr>
        <w:rFonts w:hint="default"/>
        <w:lang w:val="en-US" w:eastAsia="en-US" w:bidi="ar-SA"/>
      </w:rPr>
    </w:lvl>
    <w:lvl w:ilvl="5">
      <w:start w:val="0"/>
      <w:numFmt w:val="bullet"/>
      <w:lvlText w:val="•"/>
      <w:lvlJc w:val="left"/>
      <w:pPr>
        <w:ind w:left="6211" w:hanging="373"/>
      </w:pPr>
      <w:rPr>
        <w:rFonts w:hint="default"/>
        <w:lang w:val="en-US" w:eastAsia="en-US" w:bidi="ar-SA"/>
      </w:rPr>
    </w:lvl>
    <w:lvl w:ilvl="6">
      <w:start w:val="0"/>
      <w:numFmt w:val="bullet"/>
      <w:lvlText w:val="•"/>
      <w:lvlJc w:val="left"/>
      <w:pPr>
        <w:ind w:left="7228" w:hanging="373"/>
      </w:pPr>
      <w:rPr>
        <w:rFonts w:hint="default"/>
        <w:lang w:val="en-US" w:eastAsia="en-US" w:bidi="ar-SA"/>
      </w:rPr>
    </w:lvl>
    <w:lvl w:ilvl="7">
      <w:start w:val="0"/>
      <w:numFmt w:val="bullet"/>
      <w:lvlText w:val="•"/>
      <w:lvlJc w:val="left"/>
      <w:pPr>
        <w:ind w:left="8246" w:hanging="373"/>
      </w:pPr>
      <w:rPr>
        <w:rFonts w:hint="default"/>
        <w:lang w:val="en-US" w:eastAsia="en-US" w:bidi="ar-SA"/>
      </w:rPr>
    </w:lvl>
    <w:lvl w:ilvl="8">
      <w:start w:val="0"/>
      <w:numFmt w:val="bullet"/>
      <w:lvlText w:val="•"/>
      <w:lvlJc w:val="left"/>
      <w:pPr>
        <w:ind w:left="9264" w:hanging="373"/>
      </w:pPr>
      <w:rPr>
        <w:rFonts w:hint="default"/>
        <w:lang w:val="en-US" w:eastAsia="en-US" w:bidi="ar-SA"/>
      </w:rPr>
    </w:lvl>
  </w:abstractNum>
  <w:abstractNum w:abstractNumId="31">
    <w:multiLevelType w:val="hybridMultilevel"/>
    <w:lvl w:ilvl="0">
      <w:start w:val="1"/>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2732" w:hanging="373"/>
      </w:pPr>
      <w:rPr>
        <w:rFonts w:hint="default"/>
        <w:lang w:val="en-US" w:eastAsia="en-US" w:bidi="ar-SA"/>
      </w:rPr>
    </w:lvl>
    <w:lvl w:ilvl="2">
      <w:start w:val="0"/>
      <w:numFmt w:val="bullet"/>
      <w:lvlText w:val="•"/>
      <w:lvlJc w:val="left"/>
      <w:pPr>
        <w:ind w:left="3684" w:hanging="373"/>
      </w:pPr>
      <w:rPr>
        <w:rFonts w:hint="default"/>
        <w:lang w:val="en-US" w:eastAsia="en-US" w:bidi="ar-SA"/>
      </w:rPr>
    </w:lvl>
    <w:lvl w:ilvl="3">
      <w:start w:val="0"/>
      <w:numFmt w:val="bullet"/>
      <w:lvlText w:val="•"/>
      <w:lvlJc w:val="left"/>
      <w:pPr>
        <w:ind w:left="4636" w:hanging="373"/>
      </w:pPr>
      <w:rPr>
        <w:rFonts w:hint="default"/>
        <w:lang w:val="en-US" w:eastAsia="en-US" w:bidi="ar-SA"/>
      </w:rPr>
    </w:lvl>
    <w:lvl w:ilvl="4">
      <w:start w:val="0"/>
      <w:numFmt w:val="bullet"/>
      <w:lvlText w:val="•"/>
      <w:lvlJc w:val="left"/>
      <w:pPr>
        <w:ind w:left="5588" w:hanging="373"/>
      </w:pPr>
      <w:rPr>
        <w:rFonts w:hint="default"/>
        <w:lang w:val="en-US" w:eastAsia="en-US" w:bidi="ar-SA"/>
      </w:rPr>
    </w:lvl>
    <w:lvl w:ilvl="5">
      <w:start w:val="0"/>
      <w:numFmt w:val="bullet"/>
      <w:lvlText w:val="•"/>
      <w:lvlJc w:val="left"/>
      <w:pPr>
        <w:ind w:left="6540" w:hanging="373"/>
      </w:pPr>
      <w:rPr>
        <w:rFonts w:hint="default"/>
        <w:lang w:val="en-US" w:eastAsia="en-US" w:bidi="ar-SA"/>
      </w:rPr>
    </w:lvl>
    <w:lvl w:ilvl="6">
      <w:start w:val="0"/>
      <w:numFmt w:val="bullet"/>
      <w:lvlText w:val="•"/>
      <w:lvlJc w:val="left"/>
      <w:pPr>
        <w:ind w:left="7492" w:hanging="373"/>
      </w:pPr>
      <w:rPr>
        <w:rFonts w:hint="default"/>
        <w:lang w:val="en-US" w:eastAsia="en-US" w:bidi="ar-SA"/>
      </w:rPr>
    </w:lvl>
    <w:lvl w:ilvl="7">
      <w:start w:val="0"/>
      <w:numFmt w:val="bullet"/>
      <w:lvlText w:val="•"/>
      <w:lvlJc w:val="left"/>
      <w:pPr>
        <w:ind w:left="8444" w:hanging="373"/>
      </w:pPr>
      <w:rPr>
        <w:rFonts w:hint="default"/>
        <w:lang w:val="en-US" w:eastAsia="en-US" w:bidi="ar-SA"/>
      </w:rPr>
    </w:lvl>
    <w:lvl w:ilvl="8">
      <w:start w:val="0"/>
      <w:numFmt w:val="bullet"/>
      <w:lvlText w:val="•"/>
      <w:lvlJc w:val="left"/>
      <w:pPr>
        <w:ind w:left="9396" w:hanging="373"/>
      </w:pPr>
      <w:rPr>
        <w:rFonts w:hint="default"/>
        <w:lang w:val="en-US" w:eastAsia="en-US" w:bidi="ar-SA"/>
      </w:rPr>
    </w:lvl>
  </w:abstractNum>
  <w:abstractNum w:abstractNumId="30">
    <w:multiLevelType w:val="hybridMultilevel"/>
    <w:lvl w:ilvl="0">
      <w:start w:val="1"/>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2732" w:hanging="373"/>
      </w:pPr>
      <w:rPr>
        <w:rFonts w:hint="default"/>
        <w:lang w:val="en-US" w:eastAsia="en-US" w:bidi="ar-SA"/>
      </w:rPr>
    </w:lvl>
    <w:lvl w:ilvl="2">
      <w:start w:val="0"/>
      <w:numFmt w:val="bullet"/>
      <w:lvlText w:val="•"/>
      <w:lvlJc w:val="left"/>
      <w:pPr>
        <w:ind w:left="3684" w:hanging="373"/>
      </w:pPr>
      <w:rPr>
        <w:rFonts w:hint="default"/>
        <w:lang w:val="en-US" w:eastAsia="en-US" w:bidi="ar-SA"/>
      </w:rPr>
    </w:lvl>
    <w:lvl w:ilvl="3">
      <w:start w:val="0"/>
      <w:numFmt w:val="bullet"/>
      <w:lvlText w:val="•"/>
      <w:lvlJc w:val="left"/>
      <w:pPr>
        <w:ind w:left="4636" w:hanging="373"/>
      </w:pPr>
      <w:rPr>
        <w:rFonts w:hint="default"/>
        <w:lang w:val="en-US" w:eastAsia="en-US" w:bidi="ar-SA"/>
      </w:rPr>
    </w:lvl>
    <w:lvl w:ilvl="4">
      <w:start w:val="0"/>
      <w:numFmt w:val="bullet"/>
      <w:lvlText w:val="•"/>
      <w:lvlJc w:val="left"/>
      <w:pPr>
        <w:ind w:left="5588" w:hanging="373"/>
      </w:pPr>
      <w:rPr>
        <w:rFonts w:hint="default"/>
        <w:lang w:val="en-US" w:eastAsia="en-US" w:bidi="ar-SA"/>
      </w:rPr>
    </w:lvl>
    <w:lvl w:ilvl="5">
      <w:start w:val="0"/>
      <w:numFmt w:val="bullet"/>
      <w:lvlText w:val="•"/>
      <w:lvlJc w:val="left"/>
      <w:pPr>
        <w:ind w:left="6540" w:hanging="373"/>
      </w:pPr>
      <w:rPr>
        <w:rFonts w:hint="default"/>
        <w:lang w:val="en-US" w:eastAsia="en-US" w:bidi="ar-SA"/>
      </w:rPr>
    </w:lvl>
    <w:lvl w:ilvl="6">
      <w:start w:val="0"/>
      <w:numFmt w:val="bullet"/>
      <w:lvlText w:val="•"/>
      <w:lvlJc w:val="left"/>
      <w:pPr>
        <w:ind w:left="7492" w:hanging="373"/>
      </w:pPr>
      <w:rPr>
        <w:rFonts w:hint="default"/>
        <w:lang w:val="en-US" w:eastAsia="en-US" w:bidi="ar-SA"/>
      </w:rPr>
    </w:lvl>
    <w:lvl w:ilvl="7">
      <w:start w:val="0"/>
      <w:numFmt w:val="bullet"/>
      <w:lvlText w:val="•"/>
      <w:lvlJc w:val="left"/>
      <w:pPr>
        <w:ind w:left="8444" w:hanging="373"/>
      </w:pPr>
      <w:rPr>
        <w:rFonts w:hint="default"/>
        <w:lang w:val="en-US" w:eastAsia="en-US" w:bidi="ar-SA"/>
      </w:rPr>
    </w:lvl>
    <w:lvl w:ilvl="8">
      <w:start w:val="0"/>
      <w:numFmt w:val="bullet"/>
      <w:lvlText w:val="•"/>
      <w:lvlJc w:val="left"/>
      <w:pPr>
        <w:ind w:left="9396" w:hanging="373"/>
      </w:pPr>
      <w:rPr>
        <w:rFonts w:hint="default"/>
        <w:lang w:val="en-US" w:eastAsia="en-US" w:bidi="ar-SA"/>
      </w:rPr>
    </w:lvl>
  </w:abstractNum>
  <w:abstractNum w:abstractNumId="28">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29">
    <w:multiLevelType w:val="hybridMultilevel"/>
    <w:lvl w:ilvl="0">
      <w:start w:val="1"/>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1"/>
      <w:numFmt w:val="lowerLetter"/>
      <w:lvlText w:val="(%2)"/>
      <w:lvlJc w:val="left"/>
      <w:pPr>
        <w:ind w:left="2145"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2">
      <w:start w:val="0"/>
      <w:numFmt w:val="bullet"/>
      <w:lvlText w:val="•"/>
      <w:lvlJc w:val="left"/>
      <w:pPr>
        <w:ind w:left="3157" w:hanging="373"/>
      </w:pPr>
      <w:rPr>
        <w:rFonts w:hint="default"/>
        <w:lang w:val="en-US" w:eastAsia="en-US" w:bidi="ar-SA"/>
      </w:rPr>
    </w:lvl>
    <w:lvl w:ilvl="3">
      <w:start w:val="0"/>
      <w:numFmt w:val="bullet"/>
      <w:lvlText w:val="•"/>
      <w:lvlJc w:val="left"/>
      <w:pPr>
        <w:ind w:left="4175" w:hanging="373"/>
      </w:pPr>
      <w:rPr>
        <w:rFonts w:hint="default"/>
        <w:lang w:val="en-US" w:eastAsia="en-US" w:bidi="ar-SA"/>
      </w:rPr>
    </w:lvl>
    <w:lvl w:ilvl="4">
      <w:start w:val="0"/>
      <w:numFmt w:val="bullet"/>
      <w:lvlText w:val="•"/>
      <w:lvlJc w:val="left"/>
      <w:pPr>
        <w:ind w:left="5193" w:hanging="373"/>
      </w:pPr>
      <w:rPr>
        <w:rFonts w:hint="default"/>
        <w:lang w:val="en-US" w:eastAsia="en-US" w:bidi="ar-SA"/>
      </w:rPr>
    </w:lvl>
    <w:lvl w:ilvl="5">
      <w:start w:val="0"/>
      <w:numFmt w:val="bullet"/>
      <w:lvlText w:val="•"/>
      <w:lvlJc w:val="left"/>
      <w:pPr>
        <w:ind w:left="6211" w:hanging="373"/>
      </w:pPr>
      <w:rPr>
        <w:rFonts w:hint="default"/>
        <w:lang w:val="en-US" w:eastAsia="en-US" w:bidi="ar-SA"/>
      </w:rPr>
    </w:lvl>
    <w:lvl w:ilvl="6">
      <w:start w:val="0"/>
      <w:numFmt w:val="bullet"/>
      <w:lvlText w:val="•"/>
      <w:lvlJc w:val="left"/>
      <w:pPr>
        <w:ind w:left="7228" w:hanging="373"/>
      </w:pPr>
      <w:rPr>
        <w:rFonts w:hint="default"/>
        <w:lang w:val="en-US" w:eastAsia="en-US" w:bidi="ar-SA"/>
      </w:rPr>
    </w:lvl>
    <w:lvl w:ilvl="7">
      <w:start w:val="0"/>
      <w:numFmt w:val="bullet"/>
      <w:lvlText w:val="•"/>
      <w:lvlJc w:val="left"/>
      <w:pPr>
        <w:ind w:left="8246" w:hanging="373"/>
      </w:pPr>
      <w:rPr>
        <w:rFonts w:hint="default"/>
        <w:lang w:val="en-US" w:eastAsia="en-US" w:bidi="ar-SA"/>
      </w:rPr>
    </w:lvl>
    <w:lvl w:ilvl="8">
      <w:start w:val="0"/>
      <w:numFmt w:val="bullet"/>
      <w:lvlText w:val="•"/>
      <w:lvlJc w:val="left"/>
      <w:pPr>
        <w:ind w:left="9264" w:hanging="373"/>
      </w:pPr>
      <w:rPr>
        <w:rFonts w:hint="default"/>
        <w:lang w:val="en-US" w:eastAsia="en-US" w:bidi="ar-SA"/>
      </w:rPr>
    </w:lvl>
  </w:abstractNum>
  <w:abstractNum w:abstractNumId="27">
    <w:multiLevelType w:val="hybridMultilevel"/>
    <w:lvl w:ilvl="0">
      <w:start w:val="1"/>
      <w:numFmt w:val="decimal"/>
      <w:lvlText w:val="(%1)"/>
      <w:lvlJc w:val="left"/>
      <w:pPr>
        <w:ind w:left="2145"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3056" w:hanging="373"/>
      </w:pPr>
      <w:rPr>
        <w:rFonts w:hint="default"/>
        <w:lang w:val="en-US" w:eastAsia="en-US" w:bidi="ar-SA"/>
      </w:rPr>
    </w:lvl>
    <w:lvl w:ilvl="2">
      <w:start w:val="0"/>
      <w:numFmt w:val="bullet"/>
      <w:lvlText w:val="•"/>
      <w:lvlJc w:val="left"/>
      <w:pPr>
        <w:ind w:left="3972" w:hanging="373"/>
      </w:pPr>
      <w:rPr>
        <w:rFonts w:hint="default"/>
        <w:lang w:val="en-US" w:eastAsia="en-US" w:bidi="ar-SA"/>
      </w:rPr>
    </w:lvl>
    <w:lvl w:ilvl="3">
      <w:start w:val="0"/>
      <w:numFmt w:val="bullet"/>
      <w:lvlText w:val="•"/>
      <w:lvlJc w:val="left"/>
      <w:pPr>
        <w:ind w:left="4888" w:hanging="373"/>
      </w:pPr>
      <w:rPr>
        <w:rFonts w:hint="default"/>
        <w:lang w:val="en-US" w:eastAsia="en-US" w:bidi="ar-SA"/>
      </w:rPr>
    </w:lvl>
    <w:lvl w:ilvl="4">
      <w:start w:val="0"/>
      <w:numFmt w:val="bullet"/>
      <w:lvlText w:val="•"/>
      <w:lvlJc w:val="left"/>
      <w:pPr>
        <w:ind w:left="5804" w:hanging="373"/>
      </w:pPr>
      <w:rPr>
        <w:rFonts w:hint="default"/>
        <w:lang w:val="en-US" w:eastAsia="en-US" w:bidi="ar-SA"/>
      </w:rPr>
    </w:lvl>
    <w:lvl w:ilvl="5">
      <w:start w:val="0"/>
      <w:numFmt w:val="bullet"/>
      <w:lvlText w:val="•"/>
      <w:lvlJc w:val="left"/>
      <w:pPr>
        <w:ind w:left="6720" w:hanging="373"/>
      </w:pPr>
      <w:rPr>
        <w:rFonts w:hint="default"/>
        <w:lang w:val="en-US" w:eastAsia="en-US" w:bidi="ar-SA"/>
      </w:rPr>
    </w:lvl>
    <w:lvl w:ilvl="6">
      <w:start w:val="0"/>
      <w:numFmt w:val="bullet"/>
      <w:lvlText w:val="•"/>
      <w:lvlJc w:val="left"/>
      <w:pPr>
        <w:ind w:left="7636" w:hanging="373"/>
      </w:pPr>
      <w:rPr>
        <w:rFonts w:hint="default"/>
        <w:lang w:val="en-US" w:eastAsia="en-US" w:bidi="ar-SA"/>
      </w:rPr>
    </w:lvl>
    <w:lvl w:ilvl="7">
      <w:start w:val="0"/>
      <w:numFmt w:val="bullet"/>
      <w:lvlText w:val="•"/>
      <w:lvlJc w:val="left"/>
      <w:pPr>
        <w:ind w:left="8552" w:hanging="373"/>
      </w:pPr>
      <w:rPr>
        <w:rFonts w:hint="default"/>
        <w:lang w:val="en-US" w:eastAsia="en-US" w:bidi="ar-SA"/>
      </w:rPr>
    </w:lvl>
    <w:lvl w:ilvl="8">
      <w:start w:val="0"/>
      <w:numFmt w:val="bullet"/>
      <w:lvlText w:val="•"/>
      <w:lvlJc w:val="left"/>
      <w:pPr>
        <w:ind w:left="9468" w:hanging="373"/>
      </w:pPr>
      <w:rPr>
        <w:rFonts w:hint="default"/>
        <w:lang w:val="en-US" w:eastAsia="en-US" w:bidi="ar-SA"/>
      </w:rPr>
    </w:lvl>
  </w:abstractNum>
  <w:abstractNum w:abstractNumId="26">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25">
    <w:multiLevelType w:val="hybridMultilevel"/>
    <w:lvl w:ilvl="0">
      <w:start w:val="1"/>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1772" w:hanging="373"/>
      </w:pPr>
      <w:rPr>
        <w:rFonts w:hint="default" w:ascii="Segoe UI Symbol" w:hAnsi="Segoe UI Symbol" w:eastAsia="Segoe UI Symbol" w:cs="Segoe UI Symbol"/>
        <w:b w:val="0"/>
        <w:bCs w:val="0"/>
        <w:i w:val="0"/>
        <w:iCs w:val="0"/>
        <w:w w:val="103"/>
        <w:sz w:val="18"/>
        <w:szCs w:val="18"/>
        <w:lang w:val="en-US" w:eastAsia="en-US" w:bidi="ar-SA"/>
      </w:rPr>
    </w:lvl>
    <w:lvl w:ilvl="2">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3">
      <w:start w:val="0"/>
      <w:numFmt w:val="bullet"/>
      <w:lvlText w:val="•"/>
      <w:lvlJc w:val="left"/>
      <w:pPr>
        <w:ind w:left="2824" w:hanging="187"/>
      </w:pPr>
      <w:rPr>
        <w:rFonts w:hint="default"/>
        <w:lang w:val="en-US" w:eastAsia="en-US" w:bidi="ar-SA"/>
      </w:rPr>
    </w:lvl>
    <w:lvl w:ilvl="4">
      <w:start w:val="0"/>
      <w:numFmt w:val="bullet"/>
      <w:lvlText w:val="•"/>
      <w:lvlJc w:val="left"/>
      <w:pPr>
        <w:ind w:left="3257" w:hanging="187"/>
      </w:pPr>
      <w:rPr>
        <w:rFonts w:hint="default"/>
        <w:lang w:val="en-US" w:eastAsia="en-US" w:bidi="ar-SA"/>
      </w:rPr>
    </w:lvl>
    <w:lvl w:ilvl="5">
      <w:start w:val="0"/>
      <w:numFmt w:val="bullet"/>
      <w:lvlText w:val="•"/>
      <w:lvlJc w:val="left"/>
      <w:pPr>
        <w:ind w:left="3689" w:hanging="187"/>
      </w:pPr>
      <w:rPr>
        <w:rFonts w:hint="default"/>
        <w:lang w:val="en-US" w:eastAsia="en-US" w:bidi="ar-SA"/>
      </w:rPr>
    </w:lvl>
    <w:lvl w:ilvl="6">
      <w:start w:val="0"/>
      <w:numFmt w:val="bullet"/>
      <w:lvlText w:val="•"/>
      <w:lvlJc w:val="left"/>
      <w:pPr>
        <w:ind w:left="4121" w:hanging="187"/>
      </w:pPr>
      <w:rPr>
        <w:rFonts w:hint="default"/>
        <w:lang w:val="en-US" w:eastAsia="en-US" w:bidi="ar-SA"/>
      </w:rPr>
    </w:lvl>
    <w:lvl w:ilvl="7">
      <w:start w:val="0"/>
      <w:numFmt w:val="bullet"/>
      <w:lvlText w:val="•"/>
      <w:lvlJc w:val="left"/>
      <w:pPr>
        <w:ind w:left="4554" w:hanging="187"/>
      </w:pPr>
      <w:rPr>
        <w:rFonts w:hint="default"/>
        <w:lang w:val="en-US" w:eastAsia="en-US" w:bidi="ar-SA"/>
      </w:rPr>
    </w:lvl>
    <w:lvl w:ilvl="8">
      <w:start w:val="0"/>
      <w:numFmt w:val="bullet"/>
      <w:lvlText w:val="•"/>
      <w:lvlJc w:val="left"/>
      <w:pPr>
        <w:ind w:left="4986" w:hanging="187"/>
      </w:pPr>
      <w:rPr>
        <w:rFonts w:hint="default"/>
        <w:lang w:val="en-US" w:eastAsia="en-US" w:bidi="ar-SA"/>
      </w:rPr>
    </w:lvl>
  </w:abstractNum>
  <w:abstractNum w:abstractNumId="24">
    <w:multiLevelType w:val="hybridMultilevel"/>
    <w:lvl w:ilvl="0">
      <w:start w:val="0"/>
      <w:numFmt w:val="bullet"/>
      <w:lvlText w:val="•"/>
      <w:lvlJc w:val="left"/>
      <w:pPr>
        <w:ind w:left="372"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2540" w:hanging="187"/>
      </w:pPr>
      <w:rPr>
        <w:rFonts w:hint="default"/>
        <w:lang w:val="en-US" w:eastAsia="en-US" w:bidi="ar-SA"/>
      </w:rPr>
    </w:lvl>
    <w:lvl w:ilvl="3">
      <w:start w:val="0"/>
      <w:numFmt w:val="bullet"/>
      <w:lvlText w:val="•"/>
      <w:lvlJc w:val="left"/>
      <w:pPr>
        <w:ind w:left="3121" w:hanging="187"/>
      </w:pPr>
      <w:rPr>
        <w:rFonts w:hint="default"/>
        <w:lang w:val="en-US" w:eastAsia="en-US" w:bidi="ar-SA"/>
      </w:rPr>
    </w:lvl>
    <w:lvl w:ilvl="4">
      <w:start w:val="0"/>
      <w:numFmt w:val="bullet"/>
      <w:lvlText w:val="•"/>
      <w:lvlJc w:val="left"/>
      <w:pPr>
        <w:ind w:left="3701" w:hanging="187"/>
      </w:pPr>
      <w:rPr>
        <w:rFonts w:hint="default"/>
        <w:lang w:val="en-US" w:eastAsia="en-US" w:bidi="ar-SA"/>
      </w:rPr>
    </w:lvl>
    <w:lvl w:ilvl="5">
      <w:start w:val="0"/>
      <w:numFmt w:val="bullet"/>
      <w:lvlText w:val="•"/>
      <w:lvlJc w:val="left"/>
      <w:pPr>
        <w:ind w:left="4282" w:hanging="187"/>
      </w:pPr>
      <w:rPr>
        <w:rFonts w:hint="default"/>
        <w:lang w:val="en-US" w:eastAsia="en-US" w:bidi="ar-SA"/>
      </w:rPr>
    </w:lvl>
    <w:lvl w:ilvl="6">
      <w:start w:val="0"/>
      <w:numFmt w:val="bullet"/>
      <w:lvlText w:val="•"/>
      <w:lvlJc w:val="left"/>
      <w:pPr>
        <w:ind w:left="4863" w:hanging="187"/>
      </w:pPr>
      <w:rPr>
        <w:rFonts w:hint="default"/>
        <w:lang w:val="en-US" w:eastAsia="en-US" w:bidi="ar-SA"/>
      </w:rPr>
    </w:lvl>
    <w:lvl w:ilvl="7">
      <w:start w:val="0"/>
      <w:numFmt w:val="bullet"/>
      <w:lvlText w:val="•"/>
      <w:lvlJc w:val="left"/>
      <w:pPr>
        <w:ind w:left="5443" w:hanging="187"/>
      </w:pPr>
      <w:rPr>
        <w:rFonts w:hint="default"/>
        <w:lang w:val="en-US" w:eastAsia="en-US" w:bidi="ar-SA"/>
      </w:rPr>
    </w:lvl>
    <w:lvl w:ilvl="8">
      <w:start w:val="0"/>
      <w:numFmt w:val="bullet"/>
      <w:lvlText w:val="•"/>
      <w:lvlJc w:val="left"/>
      <w:pPr>
        <w:ind w:left="6024" w:hanging="187"/>
      </w:pPr>
      <w:rPr>
        <w:rFonts w:hint="default"/>
        <w:lang w:val="en-US" w:eastAsia="en-US" w:bidi="ar-SA"/>
      </w:rPr>
    </w:lvl>
  </w:abstractNum>
  <w:abstractNum w:abstractNumId="23">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22">
    <w:multiLevelType w:val="hybridMultilevel"/>
    <w:lvl w:ilvl="0">
      <w:start w:val="3"/>
      <w:numFmt w:val="decimal"/>
      <w:lvlText w:val="(%1)"/>
      <w:lvlJc w:val="left"/>
      <w:pPr>
        <w:ind w:left="1772"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2732" w:hanging="373"/>
      </w:pPr>
      <w:rPr>
        <w:rFonts w:hint="default"/>
        <w:lang w:val="en-US" w:eastAsia="en-US" w:bidi="ar-SA"/>
      </w:rPr>
    </w:lvl>
    <w:lvl w:ilvl="2">
      <w:start w:val="0"/>
      <w:numFmt w:val="bullet"/>
      <w:lvlText w:val="•"/>
      <w:lvlJc w:val="left"/>
      <w:pPr>
        <w:ind w:left="3684" w:hanging="373"/>
      </w:pPr>
      <w:rPr>
        <w:rFonts w:hint="default"/>
        <w:lang w:val="en-US" w:eastAsia="en-US" w:bidi="ar-SA"/>
      </w:rPr>
    </w:lvl>
    <w:lvl w:ilvl="3">
      <w:start w:val="0"/>
      <w:numFmt w:val="bullet"/>
      <w:lvlText w:val="•"/>
      <w:lvlJc w:val="left"/>
      <w:pPr>
        <w:ind w:left="4636" w:hanging="373"/>
      </w:pPr>
      <w:rPr>
        <w:rFonts w:hint="default"/>
        <w:lang w:val="en-US" w:eastAsia="en-US" w:bidi="ar-SA"/>
      </w:rPr>
    </w:lvl>
    <w:lvl w:ilvl="4">
      <w:start w:val="0"/>
      <w:numFmt w:val="bullet"/>
      <w:lvlText w:val="•"/>
      <w:lvlJc w:val="left"/>
      <w:pPr>
        <w:ind w:left="5588" w:hanging="373"/>
      </w:pPr>
      <w:rPr>
        <w:rFonts w:hint="default"/>
        <w:lang w:val="en-US" w:eastAsia="en-US" w:bidi="ar-SA"/>
      </w:rPr>
    </w:lvl>
    <w:lvl w:ilvl="5">
      <w:start w:val="0"/>
      <w:numFmt w:val="bullet"/>
      <w:lvlText w:val="•"/>
      <w:lvlJc w:val="left"/>
      <w:pPr>
        <w:ind w:left="6540" w:hanging="373"/>
      </w:pPr>
      <w:rPr>
        <w:rFonts w:hint="default"/>
        <w:lang w:val="en-US" w:eastAsia="en-US" w:bidi="ar-SA"/>
      </w:rPr>
    </w:lvl>
    <w:lvl w:ilvl="6">
      <w:start w:val="0"/>
      <w:numFmt w:val="bullet"/>
      <w:lvlText w:val="•"/>
      <w:lvlJc w:val="left"/>
      <w:pPr>
        <w:ind w:left="7492" w:hanging="373"/>
      </w:pPr>
      <w:rPr>
        <w:rFonts w:hint="default"/>
        <w:lang w:val="en-US" w:eastAsia="en-US" w:bidi="ar-SA"/>
      </w:rPr>
    </w:lvl>
    <w:lvl w:ilvl="7">
      <w:start w:val="0"/>
      <w:numFmt w:val="bullet"/>
      <w:lvlText w:val="•"/>
      <w:lvlJc w:val="left"/>
      <w:pPr>
        <w:ind w:left="8444" w:hanging="373"/>
      </w:pPr>
      <w:rPr>
        <w:rFonts w:hint="default"/>
        <w:lang w:val="en-US" w:eastAsia="en-US" w:bidi="ar-SA"/>
      </w:rPr>
    </w:lvl>
    <w:lvl w:ilvl="8">
      <w:start w:val="0"/>
      <w:numFmt w:val="bullet"/>
      <w:lvlText w:val="•"/>
      <w:lvlJc w:val="left"/>
      <w:pPr>
        <w:ind w:left="9396" w:hanging="373"/>
      </w:pPr>
      <w:rPr>
        <w:rFonts w:hint="default"/>
        <w:lang w:val="en-US" w:eastAsia="en-US" w:bidi="ar-SA"/>
      </w:rPr>
    </w:lvl>
  </w:abstractNum>
  <w:abstractNum w:abstractNumId="21">
    <w:multiLevelType w:val="hybridMultilevel"/>
    <w:lvl w:ilvl="0">
      <w:start w:val="1"/>
      <w:numFmt w:val="decimal"/>
      <w:lvlText w:val="(%1)"/>
      <w:lvlJc w:val="left"/>
      <w:pPr>
        <w:ind w:left="2145"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3056" w:hanging="373"/>
      </w:pPr>
      <w:rPr>
        <w:rFonts w:hint="default"/>
        <w:lang w:val="en-US" w:eastAsia="en-US" w:bidi="ar-SA"/>
      </w:rPr>
    </w:lvl>
    <w:lvl w:ilvl="2">
      <w:start w:val="0"/>
      <w:numFmt w:val="bullet"/>
      <w:lvlText w:val="•"/>
      <w:lvlJc w:val="left"/>
      <w:pPr>
        <w:ind w:left="3972" w:hanging="373"/>
      </w:pPr>
      <w:rPr>
        <w:rFonts w:hint="default"/>
        <w:lang w:val="en-US" w:eastAsia="en-US" w:bidi="ar-SA"/>
      </w:rPr>
    </w:lvl>
    <w:lvl w:ilvl="3">
      <w:start w:val="0"/>
      <w:numFmt w:val="bullet"/>
      <w:lvlText w:val="•"/>
      <w:lvlJc w:val="left"/>
      <w:pPr>
        <w:ind w:left="4888" w:hanging="373"/>
      </w:pPr>
      <w:rPr>
        <w:rFonts w:hint="default"/>
        <w:lang w:val="en-US" w:eastAsia="en-US" w:bidi="ar-SA"/>
      </w:rPr>
    </w:lvl>
    <w:lvl w:ilvl="4">
      <w:start w:val="0"/>
      <w:numFmt w:val="bullet"/>
      <w:lvlText w:val="•"/>
      <w:lvlJc w:val="left"/>
      <w:pPr>
        <w:ind w:left="5804" w:hanging="373"/>
      </w:pPr>
      <w:rPr>
        <w:rFonts w:hint="default"/>
        <w:lang w:val="en-US" w:eastAsia="en-US" w:bidi="ar-SA"/>
      </w:rPr>
    </w:lvl>
    <w:lvl w:ilvl="5">
      <w:start w:val="0"/>
      <w:numFmt w:val="bullet"/>
      <w:lvlText w:val="•"/>
      <w:lvlJc w:val="left"/>
      <w:pPr>
        <w:ind w:left="6720" w:hanging="373"/>
      </w:pPr>
      <w:rPr>
        <w:rFonts w:hint="default"/>
        <w:lang w:val="en-US" w:eastAsia="en-US" w:bidi="ar-SA"/>
      </w:rPr>
    </w:lvl>
    <w:lvl w:ilvl="6">
      <w:start w:val="0"/>
      <w:numFmt w:val="bullet"/>
      <w:lvlText w:val="•"/>
      <w:lvlJc w:val="left"/>
      <w:pPr>
        <w:ind w:left="7636" w:hanging="373"/>
      </w:pPr>
      <w:rPr>
        <w:rFonts w:hint="default"/>
        <w:lang w:val="en-US" w:eastAsia="en-US" w:bidi="ar-SA"/>
      </w:rPr>
    </w:lvl>
    <w:lvl w:ilvl="7">
      <w:start w:val="0"/>
      <w:numFmt w:val="bullet"/>
      <w:lvlText w:val="•"/>
      <w:lvlJc w:val="left"/>
      <w:pPr>
        <w:ind w:left="8552" w:hanging="373"/>
      </w:pPr>
      <w:rPr>
        <w:rFonts w:hint="default"/>
        <w:lang w:val="en-US" w:eastAsia="en-US" w:bidi="ar-SA"/>
      </w:rPr>
    </w:lvl>
    <w:lvl w:ilvl="8">
      <w:start w:val="0"/>
      <w:numFmt w:val="bullet"/>
      <w:lvlText w:val="•"/>
      <w:lvlJc w:val="left"/>
      <w:pPr>
        <w:ind w:left="9468" w:hanging="373"/>
      </w:pPr>
      <w:rPr>
        <w:rFonts w:hint="default"/>
        <w:lang w:val="en-US" w:eastAsia="en-US" w:bidi="ar-SA"/>
      </w:rPr>
    </w:lvl>
  </w:abstractNum>
  <w:abstractNum w:abstractNumId="20">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19">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18">
    <w:multiLevelType w:val="hybridMultilevel"/>
    <w:lvl w:ilvl="0">
      <w:start w:val="0"/>
      <w:numFmt w:val="bullet"/>
      <w:lvlText w:val="•"/>
      <w:lvlJc w:val="left"/>
      <w:pPr>
        <w:ind w:left="70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4568"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4880" w:hanging="187"/>
      </w:pPr>
      <w:rPr>
        <w:rFonts w:hint="default"/>
        <w:lang w:val="en-US" w:eastAsia="en-US" w:bidi="ar-SA"/>
      </w:rPr>
    </w:lvl>
    <w:lvl w:ilvl="3">
      <w:start w:val="0"/>
      <w:numFmt w:val="bullet"/>
      <w:lvlText w:val="•"/>
      <w:lvlJc w:val="left"/>
      <w:pPr>
        <w:ind w:left="5200" w:hanging="187"/>
      </w:pPr>
      <w:rPr>
        <w:rFonts w:hint="default"/>
        <w:lang w:val="en-US" w:eastAsia="en-US" w:bidi="ar-SA"/>
      </w:rPr>
    </w:lvl>
    <w:lvl w:ilvl="4">
      <w:start w:val="0"/>
      <w:numFmt w:val="bullet"/>
      <w:lvlText w:val="•"/>
      <w:lvlJc w:val="left"/>
      <w:pPr>
        <w:ind w:left="5520" w:hanging="187"/>
      </w:pPr>
      <w:rPr>
        <w:rFonts w:hint="default"/>
        <w:lang w:val="en-US" w:eastAsia="en-US" w:bidi="ar-SA"/>
      </w:rPr>
    </w:lvl>
    <w:lvl w:ilvl="5">
      <w:start w:val="0"/>
      <w:numFmt w:val="bullet"/>
      <w:lvlText w:val="•"/>
      <w:lvlJc w:val="left"/>
      <w:pPr>
        <w:ind w:left="5840" w:hanging="187"/>
      </w:pPr>
      <w:rPr>
        <w:rFonts w:hint="default"/>
        <w:lang w:val="en-US" w:eastAsia="en-US" w:bidi="ar-SA"/>
      </w:rPr>
    </w:lvl>
    <w:lvl w:ilvl="6">
      <w:start w:val="0"/>
      <w:numFmt w:val="bullet"/>
      <w:lvlText w:val="•"/>
      <w:lvlJc w:val="left"/>
      <w:pPr>
        <w:ind w:left="6160" w:hanging="187"/>
      </w:pPr>
      <w:rPr>
        <w:rFonts w:hint="default"/>
        <w:lang w:val="en-US" w:eastAsia="en-US" w:bidi="ar-SA"/>
      </w:rPr>
    </w:lvl>
    <w:lvl w:ilvl="7">
      <w:start w:val="0"/>
      <w:numFmt w:val="bullet"/>
      <w:lvlText w:val="•"/>
      <w:lvlJc w:val="left"/>
      <w:pPr>
        <w:ind w:left="6480" w:hanging="187"/>
      </w:pPr>
      <w:rPr>
        <w:rFonts w:hint="default"/>
        <w:lang w:val="en-US" w:eastAsia="en-US" w:bidi="ar-SA"/>
      </w:rPr>
    </w:lvl>
    <w:lvl w:ilvl="8">
      <w:start w:val="0"/>
      <w:numFmt w:val="bullet"/>
      <w:lvlText w:val="•"/>
      <w:lvlJc w:val="left"/>
      <w:pPr>
        <w:ind w:left="6800" w:hanging="187"/>
      </w:pPr>
      <w:rPr>
        <w:rFonts w:hint="default"/>
        <w:lang w:val="en-US" w:eastAsia="en-US" w:bidi="ar-SA"/>
      </w:rPr>
    </w:lvl>
  </w:abstractNum>
  <w:abstractNum w:abstractNumId="17">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803" w:hanging="187"/>
      </w:pPr>
      <w:rPr>
        <w:rFonts w:hint="default"/>
        <w:lang w:val="en-US" w:eastAsia="en-US" w:bidi="ar-SA"/>
      </w:rPr>
    </w:lvl>
    <w:lvl w:ilvl="2">
      <w:start w:val="0"/>
      <w:numFmt w:val="bullet"/>
      <w:lvlText w:val="•"/>
      <w:lvlJc w:val="left"/>
      <w:pPr>
        <w:ind w:left="2027" w:hanging="187"/>
      </w:pPr>
      <w:rPr>
        <w:rFonts w:hint="default"/>
        <w:lang w:val="en-US" w:eastAsia="en-US" w:bidi="ar-SA"/>
      </w:rPr>
    </w:lvl>
    <w:lvl w:ilvl="3">
      <w:start w:val="0"/>
      <w:numFmt w:val="bullet"/>
      <w:lvlText w:val="•"/>
      <w:lvlJc w:val="left"/>
      <w:pPr>
        <w:ind w:left="2251" w:hanging="187"/>
      </w:pPr>
      <w:rPr>
        <w:rFonts w:hint="default"/>
        <w:lang w:val="en-US" w:eastAsia="en-US" w:bidi="ar-SA"/>
      </w:rPr>
    </w:lvl>
    <w:lvl w:ilvl="4">
      <w:start w:val="0"/>
      <w:numFmt w:val="bullet"/>
      <w:lvlText w:val="•"/>
      <w:lvlJc w:val="left"/>
      <w:pPr>
        <w:ind w:left="2475" w:hanging="187"/>
      </w:pPr>
      <w:rPr>
        <w:rFonts w:hint="default"/>
        <w:lang w:val="en-US" w:eastAsia="en-US" w:bidi="ar-SA"/>
      </w:rPr>
    </w:lvl>
    <w:lvl w:ilvl="5">
      <w:start w:val="0"/>
      <w:numFmt w:val="bullet"/>
      <w:lvlText w:val="•"/>
      <w:lvlJc w:val="left"/>
      <w:pPr>
        <w:ind w:left="2699" w:hanging="187"/>
      </w:pPr>
      <w:rPr>
        <w:rFonts w:hint="default"/>
        <w:lang w:val="en-US" w:eastAsia="en-US" w:bidi="ar-SA"/>
      </w:rPr>
    </w:lvl>
    <w:lvl w:ilvl="6">
      <w:start w:val="0"/>
      <w:numFmt w:val="bullet"/>
      <w:lvlText w:val="•"/>
      <w:lvlJc w:val="left"/>
      <w:pPr>
        <w:ind w:left="2923" w:hanging="187"/>
      </w:pPr>
      <w:rPr>
        <w:rFonts w:hint="default"/>
        <w:lang w:val="en-US" w:eastAsia="en-US" w:bidi="ar-SA"/>
      </w:rPr>
    </w:lvl>
    <w:lvl w:ilvl="7">
      <w:start w:val="0"/>
      <w:numFmt w:val="bullet"/>
      <w:lvlText w:val="•"/>
      <w:lvlJc w:val="left"/>
      <w:pPr>
        <w:ind w:left="3147" w:hanging="187"/>
      </w:pPr>
      <w:rPr>
        <w:rFonts w:hint="default"/>
        <w:lang w:val="en-US" w:eastAsia="en-US" w:bidi="ar-SA"/>
      </w:rPr>
    </w:lvl>
    <w:lvl w:ilvl="8">
      <w:start w:val="0"/>
      <w:numFmt w:val="bullet"/>
      <w:lvlText w:val="•"/>
      <w:lvlJc w:val="left"/>
      <w:pPr>
        <w:ind w:left="3371" w:hanging="187"/>
      </w:pPr>
      <w:rPr>
        <w:rFonts w:hint="default"/>
        <w:lang w:val="en-US" w:eastAsia="en-US" w:bidi="ar-SA"/>
      </w:rPr>
    </w:lvl>
  </w:abstractNum>
  <w:abstractNum w:abstractNumId="16">
    <w:multiLevelType w:val="hybridMultilevel"/>
    <w:lvl w:ilvl="0">
      <w:start w:val="0"/>
      <w:numFmt w:val="bullet"/>
      <w:lvlText w:val="•"/>
      <w:lvlJc w:val="left"/>
      <w:pPr>
        <w:ind w:left="1505"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4568"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4968" w:hanging="187"/>
      </w:pPr>
      <w:rPr>
        <w:rFonts w:hint="default"/>
        <w:lang w:val="en-US" w:eastAsia="en-US" w:bidi="ar-SA"/>
      </w:rPr>
    </w:lvl>
    <w:lvl w:ilvl="3">
      <w:start w:val="0"/>
      <w:numFmt w:val="bullet"/>
      <w:lvlText w:val="•"/>
      <w:lvlJc w:val="left"/>
      <w:pPr>
        <w:ind w:left="5377" w:hanging="187"/>
      </w:pPr>
      <w:rPr>
        <w:rFonts w:hint="default"/>
        <w:lang w:val="en-US" w:eastAsia="en-US" w:bidi="ar-SA"/>
      </w:rPr>
    </w:lvl>
    <w:lvl w:ilvl="4">
      <w:start w:val="0"/>
      <w:numFmt w:val="bullet"/>
      <w:lvlText w:val="•"/>
      <w:lvlJc w:val="left"/>
      <w:pPr>
        <w:ind w:left="5785" w:hanging="187"/>
      </w:pPr>
      <w:rPr>
        <w:rFonts w:hint="default"/>
        <w:lang w:val="en-US" w:eastAsia="en-US" w:bidi="ar-SA"/>
      </w:rPr>
    </w:lvl>
    <w:lvl w:ilvl="5">
      <w:start w:val="0"/>
      <w:numFmt w:val="bullet"/>
      <w:lvlText w:val="•"/>
      <w:lvlJc w:val="left"/>
      <w:pPr>
        <w:ind w:left="6194" w:hanging="187"/>
      </w:pPr>
      <w:rPr>
        <w:rFonts w:hint="default"/>
        <w:lang w:val="en-US" w:eastAsia="en-US" w:bidi="ar-SA"/>
      </w:rPr>
    </w:lvl>
    <w:lvl w:ilvl="6">
      <w:start w:val="0"/>
      <w:numFmt w:val="bullet"/>
      <w:lvlText w:val="•"/>
      <w:lvlJc w:val="left"/>
      <w:pPr>
        <w:ind w:left="6602" w:hanging="187"/>
      </w:pPr>
      <w:rPr>
        <w:rFonts w:hint="default"/>
        <w:lang w:val="en-US" w:eastAsia="en-US" w:bidi="ar-SA"/>
      </w:rPr>
    </w:lvl>
    <w:lvl w:ilvl="7">
      <w:start w:val="0"/>
      <w:numFmt w:val="bullet"/>
      <w:lvlText w:val="•"/>
      <w:lvlJc w:val="left"/>
      <w:pPr>
        <w:ind w:left="7011" w:hanging="187"/>
      </w:pPr>
      <w:rPr>
        <w:rFonts w:hint="default"/>
        <w:lang w:val="en-US" w:eastAsia="en-US" w:bidi="ar-SA"/>
      </w:rPr>
    </w:lvl>
    <w:lvl w:ilvl="8">
      <w:start w:val="0"/>
      <w:numFmt w:val="bullet"/>
      <w:lvlText w:val="•"/>
      <w:lvlJc w:val="left"/>
      <w:pPr>
        <w:ind w:left="7419" w:hanging="187"/>
      </w:pPr>
      <w:rPr>
        <w:rFonts w:hint="default"/>
        <w:lang w:val="en-US" w:eastAsia="en-US" w:bidi="ar-SA"/>
      </w:rPr>
    </w:lvl>
  </w:abstractNum>
  <w:abstractNum w:abstractNumId="15">
    <w:multiLevelType w:val="hybridMultilevel"/>
    <w:lvl w:ilvl="0">
      <w:start w:val="0"/>
      <w:numFmt w:val="bullet"/>
      <w:lvlText w:val="•"/>
      <w:lvlJc w:val="left"/>
      <w:pPr>
        <w:ind w:left="70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4568"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4880" w:hanging="187"/>
      </w:pPr>
      <w:rPr>
        <w:rFonts w:hint="default"/>
        <w:lang w:val="en-US" w:eastAsia="en-US" w:bidi="ar-SA"/>
      </w:rPr>
    </w:lvl>
    <w:lvl w:ilvl="3">
      <w:start w:val="0"/>
      <w:numFmt w:val="bullet"/>
      <w:lvlText w:val="•"/>
      <w:lvlJc w:val="left"/>
      <w:pPr>
        <w:ind w:left="5200" w:hanging="187"/>
      </w:pPr>
      <w:rPr>
        <w:rFonts w:hint="default"/>
        <w:lang w:val="en-US" w:eastAsia="en-US" w:bidi="ar-SA"/>
      </w:rPr>
    </w:lvl>
    <w:lvl w:ilvl="4">
      <w:start w:val="0"/>
      <w:numFmt w:val="bullet"/>
      <w:lvlText w:val="•"/>
      <w:lvlJc w:val="left"/>
      <w:pPr>
        <w:ind w:left="5520" w:hanging="187"/>
      </w:pPr>
      <w:rPr>
        <w:rFonts w:hint="default"/>
        <w:lang w:val="en-US" w:eastAsia="en-US" w:bidi="ar-SA"/>
      </w:rPr>
    </w:lvl>
    <w:lvl w:ilvl="5">
      <w:start w:val="0"/>
      <w:numFmt w:val="bullet"/>
      <w:lvlText w:val="•"/>
      <w:lvlJc w:val="left"/>
      <w:pPr>
        <w:ind w:left="5840" w:hanging="187"/>
      </w:pPr>
      <w:rPr>
        <w:rFonts w:hint="default"/>
        <w:lang w:val="en-US" w:eastAsia="en-US" w:bidi="ar-SA"/>
      </w:rPr>
    </w:lvl>
    <w:lvl w:ilvl="6">
      <w:start w:val="0"/>
      <w:numFmt w:val="bullet"/>
      <w:lvlText w:val="•"/>
      <w:lvlJc w:val="left"/>
      <w:pPr>
        <w:ind w:left="6160" w:hanging="187"/>
      </w:pPr>
      <w:rPr>
        <w:rFonts w:hint="default"/>
        <w:lang w:val="en-US" w:eastAsia="en-US" w:bidi="ar-SA"/>
      </w:rPr>
    </w:lvl>
    <w:lvl w:ilvl="7">
      <w:start w:val="0"/>
      <w:numFmt w:val="bullet"/>
      <w:lvlText w:val="•"/>
      <w:lvlJc w:val="left"/>
      <w:pPr>
        <w:ind w:left="6480" w:hanging="187"/>
      </w:pPr>
      <w:rPr>
        <w:rFonts w:hint="default"/>
        <w:lang w:val="en-US" w:eastAsia="en-US" w:bidi="ar-SA"/>
      </w:rPr>
    </w:lvl>
    <w:lvl w:ilvl="8">
      <w:start w:val="0"/>
      <w:numFmt w:val="bullet"/>
      <w:lvlText w:val="•"/>
      <w:lvlJc w:val="left"/>
      <w:pPr>
        <w:ind w:left="6800" w:hanging="187"/>
      </w:pPr>
      <w:rPr>
        <w:rFonts w:hint="default"/>
        <w:lang w:val="en-US" w:eastAsia="en-US" w:bidi="ar-SA"/>
      </w:rPr>
    </w:lvl>
  </w:abstractNum>
  <w:abstractNum w:abstractNumId="14">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803" w:hanging="187"/>
      </w:pPr>
      <w:rPr>
        <w:rFonts w:hint="default"/>
        <w:lang w:val="en-US" w:eastAsia="en-US" w:bidi="ar-SA"/>
      </w:rPr>
    </w:lvl>
    <w:lvl w:ilvl="2">
      <w:start w:val="0"/>
      <w:numFmt w:val="bullet"/>
      <w:lvlText w:val="•"/>
      <w:lvlJc w:val="left"/>
      <w:pPr>
        <w:ind w:left="2027" w:hanging="187"/>
      </w:pPr>
      <w:rPr>
        <w:rFonts w:hint="default"/>
        <w:lang w:val="en-US" w:eastAsia="en-US" w:bidi="ar-SA"/>
      </w:rPr>
    </w:lvl>
    <w:lvl w:ilvl="3">
      <w:start w:val="0"/>
      <w:numFmt w:val="bullet"/>
      <w:lvlText w:val="•"/>
      <w:lvlJc w:val="left"/>
      <w:pPr>
        <w:ind w:left="2251" w:hanging="187"/>
      </w:pPr>
      <w:rPr>
        <w:rFonts w:hint="default"/>
        <w:lang w:val="en-US" w:eastAsia="en-US" w:bidi="ar-SA"/>
      </w:rPr>
    </w:lvl>
    <w:lvl w:ilvl="4">
      <w:start w:val="0"/>
      <w:numFmt w:val="bullet"/>
      <w:lvlText w:val="•"/>
      <w:lvlJc w:val="left"/>
      <w:pPr>
        <w:ind w:left="2475" w:hanging="187"/>
      </w:pPr>
      <w:rPr>
        <w:rFonts w:hint="default"/>
        <w:lang w:val="en-US" w:eastAsia="en-US" w:bidi="ar-SA"/>
      </w:rPr>
    </w:lvl>
    <w:lvl w:ilvl="5">
      <w:start w:val="0"/>
      <w:numFmt w:val="bullet"/>
      <w:lvlText w:val="•"/>
      <w:lvlJc w:val="left"/>
      <w:pPr>
        <w:ind w:left="2699" w:hanging="187"/>
      </w:pPr>
      <w:rPr>
        <w:rFonts w:hint="default"/>
        <w:lang w:val="en-US" w:eastAsia="en-US" w:bidi="ar-SA"/>
      </w:rPr>
    </w:lvl>
    <w:lvl w:ilvl="6">
      <w:start w:val="0"/>
      <w:numFmt w:val="bullet"/>
      <w:lvlText w:val="•"/>
      <w:lvlJc w:val="left"/>
      <w:pPr>
        <w:ind w:left="2923" w:hanging="187"/>
      </w:pPr>
      <w:rPr>
        <w:rFonts w:hint="default"/>
        <w:lang w:val="en-US" w:eastAsia="en-US" w:bidi="ar-SA"/>
      </w:rPr>
    </w:lvl>
    <w:lvl w:ilvl="7">
      <w:start w:val="0"/>
      <w:numFmt w:val="bullet"/>
      <w:lvlText w:val="•"/>
      <w:lvlJc w:val="left"/>
      <w:pPr>
        <w:ind w:left="3147" w:hanging="187"/>
      </w:pPr>
      <w:rPr>
        <w:rFonts w:hint="default"/>
        <w:lang w:val="en-US" w:eastAsia="en-US" w:bidi="ar-SA"/>
      </w:rPr>
    </w:lvl>
    <w:lvl w:ilvl="8">
      <w:start w:val="0"/>
      <w:numFmt w:val="bullet"/>
      <w:lvlText w:val="•"/>
      <w:lvlJc w:val="left"/>
      <w:pPr>
        <w:ind w:left="3371" w:hanging="187"/>
      </w:pPr>
      <w:rPr>
        <w:rFonts w:hint="default"/>
        <w:lang w:val="en-US" w:eastAsia="en-US" w:bidi="ar-SA"/>
      </w:rPr>
    </w:lvl>
  </w:abstractNum>
  <w:abstractNum w:abstractNumId="13">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803" w:hanging="187"/>
      </w:pPr>
      <w:rPr>
        <w:rFonts w:hint="default"/>
        <w:lang w:val="en-US" w:eastAsia="en-US" w:bidi="ar-SA"/>
      </w:rPr>
    </w:lvl>
    <w:lvl w:ilvl="2">
      <w:start w:val="0"/>
      <w:numFmt w:val="bullet"/>
      <w:lvlText w:val="•"/>
      <w:lvlJc w:val="left"/>
      <w:pPr>
        <w:ind w:left="2027" w:hanging="187"/>
      </w:pPr>
      <w:rPr>
        <w:rFonts w:hint="default"/>
        <w:lang w:val="en-US" w:eastAsia="en-US" w:bidi="ar-SA"/>
      </w:rPr>
    </w:lvl>
    <w:lvl w:ilvl="3">
      <w:start w:val="0"/>
      <w:numFmt w:val="bullet"/>
      <w:lvlText w:val="•"/>
      <w:lvlJc w:val="left"/>
      <w:pPr>
        <w:ind w:left="2251" w:hanging="187"/>
      </w:pPr>
      <w:rPr>
        <w:rFonts w:hint="default"/>
        <w:lang w:val="en-US" w:eastAsia="en-US" w:bidi="ar-SA"/>
      </w:rPr>
    </w:lvl>
    <w:lvl w:ilvl="4">
      <w:start w:val="0"/>
      <w:numFmt w:val="bullet"/>
      <w:lvlText w:val="•"/>
      <w:lvlJc w:val="left"/>
      <w:pPr>
        <w:ind w:left="2475" w:hanging="187"/>
      </w:pPr>
      <w:rPr>
        <w:rFonts w:hint="default"/>
        <w:lang w:val="en-US" w:eastAsia="en-US" w:bidi="ar-SA"/>
      </w:rPr>
    </w:lvl>
    <w:lvl w:ilvl="5">
      <w:start w:val="0"/>
      <w:numFmt w:val="bullet"/>
      <w:lvlText w:val="•"/>
      <w:lvlJc w:val="left"/>
      <w:pPr>
        <w:ind w:left="2699" w:hanging="187"/>
      </w:pPr>
      <w:rPr>
        <w:rFonts w:hint="default"/>
        <w:lang w:val="en-US" w:eastAsia="en-US" w:bidi="ar-SA"/>
      </w:rPr>
    </w:lvl>
    <w:lvl w:ilvl="6">
      <w:start w:val="0"/>
      <w:numFmt w:val="bullet"/>
      <w:lvlText w:val="•"/>
      <w:lvlJc w:val="left"/>
      <w:pPr>
        <w:ind w:left="2923" w:hanging="187"/>
      </w:pPr>
      <w:rPr>
        <w:rFonts w:hint="default"/>
        <w:lang w:val="en-US" w:eastAsia="en-US" w:bidi="ar-SA"/>
      </w:rPr>
    </w:lvl>
    <w:lvl w:ilvl="7">
      <w:start w:val="0"/>
      <w:numFmt w:val="bullet"/>
      <w:lvlText w:val="•"/>
      <w:lvlJc w:val="left"/>
      <w:pPr>
        <w:ind w:left="3147" w:hanging="187"/>
      </w:pPr>
      <w:rPr>
        <w:rFonts w:hint="default"/>
        <w:lang w:val="en-US" w:eastAsia="en-US" w:bidi="ar-SA"/>
      </w:rPr>
    </w:lvl>
    <w:lvl w:ilvl="8">
      <w:start w:val="0"/>
      <w:numFmt w:val="bullet"/>
      <w:lvlText w:val="•"/>
      <w:lvlJc w:val="left"/>
      <w:pPr>
        <w:ind w:left="3371" w:hanging="187"/>
      </w:pPr>
      <w:rPr>
        <w:rFonts w:hint="default"/>
        <w:lang w:val="en-US" w:eastAsia="en-US" w:bidi="ar-SA"/>
      </w:rPr>
    </w:lvl>
  </w:abstractNum>
  <w:abstractNum w:abstractNumId="12">
    <w:multiLevelType w:val="hybridMultilevel"/>
    <w:lvl w:ilvl="0">
      <w:start w:val="0"/>
      <w:numFmt w:val="bullet"/>
      <w:lvlText w:val="•"/>
      <w:lvlJc w:val="left"/>
      <w:pPr>
        <w:ind w:left="70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896"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4568" w:hanging="187"/>
      </w:pPr>
      <w:rPr>
        <w:rFonts w:hint="default" w:ascii="Times New Roman" w:hAnsi="Times New Roman" w:eastAsia="Times New Roman" w:cs="Times New Roman"/>
        <w:b w:val="0"/>
        <w:bCs w:val="0"/>
        <w:i w:val="0"/>
        <w:iCs w:val="0"/>
        <w:w w:val="103"/>
        <w:sz w:val="18"/>
        <w:szCs w:val="18"/>
        <w:lang w:val="en-US" w:eastAsia="en-US" w:bidi="ar-SA"/>
      </w:rPr>
    </w:lvl>
    <w:lvl w:ilvl="3">
      <w:start w:val="0"/>
      <w:numFmt w:val="bullet"/>
      <w:lvlText w:val="•"/>
      <w:lvlJc w:val="left"/>
      <w:pPr>
        <w:ind w:left="4760" w:hanging="187"/>
      </w:pPr>
      <w:rPr>
        <w:rFonts w:hint="default"/>
        <w:lang w:val="en-US" w:eastAsia="en-US" w:bidi="ar-SA"/>
      </w:rPr>
    </w:lvl>
    <w:lvl w:ilvl="4">
      <w:start w:val="0"/>
      <w:numFmt w:val="bullet"/>
      <w:lvlText w:val="•"/>
      <w:lvlJc w:val="left"/>
      <w:pPr>
        <w:ind w:left="5142" w:hanging="187"/>
      </w:pPr>
      <w:rPr>
        <w:rFonts w:hint="default"/>
        <w:lang w:val="en-US" w:eastAsia="en-US" w:bidi="ar-SA"/>
      </w:rPr>
    </w:lvl>
    <w:lvl w:ilvl="5">
      <w:start w:val="0"/>
      <w:numFmt w:val="bullet"/>
      <w:lvlText w:val="•"/>
      <w:lvlJc w:val="left"/>
      <w:pPr>
        <w:ind w:left="5525" w:hanging="187"/>
      </w:pPr>
      <w:rPr>
        <w:rFonts w:hint="default"/>
        <w:lang w:val="en-US" w:eastAsia="en-US" w:bidi="ar-SA"/>
      </w:rPr>
    </w:lvl>
    <w:lvl w:ilvl="6">
      <w:start w:val="0"/>
      <w:numFmt w:val="bullet"/>
      <w:lvlText w:val="•"/>
      <w:lvlJc w:val="left"/>
      <w:pPr>
        <w:ind w:left="5908" w:hanging="187"/>
      </w:pPr>
      <w:rPr>
        <w:rFonts w:hint="default"/>
        <w:lang w:val="en-US" w:eastAsia="en-US" w:bidi="ar-SA"/>
      </w:rPr>
    </w:lvl>
    <w:lvl w:ilvl="7">
      <w:start w:val="0"/>
      <w:numFmt w:val="bullet"/>
      <w:lvlText w:val="•"/>
      <w:lvlJc w:val="left"/>
      <w:pPr>
        <w:ind w:left="6291" w:hanging="187"/>
      </w:pPr>
      <w:rPr>
        <w:rFonts w:hint="default"/>
        <w:lang w:val="en-US" w:eastAsia="en-US" w:bidi="ar-SA"/>
      </w:rPr>
    </w:lvl>
    <w:lvl w:ilvl="8">
      <w:start w:val="0"/>
      <w:numFmt w:val="bullet"/>
      <w:lvlText w:val="•"/>
      <w:lvlJc w:val="left"/>
      <w:pPr>
        <w:ind w:left="6674" w:hanging="187"/>
      </w:pPr>
      <w:rPr>
        <w:rFonts w:hint="default"/>
        <w:lang w:val="en-US" w:eastAsia="en-US" w:bidi="ar-SA"/>
      </w:rPr>
    </w:lvl>
  </w:abstractNum>
  <w:abstractNum w:abstractNumId="11">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803" w:hanging="187"/>
      </w:pPr>
      <w:rPr>
        <w:rFonts w:hint="default"/>
        <w:lang w:val="en-US" w:eastAsia="en-US" w:bidi="ar-SA"/>
      </w:rPr>
    </w:lvl>
    <w:lvl w:ilvl="2">
      <w:start w:val="0"/>
      <w:numFmt w:val="bullet"/>
      <w:lvlText w:val="•"/>
      <w:lvlJc w:val="left"/>
      <w:pPr>
        <w:ind w:left="2027" w:hanging="187"/>
      </w:pPr>
      <w:rPr>
        <w:rFonts w:hint="default"/>
        <w:lang w:val="en-US" w:eastAsia="en-US" w:bidi="ar-SA"/>
      </w:rPr>
    </w:lvl>
    <w:lvl w:ilvl="3">
      <w:start w:val="0"/>
      <w:numFmt w:val="bullet"/>
      <w:lvlText w:val="•"/>
      <w:lvlJc w:val="left"/>
      <w:pPr>
        <w:ind w:left="2251" w:hanging="187"/>
      </w:pPr>
      <w:rPr>
        <w:rFonts w:hint="default"/>
        <w:lang w:val="en-US" w:eastAsia="en-US" w:bidi="ar-SA"/>
      </w:rPr>
    </w:lvl>
    <w:lvl w:ilvl="4">
      <w:start w:val="0"/>
      <w:numFmt w:val="bullet"/>
      <w:lvlText w:val="•"/>
      <w:lvlJc w:val="left"/>
      <w:pPr>
        <w:ind w:left="2475" w:hanging="187"/>
      </w:pPr>
      <w:rPr>
        <w:rFonts w:hint="default"/>
        <w:lang w:val="en-US" w:eastAsia="en-US" w:bidi="ar-SA"/>
      </w:rPr>
    </w:lvl>
    <w:lvl w:ilvl="5">
      <w:start w:val="0"/>
      <w:numFmt w:val="bullet"/>
      <w:lvlText w:val="•"/>
      <w:lvlJc w:val="left"/>
      <w:pPr>
        <w:ind w:left="2699" w:hanging="187"/>
      </w:pPr>
      <w:rPr>
        <w:rFonts w:hint="default"/>
        <w:lang w:val="en-US" w:eastAsia="en-US" w:bidi="ar-SA"/>
      </w:rPr>
    </w:lvl>
    <w:lvl w:ilvl="6">
      <w:start w:val="0"/>
      <w:numFmt w:val="bullet"/>
      <w:lvlText w:val="•"/>
      <w:lvlJc w:val="left"/>
      <w:pPr>
        <w:ind w:left="2923" w:hanging="187"/>
      </w:pPr>
      <w:rPr>
        <w:rFonts w:hint="default"/>
        <w:lang w:val="en-US" w:eastAsia="en-US" w:bidi="ar-SA"/>
      </w:rPr>
    </w:lvl>
    <w:lvl w:ilvl="7">
      <w:start w:val="0"/>
      <w:numFmt w:val="bullet"/>
      <w:lvlText w:val="•"/>
      <w:lvlJc w:val="left"/>
      <w:pPr>
        <w:ind w:left="3147" w:hanging="187"/>
      </w:pPr>
      <w:rPr>
        <w:rFonts w:hint="default"/>
        <w:lang w:val="en-US" w:eastAsia="en-US" w:bidi="ar-SA"/>
      </w:rPr>
    </w:lvl>
    <w:lvl w:ilvl="8">
      <w:start w:val="0"/>
      <w:numFmt w:val="bullet"/>
      <w:lvlText w:val="•"/>
      <w:lvlJc w:val="left"/>
      <w:pPr>
        <w:ind w:left="3371" w:hanging="187"/>
      </w:pPr>
      <w:rPr>
        <w:rFonts w:hint="default"/>
        <w:lang w:val="en-US" w:eastAsia="en-US" w:bidi="ar-SA"/>
      </w:rPr>
    </w:lvl>
  </w:abstractNum>
  <w:abstractNum w:abstractNumId="10">
    <w:multiLevelType w:val="hybridMultilevel"/>
    <w:lvl w:ilvl="0">
      <w:start w:val="0"/>
      <w:numFmt w:val="bullet"/>
      <w:lvlText w:val="•"/>
      <w:lvlJc w:val="left"/>
      <w:pPr>
        <w:ind w:left="491"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678"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4568" w:hanging="187"/>
      </w:pPr>
      <w:rPr>
        <w:rFonts w:hint="default" w:ascii="Times New Roman" w:hAnsi="Times New Roman" w:eastAsia="Times New Roman" w:cs="Times New Roman"/>
        <w:b w:val="0"/>
        <w:bCs w:val="0"/>
        <w:i w:val="0"/>
        <w:iCs w:val="0"/>
        <w:w w:val="103"/>
        <w:sz w:val="18"/>
        <w:szCs w:val="18"/>
        <w:lang w:val="en-US" w:eastAsia="en-US" w:bidi="ar-SA"/>
      </w:rPr>
    </w:lvl>
    <w:lvl w:ilvl="3">
      <w:start w:val="0"/>
      <w:numFmt w:val="bullet"/>
      <w:lvlText w:val="•"/>
      <w:lvlJc w:val="left"/>
      <w:pPr>
        <w:ind w:left="4892" w:hanging="187"/>
      </w:pPr>
      <w:rPr>
        <w:rFonts w:hint="default"/>
        <w:lang w:val="en-US" w:eastAsia="en-US" w:bidi="ar-SA"/>
      </w:rPr>
    </w:lvl>
    <w:lvl w:ilvl="4">
      <w:start w:val="0"/>
      <w:numFmt w:val="bullet"/>
      <w:lvlText w:val="•"/>
      <w:lvlJc w:val="left"/>
      <w:pPr>
        <w:ind w:left="5225" w:hanging="187"/>
      </w:pPr>
      <w:rPr>
        <w:rFonts w:hint="default"/>
        <w:lang w:val="en-US" w:eastAsia="en-US" w:bidi="ar-SA"/>
      </w:rPr>
    </w:lvl>
    <w:lvl w:ilvl="5">
      <w:start w:val="0"/>
      <w:numFmt w:val="bullet"/>
      <w:lvlText w:val="•"/>
      <w:lvlJc w:val="left"/>
      <w:pPr>
        <w:ind w:left="5558" w:hanging="187"/>
      </w:pPr>
      <w:rPr>
        <w:rFonts w:hint="default"/>
        <w:lang w:val="en-US" w:eastAsia="en-US" w:bidi="ar-SA"/>
      </w:rPr>
    </w:lvl>
    <w:lvl w:ilvl="6">
      <w:start w:val="0"/>
      <w:numFmt w:val="bullet"/>
      <w:lvlText w:val="•"/>
      <w:lvlJc w:val="left"/>
      <w:pPr>
        <w:ind w:left="5891" w:hanging="187"/>
      </w:pPr>
      <w:rPr>
        <w:rFonts w:hint="default"/>
        <w:lang w:val="en-US" w:eastAsia="en-US" w:bidi="ar-SA"/>
      </w:rPr>
    </w:lvl>
    <w:lvl w:ilvl="7">
      <w:start w:val="0"/>
      <w:numFmt w:val="bullet"/>
      <w:lvlText w:val="•"/>
      <w:lvlJc w:val="left"/>
      <w:pPr>
        <w:ind w:left="6224" w:hanging="187"/>
      </w:pPr>
      <w:rPr>
        <w:rFonts w:hint="default"/>
        <w:lang w:val="en-US" w:eastAsia="en-US" w:bidi="ar-SA"/>
      </w:rPr>
    </w:lvl>
    <w:lvl w:ilvl="8">
      <w:start w:val="0"/>
      <w:numFmt w:val="bullet"/>
      <w:lvlText w:val="•"/>
      <w:lvlJc w:val="left"/>
      <w:pPr>
        <w:ind w:left="6557" w:hanging="187"/>
      </w:pPr>
      <w:rPr>
        <w:rFonts w:hint="default"/>
        <w:lang w:val="en-US" w:eastAsia="en-US" w:bidi="ar-SA"/>
      </w:rPr>
    </w:lvl>
  </w:abstractNum>
  <w:abstractNum w:abstractNumId="9">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825" w:hanging="187"/>
      </w:pPr>
      <w:rPr>
        <w:rFonts w:hint="default"/>
        <w:lang w:val="en-US" w:eastAsia="en-US" w:bidi="ar-SA"/>
      </w:rPr>
    </w:lvl>
    <w:lvl w:ilvl="2">
      <w:start w:val="0"/>
      <w:numFmt w:val="bullet"/>
      <w:lvlText w:val="•"/>
      <w:lvlJc w:val="left"/>
      <w:pPr>
        <w:ind w:left="2071" w:hanging="187"/>
      </w:pPr>
      <w:rPr>
        <w:rFonts w:hint="default"/>
        <w:lang w:val="en-US" w:eastAsia="en-US" w:bidi="ar-SA"/>
      </w:rPr>
    </w:lvl>
    <w:lvl w:ilvl="3">
      <w:start w:val="0"/>
      <w:numFmt w:val="bullet"/>
      <w:lvlText w:val="•"/>
      <w:lvlJc w:val="left"/>
      <w:pPr>
        <w:ind w:left="2317" w:hanging="187"/>
      </w:pPr>
      <w:rPr>
        <w:rFonts w:hint="default"/>
        <w:lang w:val="en-US" w:eastAsia="en-US" w:bidi="ar-SA"/>
      </w:rPr>
    </w:lvl>
    <w:lvl w:ilvl="4">
      <w:start w:val="0"/>
      <w:numFmt w:val="bullet"/>
      <w:lvlText w:val="•"/>
      <w:lvlJc w:val="left"/>
      <w:pPr>
        <w:ind w:left="2562" w:hanging="187"/>
      </w:pPr>
      <w:rPr>
        <w:rFonts w:hint="default"/>
        <w:lang w:val="en-US" w:eastAsia="en-US" w:bidi="ar-SA"/>
      </w:rPr>
    </w:lvl>
    <w:lvl w:ilvl="5">
      <w:start w:val="0"/>
      <w:numFmt w:val="bullet"/>
      <w:lvlText w:val="•"/>
      <w:lvlJc w:val="left"/>
      <w:pPr>
        <w:ind w:left="2808" w:hanging="187"/>
      </w:pPr>
      <w:rPr>
        <w:rFonts w:hint="default"/>
        <w:lang w:val="en-US" w:eastAsia="en-US" w:bidi="ar-SA"/>
      </w:rPr>
    </w:lvl>
    <w:lvl w:ilvl="6">
      <w:start w:val="0"/>
      <w:numFmt w:val="bullet"/>
      <w:lvlText w:val="•"/>
      <w:lvlJc w:val="left"/>
      <w:pPr>
        <w:ind w:left="3054" w:hanging="187"/>
      </w:pPr>
      <w:rPr>
        <w:rFonts w:hint="default"/>
        <w:lang w:val="en-US" w:eastAsia="en-US" w:bidi="ar-SA"/>
      </w:rPr>
    </w:lvl>
    <w:lvl w:ilvl="7">
      <w:start w:val="0"/>
      <w:numFmt w:val="bullet"/>
      <w:lvlText w:val="•"/>
      <w:lvlJc w:val="left"/>
      <w:pPr>
        <w:ind w:left="3299" w:hanging="187"/>
      </w:pPr>
      <w:rPr>
        <w:rFonts w:hint="default"/>
        <w:lang w:val="en-US" w:eastAsia="en-US" w:bidi="ar-SA"/>
      </w:rPr>
    </w:lvl>
    <w:lvl w:ilvl="8">
      <w:start w:val="0"/>
      <w:numFmt w:val="bullet"/>
      <w:lvlText w:val="•"/>
      <w:lvlJc w:val="left"/>
      <w:pPr>
        <w:ind w:left="3545" w:hanging="187"/>
      </w:pPr>
      <w:rPr>
        <w:rFonts w:hint="default"/>
        <w:lang w:val="en-US" w:eastAsia="en-US" w:bidi="ar-SA"/>
      </w:rPr>
    </w:lvl>
  </w:abstractNum>
  <w:abstractNum w:abstractNumId="8">
    <w:multiLevelType w:val="hybridMultilevel"/>
    <w:lvl w:ilvl="0">
      <w:start w:val="0"/>
      <w:numFmt w:val="bullet"/>
      <w:lvlText w:val="•"/>
      <w:lvlJc w:val="left"/>
      <w:pPr>
        <w:ind w:left="70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896" w:hanging="187"/>
      </w:pPr>
      <w:rPr>
        <w:rFonts w:hint="default" w:ascii="Times New Roman" w:hAnsi="Times New Roman" w:eastAsia="Times New Roman" w:cs="Times New Roman"/>
        <w:b w:val="0"/>
        <w:bCs w:val="0"/>
        <w:i w:val="0"/>
        <w:iCs w:val="0"/>
        <w:w w:val="103"/>
        <w:sz w:val="18"/>
        <w:szCs w:val="18"/>
        <w:lang w:val="en-US" w:eastAsia="en-US" w:bidi="ar-SA"/>
      </w:rPr>
    </w:lvl>
    <w:lvl w:ilvl="2">
      <w:start w:val="0"/>
      <w:numFmt w:val="bullet"/>
      <w:lvlText w:val="•"/>
      <w:lvlJc w:val="left"/>
      <w:pPr>
        <w:ind w:left="4560" w:hanging="187"/>
      </w:pPr>
      <w:rPr>
        <w:rFonts w:hint="default"/>
        <w:lang w:val="en-US" w:eastAsia="en-US" w:bidi="ar-SA"/>
      </w:rPr>
    </w:lvl>
    <w:lvl w:ilvl="3">
      <w:start w:val="0"/>
      <w:numFmt w:val="bullet"/>
      <w:lvlText w:val="•"/>
      <w:lvlJc w:val="left"/>
      <w:pPr>
        <w:ind w:left="4920" w:hanging="187"/>
      </w:pPr>
      <w:rPr>
        <w:rFonts w:hint="default"/>
        <w:lang w:val="en-US" w:eastAsia="en-US" w:bidi="ar-SA"/>
      </w:rPr>
    </w:lvl>
    <w:lvl w:ilvl="4">
      <w:start w:val="0"/>
      <w:numFmt w:val="bullet"/>
      <w:lvlText w:val="•"/>
      <w:lvlJc w:val="left"/>
      <w:pPr>
        <w:ind w:left="5280" w:hanging="187"/>
      </w:pPr>
      <w:rPr>
        <w:rFonts w:hint="default"/>
        <w:lang w:val="en-US" w:eastAsia="en-US" w:bidi="ar-SA"/>
      </w:rPr>
    </w:lvl>
    <w:lvl w:ilvl="5">
      <w:start w:val="0"/>
      <w:numFmt w:val="bullet"/>
      <w:lvlText w:val="•"/>
      <w:lvlJc w:val="left"/>
      <w:pPr>
        <w:ind w:left="5640" w:hanging="187"/>
      </w:pPr>
      <w:rPr>
        <w:rFonts w:hint="default"/>
        <w:lang w:val="en-US" w:eastAsia="en-US" w:bidi="ar-SA"/>
      </w:rPr>
    </w:lvl>
    <w:lvl w:ilvl="6">
      <w:start w:val="0"/>
      <w:numFmt w:val="bullet"/>
      <w:lvlText w:val="•"/>
      <w:lvlJc w:val="left"/>
      <w:pPr>
        <w:ind w:left="6000" w:hanging="187"/>
      </w:pPr>
      <w:rPr>
        <w:rFonts w:hint="default"/>
        <w:lang w:val="en-US" w:eastAsia="en-US" w:bidi="ar-SA"/>
      </w:rPr>
    </w:lvl>
    <w:lvl w:ilvl="7">
      <w:start w:val="0"/>
      <w:numFmt w:val="bullet"/>
      <w:lvlText w:val="•"/>
      <w:lvlJc w:val="left"/>
      <w:pPr>
        <w:ind w:left="6360" w:hanging="187"/>
      </w:pPr>
      <w:rPr>
        <w:rFonts w:hint="default"/>
        <w:lang w:val="en-US" w:eastAsia="en-US" w:bidi="ar-SA"/>
      </w:rPr>
    </w:lvl>
    <w:lvl w:ilvl="8">
      <w:start w:val="0"/>
      <w:numFmt w:val="bullet"/>
      <w:lvlText w:val="•"/>
      <w:lvlJc w:val="left"/>
      <w:pPr>
        <w:ind w:left="6720" w:hanging="187"/>
      </w:pPr>
      <w:rPr>
        <w:rFonts w:hint="default"/>
        <w:lang w:val="en-US" w:eastAsia="en-US" w:bidi="ar-SA"/>
      </w:rPr>
    </w:lvl>
  </w:abstractNum>
  <w:abstractNum w:abstractNumId="7">
    <w:multiLevelType w:val="hybridMultilevel"/>
    <w:lvl w:ilvl="0">
      <w:start w:val="0"/>
      <w:numFmt w:val="bullet"/>
      <w:lvlText w:val="•"/>
      <w:lvlJc w:val="left"/>
      <w:pPr>
        <w:ind w:left="1586"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1803" w:hanging="187"/>
      </w:pPr>
      <w:rPr>
        <w:rFonts w:hint="default"/>
        <w:lang w:val="en-US" w:eastAsia="en-US" w:bidi="ar-SA"/>
      </w:rPr>
    </w:lvl>
    <w:lvl w:ilvl="2">
      <w:start w:val="0"/>
      <w:numFmt w:val="bullet"/>
      <w:lvlText w:val="•"/>
      <w:lvlJc w:val="left"/>
      <w:pPr>
        <w:ind w:left="2027" w:hanging="187"/>
      </w:pPr>
      <w:rPr>
        <w:rFonts w:hint="default"/>
        <w:lang w:val="en-US" w:eastAsia="en-US" w:bidi="ar-SA"/>
      </w:rPr>
    </w:lvl>
    <w:lvl w:ilvl="3">
      <w:start w:val="0"/>
      <w:numFmt w:val="bullet"/>
      <w:lvlText w:val="•"/>
      <w:lvlJc w:val="left"/>
      <w:pPr>
        <w:ind w:left="2251" w:hanging="187"/>
      </w:pPr>
      <w:rPr>
        <w:rFonts w:hint="default"/>
        <w:lang w:val="en-US" w:eastAsia="en-US" w:bidi="ar-SA"/>
      </w:rPr>
    </w:lvl>
    <w:lvl w:ilvl="4">
      <w:start w:val="0"/>
      <w:numFmt w:val="bullet"/>
      <w:lvlText w:val="•"/>
      <w:lvlJc w:val="left"/>
      <w:pPr>
        <w:ind w:left="2475" w:hanging="187"/>
      </w:pPr>
      <w:rPr>
        <w:rFonts w:hint="default"/>
        <w:lang w:val="en-US" w:eastAsia="en-US" w:bidi="ar-SA"/>
      </w:rPr>
    </w:lvl>
    <w:lvl w:ilvl="5">
      <w:start w:val="0"/>
      <w:numFmt w:val="bullet"/>
      <w:lvlText w:val="•"/>
      <w:lvlJc w:val="left"/>
      <w:pPr>
        <w:ind w:left="2699" w:hanging="187"/>
      </w:pPr>
      <w:rPr>
        <w:rFonts w:hint="default"/>
        <w:lang w:val="en-US" w:eastAsia="en-US" w:bidi="ar-SA"/>
      </w:rPr>
    </w:lvl>
    <w:lvl w:ilvl="6">
      <w:start w:val="0"/>
      <w:numFmt w:val="bullet"/>
      <w:lvlText w:val="•"/>
      <w:lvlJc w:val="left"/>
      <w:pPr>
        <w:ind w:left="2923" w:hanging="187"/>
      </w:pPr>
      <w:rPr>
        <w:rFonts w:hint="default"/>
        <w:lang w:val="en-US" w:eastAsia="en-US" w:bidi="ar-SA"/>
      </w:rPr>
    </w:lvl>
    <w:lvl w:ilvl="7">
      <w:start w:val="0"/>
      <w:numFmt w:val="bullet"/>
      <w:lvlText w:val="•"/>
      <w:lvlJc w:val="left"/>
      <w:pPr>
        <w:ind w:left="3147" w:hanging="187"/>
      </w:pPr>
      <w:rPr>
        <w:rFonts w:hint="default"/>
        <w:lang w:val="en-US" w:eastAsia="en-US" w:bidi="ar-SA"/>
      </w:rPr>
    </w:lvl>
    <w:lvl w:ilvl="8">
      <w:start w:val="0"/>
      <w:numFmt w:val="bullet"/>
      <w:lvlText w:val="•"/>
      <w:lvlJc w:val="left"/>
      <w:pPr>
        <w:ind w:left="3371" w:hanging="187"/>
      </w:pPr>
      <w:rPr>
        <w:rFonts w:hint="default"/>
        <w:lang w:val="en-US" w:eastAsia="en-US" w:bidi="ar-SA"/>
      </w:rPr>
    </w:lvl>
  </w:abstractNum>
  <w:abstractNum w:abstractNumId="6">
    <w:multiLevelType w:val="hybridMultilevel"/>
    <w:lvl w:ilvl="0">
      <w:start w:val="0"/>
      <w:numFmt w:val="bullet"/>
      <w:lvlText w:val="•"/>
      <w:lvlJc w:val="left"/>
      <w:pPr>
        <w:ind w:left="1959"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2894" w:hanging="187"/>
      </w:pPr>
      <w:rPr>
        <w:rFonts w:hint="default"/>
        <w:lang w:val="en-US" w:eastAsia="en-US" w:bidi="ar-SA"/>
      </w:rPr>
    </w:lvl>
    <w:lvl w:ilvl="2">
      <w:start w:val="0"/>
      <w:numFmt w:val="bullet"/>
      <w:lvlText w:val="•"/>
      <w:lvlJc w:val="left"/>
      <w:pPr>
        <w:ind w:left="3828" w:hanging="187"/>
      </w:pPr>
      <w:rPr>
        <w:rFonts w:hint="default"/>
        <w:lang w:val="en-US" w:eastAsia="en-US" w:bidi="ar-SA"/>
      </w:rPr>
    </w:lvl>
    <w:lvl w:ilvl="3">
      <w:start w:val="0"/>
      <w:numFmt w:val="bullet"/>
      <w:lvlText w:val="•"/>
      <w:lvlJc w:val="left"/>
      <w:pPr>
        <w:ind w:left="4762" w:hanging="187"/>
      </w:pPr>
      <w:rPr>
        <w:rFonts w:hint="default"/>
        <w:lang w:val="en-US" w:eastAsia="en-US" w:bidi="ar-SA"/>
      </w:rPr>
    </w:lvl>
    <w:lvl w:ilvl="4">
      <w:start w:val="0"/>
      <w:numFmt w:val="bullet"/>
      <w:lvlText w:val="•"/>
      <w:lvlJc w:val="left"/>
      <w:pPr>
        <w:ind w:left="5696" w:hanging="187"/>
      </w:pPr>
      <w:rPr>
        <w:rFonts w:hint="default"/>
        <w:lang w:val="en-US" w:eastAsia="en-US" w:bidi="ar-SA"/>
      </w:rPr>
    </w:lvl>
    <w:lvl w:ilvl="5">
      <w:start w:val="0"/>
      <w:numFmt w:val="bullet"/>
      <w:lvlText w:val="•"/>
      <w:lvlJc w:val="left"/>
      <w:pPr>
        <w:ind w:left="6630" w:hanging="187"/>
      </w:pPr>
      <w:rPr>
        <w:rFonts w:hint="default"/>
        <w:lang w:val="en-US" w:eastAsia="en-US" w:bidi="ar-SA"/>
      </w:rPr>
    </w:lvl>
    <w:lvl w:ilvl="6">
      <w:start w:val="0"/>
      <w:numFmt w:val="bullet"/>
      <w:lvlText w:val="•"/>
      <w:lvlJc w:val="left"/>
      <w:pPr>
        <w:ind w:left="7564" w:hanging="187"/>
      </w:pPr>
      <w:rPr>
        <w:rFonts w:hint="default"/>
        <w:lang w:val="en-US" w:eastAsia="en-US" w:bidi="ar-SA"/>
      </w:rPr>
    </w:lvl>
    <w:lvl w:ilvl="7">
      <w:start w:val="0"/>
      <w:numFmt w:val="bullet"/>
      <w:lvlText w:val="•"/>
      <w:lvlJc w:val="left"/>
      <w:pPr>
        <w:ind w:left="8498" w:hanging="187"/>
      </w:pPr>
      <w:rPr>
        <w:rFonts w:hint="default"/>
        <w:lang w:val="en-US" w:eastAsia="en-US" w:bidi="ar-SA"/>
      </w:rPr>
    </w:lvl>
    <w:lvl w:ilvl="8">
      <w:start w:val="0"/>
      <w:numFmt w:val="bullet"/>
      <w:lvlText w:val="•"/>
      <w:lvlJc w:val="left"/>
      <w:pPr>
        <w:ind w:left="9432" w:hanging="187"/>
      </w:pPr>
      <w:rPr>
        <w:rFonts w:hint="default"/>
        <w:lang w:val="en-US" w:eastAsia="en-US" w:bidi="ar-SA"/>
      </w:rPr>
    </w:lvl>
  </w:abstractNum>
  <w:abstractNum w:abstractNumId="5">
    <w:multiLevelType w:val="hybridMultilevel"/>
    <w:lvl w:ilvl="0">
      <w:start w:val="0"/>
      <w:numFmt w:val="bullet"/>
      <w:lvlText w:val="•"/>
      <w:lvlJc w:val="left"/>
      <w:pPr>
        <w:ind w:left="2331" w:hanging="187"/>
      </w:pPr>
      <w:rPr>
        <w:rFonts w:hint="default" w:ascii="Times New Roman" w:hAnsi="Times New Roman" w:eastAsia="Times New Roman" w:cs="Times New Roman"/>
        <w:b w:val="0"/>
        <w:bCs w:val="0"/>
        <w:i w:val="0"/>
        <w:iCs w:val="0"/>
        <w:w w:val="103"/>
        <w:sz w:val="18"/>
        <w:szCs w:val="18"/>
        <w:lang w:val="en-US" w:eastAsia="en-US" w:bidi="ar-SA"/>
      </w:rPr>
    </w:lvl>
    <w:lvl w:ilvl="1">
      <w:start w:val="0"/>
      <w:numFmt w:val="bullet"/>
      <w:lvlText w:val="•"/>
      <w:lvlJc w:val="left"/>
      <w:pPr>
        <w:ind w:left="3236" w:hanging="187"/>
      </w:pPr>
      <w:rPr>
        <w:rFonts w:hint="default"/>
        <w:lang w:val="en-US" w:eastAsia="en-US" w:bidi="ar-SA"/>
      </w:rPr>
    </w:lvl>
    <w:lvl w:ilvl="2">
      <w:start w:val="0"/>
      <w:numFmt w:val="bullet"/>
      <w:lvlText w:val="•"/>
      <w:lvlJc w:val="left"/>
      <w:pPr>
        <w:ind w:left="4132" w:hanging="187"/>
      </w:pPr>
      <w:rPr>
        <w:rFonts w:hint="default"/>
        <w:lang w:val="en-US" w:eastAsia="en-US" w:bidi="ar-SA"/>
      </w:rPr>
    </w:lvl>
    <w:lvl w:ilvl="3">
      <w:start w:val="0"/>
      <w:numFmt w:val="bullet"/>
      <w:lvlText w:val="•"/>
      <w:lvlJc w:val="left"/>
      <w:pPr>
        <w:ind w:left="5028" w:hanging="187"/>
      </w:pPr>
      <w:rPr>
        <w:rFonts w:hint="default"/>
        <w:lang w:val="en-US" w:eastAsia="en-US" w:bidi="ar-SA"/>
      </w:rPr>
    </w:lvl>
    <w:lvl w:ilvl="4">
      <w:start w:val="0"/>
      <w:numFmt w:val="bullet"/>
      <w:lvlText w:val="•"/>
      <w:lvlJc w:val="left"/>
      <w:pPr>
        <w:ind w:left="5924" w:hanging="187"/>
      </w:pPr>
      <w:rPr>
        <w:rFonts w:hint="default"/>
        <w:lang w:val="en-US" w:eastAsia="en-US" w:bidi="ar-SA"/>
      </w:rPr>
    </w:lvl>
    <w:lvl w:ilvl="5">
      <w:start w:val="0"/>
      <w:numFmt w:val="bullet"/>
      <w:lvlText w:val="•"/>
      <w:lvlJc w:val="left"/>
      <w:pPr>
        <w:ind w:left="6820" w:hanging="187"/>
      </w:pPr>
      <w:rPr>
        <w:rFonts w:hint="default"/>
        <w:lang w:val="en-US" w:eastAsia="en-US" w:bidi="ar-SA"/>
      </w:rPr>
    </w:lvl>
    <w:lvl w:ilvl="6">
      <w:start w:val="0"/>
      <w:numFmt w:val="bullet"/>
      <w:lvlText w:val="•"/>
      <w:lvlJc w:val="left"/>
      <w:pPr>
        <w:ind w:left="7716" w:hanging="187"/>
      </w:pPr>
      <w:rPr>
        <w:rFonts w:hint="default"/>
        <w:lang w:val="en-US" w:eastAsia="en-US" w:bidi="ar-SA"/>
      </w:rPr>
    </w:lvl>
    <w:lvl w:ilvl="7">
      <w:start w:val="0"/>
      <w:numFmt w:val="bullet"/>
      <w:lvlText w:val="•"/>
      <w:lvlJc w:val="left"/>
      <w:pPr>
        <w:ind w:left="8612" w:hanging="187"/>
      </w:pPr>
      <w:rPr>
        <w:rFonts w:hint="default"/>
        <w:lang w:val="en-US" w:eastAsia="en-US" w:bidi="ar-SA"/>
      </w:rPr>
    </w:lvl>
    <w:lvl w:ilvl="8">
      <w:start w:val="0"/>
      <w:numFmt w:val="bullet"/>
      <w:lvlText w:val="•"/>
      <w:lvlJc w:val="left"/>
      <w:pPr>
        <w:ind w:left="9508" w:hanging="187"/>
      </w:pPr>
      <w:rPr>
        <w:rFonts w:hint="default"/>
        <w:lang w:val="en-US" w:eastAsia="en-US" w:bidi="ar-SA"/>
      </w:rPr>
    </w:lvl>
  </w:abstractNum>
  <w:abstractNum w:abstractNumId="4">
    <w:multiLevelType w:val="hybridMultilevel"/>
    <w:lvl w:ilvl="0">
      <w:start w:val="1"/>
      <w:numFmt w:val="decimal"/>
      <w:lvlText w:val="%1."/>
      <w:lvlJc w:val="left"/>
      <w:pPr>
        <w:ind w:left="2145"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3056" w:hanging="373"/>
      </w:pPr>
      <w:rPr>
        <w:rFonts w:hint="default"/>
        <w:lang w:val="en-US" w:eastAsia="en-US" w:bidi="ar-SA"/>
      </w:rPr>
    </w:lvl>
    <w:lvl w:ilvl="2">
      <w:start w:val="0"/>
      <w:numFmt w:val="bullet"/>
      <w:lvlText w:val="•"/>
      <w:lvlJc w:val="left"/>
      <w:pPr>
        <w:ind w:left="3972" w:hanging="373"/>
      </w:pPr>
      <w:rPr>
        <w:rFonts w:hint="default"/>
        <w:lang w:val="en-US" w:eastAsia="en-US" w:bidi="ar-SA"/>
      </w:rPr>
    </w:lvl>
    <w:lvl w:ilvl="3">
      <w:start w:val="0"/>
      <w:numFmt w:val="bullet"/>
      <w:lvlText w:val="•"/>
      <w:lvlJc w:val="left"/>
      <w:pPr>
        <w:ind w:left="4888" w:hanging="373"/>
      </w:pPr>
      <w:rPr>
        <w:rFonts w:hint="default"/>
        <w:lang w:val="en-US" w:eastAsia="en-US" w:bidi="ar-SA"/>
      </w:rPr>
    </w:lvl>
    <w:lvl w:ilvl="4">
      <w:start w:val="0"/>
      <w:numFmt w:val="bullet"/>
      <w:lvlText w:val="•"/>
      <w:lvlJc w:val="left"/>
      <w:pPr>
        <w:ind w:left="5804" w:hanging="373"/>
      </w:pPr>
      <w:rPr>
        <w:rFonts w:hint="default"/>
        <w:lang w:val="en-US" w:eastAsia="en-US" w:bidi="ar-SA"/>
      </w:rPr>
    </w:lvl>
    <w:lvl w:ilvl="5">
      <w:start w:val="0"/>
      <w:numFmt w:val="bullet"/>
      <w:lvlText w:val="•"/>
      <w:lvlJc w:val="left"/>
      <w:pPr>
        <w:ind w:left="6720" w:hanging="373"/>
      </w:pPr>
      <w:rPr>
        <w:rFonts w:hint="default"/>
        <w:lang w:val="en-US" w:eastAsia="en-US" w:bidi="ar-SA"/>
      </w:rPr>
    </w:lvl>
    <w:lvl w:ilvl="6">
      <w:start w:val="0"/>
      <w:numFmt w:val="bullet"/>
      <w:lvlText w:val="•"/>
      <w:lvlJc w:val="left"/>
      <w:pPr>
        <w:ind w:left="7636" w:hanging="373"/>
      </w:pPr>
      <w:rPr>
        <w:rFonts w:hint="default"/>
        <w:lang w:val="en-US" w:eastAsia="en-US" w:bidi="ar-SA"/>
      </w:rPr>
    </w:lvl>
    <w:lvl w:ilvl="7">
      <w:start w:val="0"/>
      <w:numFmt w:val="bullet"/>
      <w:lvlText w:val="•"/>
      <w:lvlJc w:val="left"/>
      <w:pPr>
        <w:ind w:left="8552" w:hanging="373"/>
      </w:pPr>
      <w:rPr>
        <w:rFonts w:hint="default"/>
        <w:lang w:val="en-US" w:eastAsia="en-US" w:bidi="ar-SA"/>
      </w:rPr>
    </w:lvl>
    <w:lvl w:ilvl="8">
      <w:start w:val="0"/>
      <w:numFmt w:val="bullet"/>
      <w:lvlText w:val="•"/>
      <w:lvlJc w:val="left"/>
      <w:pPr>
        <w:ind w:left="9468" w:hanging="373"/>
      </w:pPr>
      <w:rPr>
        <w:rFonts w:hint="default"/>
        <w:lang w:val="en-US" w:eastAsia="en-US" w:bidi="ar-SA"/>
      </w:rPr>
    </w:lvl>
  </w:abstractNum>
  <w:abstractNum w:abstractNumId="2">
    <w:multiLevelType w:val="hybridMultilevel"/>
    <w:lvl w:ilvl="0">
      <w:start w:val="0"/>
      <w:numFmt w:val="bullet"/>
      <w:lvlText w:val="•"/>
      <w:lvlJc w:val="left"/>
      <w:pPr>
        <w:ind w:left="388" w:hanging="187"/>
      </w:pPr>
      <w:rPr>
        <w:rFonts w:hint="default" w:ascii="Times New Roman" w:hAnsi="Times New Roman" w:eastAsia="Times New Roman" w:cs="Times New Roman"/>
        <w:b w:val="0"/>
        <w:bCs w:val="0"/>
        <w:i w:val="0"/>
        <w:iCs w:val="0"/>
        <w:w w:val="103"/>
        <w:sz w:val="18"/>
        <w:szCs w:val="18"/>
        <w:lang w:val="en-US" w:eastAsia="en-US" w:bidi="ar-SA"/>
      </w:rPr>
    </w:lvl>
    <w:lvl w:ilvl="1">
      <w:start w:val="1"/>
      <w:numFmt w:val="decimal"/>
      <w:lvlText w:val="%2."/>
      <w:lvlJc w:val="left"/>
      <w:pPr>
        <w:ind w:left="1861" w:hanging="448"/>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2">
      <w:start w:val="0"/>
      <w:numFmt w:val="bullet"/>
      <w:lvlText w:val="•"/>
      <w:lvlJc w:val="left"/>
      <w:pPr>
        <w:ind w:left="2177" w:hanging="448"/>
      </w:pPr>
      <w:rPr>
        <w:rFonts w:hint="default"/>
        <w:lang w:val="en-US" w:eastAsia="en-US" w:bidi="ar-SA"/>
      </w:rPr>
    </w:lvl>
    <w:lvl w:ilvl="3">
      <w:start w:val="0"/>
      <w:numFmt w:val="bullet"/>
      <w:lvlText w:val="•"/>
      <w:lvlJc w:val="left"/>
      <w:pPr>
        <w:ind w:left="2495" w:hanging="448"/>
      </w:pPr>
      <w:rPr>
        <w:rFonts w:hint="default"/>
        <w:lang w:val="en-US" w:eastAsia="en-US" w:bidi="ar-SA"/>
      </w:rPr>
    </w:lvl>
    <w:lvl w:ilvl="4">
      <w:start w:val="0"/>
      <w:numFmt w:val="bullet"/>
      <w:lvlText w:val="•"/>
      <w:lvlJc w:val="left"/>
      <w:pPr>
        <w:ind w:left="2813" w:hanging="448"/>
      </w:pPr>
      <w:rPr>
        <w:rFonts w:hint="default"/>
        <w:lang w:val="en-US" w:eastAsia="en-US" w:bidi="ar-SA"/>
      </w:rPr>
    </w:lvl>
    <w:lvl w:ilvl="5">
      <w:start w:val="0"/>
      <w:numFmt w:val="bullet"/>
      <w:lvlText w:val="•"/>
      <w:lvlJc w:val="left"/>
      <w:pPr>
        <w:ind w:left="3130" w:hanging="448"/>
      </w:pPr>
      <w:rPr>
        <w:rFonts w:hint="default"/>
        <w:lang w:val="en-US" w:eastAsia="en-US" w:bidi="ar-SA"/>
      </w:rPr>
    </w:lvl>
    <w:lvl w:ilvl="6">
      <w:start w:val="0"/>
      <w:numFmt w:val="bullet"/>
      <w:lvlText w:val="•"/>
      <w:lvlJc w:val="left"/>
      <w:pPr>
        <w:ind w:left="3448" w:hanging="448"/>
      </w:pPr>
      <w:rPr>
        <w:rFonts w:hint="default"/>
        <w:lang w:val="en-US" w:eastAsia="en-US" w:bidi="ar-SA"/>
      </w:rPr>
    </w:lvl>
    <w:lvl w:ilvl="7">
      <w:start w:val="0"/>
      <w:numFmt w:val="bullet"/>
      <w:lvlText w:val="•"/>
      <w:lvlJc w:val="left"/>
      <w:pPr>
        <w:ind w:left="3766" w:hanging="448"/>
      </w:pPr>
      <w:rPr>
        <w:rFonts w:hint="default"/>
        <w:lang w:val="en-US" w:eastAsia="en-US" w:bidi="ar-SA"/>
      </w:rPr>
    </w:lvl>
    <w:lvl w:ilvl="8">
      <w:start w:val="0"/>
      <w:numFmt w:val="bullet"/>
      <w:lvlText w:val="•"/>
      <w:lvlJc w:val="left"/>
      <w:pPr>
        <w:ind w:left="4084" w:hanging="448"/>
      </w:pPr>
      <w:rPr>
        <w:rFonts w:hint="default"/>
        <w:lang w:val="en-US" w:eastAsia="en-US" w:bidi="ar-SA"/>
      </w:rPr>
    </w:lvl>
  </w:abstractNum>
  <w:abstractNum w:abstractNumId="1">
    <w:multiLevelType w:val="hybridMultilevel"/>
    <w:lvl w:ilvl="0">
      <w:start w:val="1"/>
      <w:numFmt w:val="decimal"/>
      <w:lvlText w:val="%1."/>
      <w:lvlJc w:val="left"/>
      <w:pPr>
        <w:ind w:left="2145" w:hanging="373"/>
        <w:jc w:val="left"/>
      </w:pPr>
      <w:rPr>
        <w:rFonts w:hint="default" w:ascii="Times New Roman" w:hAnsi="Times New Roman" w:eastAsia="Times New Roman" w:cs="Times New Roman"/>
        <w:b w:val="0"/>
        <w:bCs w:val="0"/>
        <w:i w:val="0"/>
        <w:iCs w:val="0"/>
        <w:spacing w:val="0"/>
        <w:w w:val="103"/>
        <w:sz w:val="18"/>
        <w:szCs w:val="18"/>
        <w:lang w:val="en-US" w:eastAsia="en-US" w:bidi="ar-SA"/>
      </w:rPr>
    </w:lvl>
    <w:lvl w:ilvl="1">
      <w:start w:val="0"/>
      <w:numFmt w:val="bullet"/>
      <w:lvlText w:val="•"/>
      <w:lvlJc w:val="left"/>
      <w:pPr>
        <w:ind w:left="3056" w:hanging="373"/>
      </w:pPr>
      <w:rPr>
        <w:rFonts w:hint="default"/>
        <w:lang w:val="en-US" w:eastAsia="en-US" w:bidi="ar-SA"/>
      </w:rPr>
    </w:lvl>
    <w:lvl w:ilvl="2">
      <w:start w:val="0"/>
      <w:numFmt w:val="bullet"/>
      <w:lvlText w:val="•"/>
      <w:lvlJc w:val="left"/>
      <w:pPr>
        <w:ind w:left="3972" w:hanging="373"/>
      </w:pPr>
      <w:rPr>
        <w:rFonts w:hint="default"/>
        <w:lang w:val="en-US" w:eastAsia="en-US" w:bidi="ar-SA"/>
      </w:rPr>
    </w:lvl>
    <w:lvl w:ilvl="3">
      <w:start w:val="0"/>
      <w:numFmt w:val="bullet"/>
      <w:lvlText w:val="•"/>
      <w:lvlJc w:val="left"/>
      <w:pPr>
        <w:ind w:left="4888" w:hanging="373"/>
      </w:pPr>
      <w:rPr>
        <w:rFonts w:hint="default"/>
        <w:lang w:val="en-US" w:eastAsia="en-US" w:bidi="ar-SA"/>
      </w:rPr>
    </w:lvl>
    <w:lvl w:ilvl="4">
      <w:start w:val="0"/>
      <w:numFmt w:val="bullet"/>
      <w:lvlText w:val="•"/>
      <w:lvlJc w:val="left"/>
      <w:pPr>
        <w:ind w:left="5804" w:hanging="373"/>
      </w:pPr>
      <w:rPr>
        <w:rFonts w:hint="default"/>
        <w:lang w:val="en-US" w:eastAsia="en-US" w:bidi="ar-SA"/>
      </w:rPr>
    </w:lvl>
    <w:lvl w:ilvl="5">
      <w:start w:val="0"/>
      <w:numFmt w:val="bullet"/>
      <w:lvlText w:val="•"/>
      <w:lvlJc w:val="left"/>
      <w:pPr>
        <w:ind w:left="6720" w:hanging="373"/>
      </w:pPr>
      <w:rPr>
        <w:rFonts w:hint="default"/>
        <w:lang w:val="en-US" w:eastAsia="en-US" w:bidi="ar-SA"/>
      </w:rPr>
    </w:lvl>
    <w:lvl w:ilvl="6">
      <w:start w:val="0"/>
      <w:numFmt w:val="bullet"/>
      <w:lvlText w:val="•"/>
      <w:lvlJc w:val="left"/>
      <w:pPr>
        <w:ind w:left="7636" w:hanging="373"/>
      </w:pPr>
      <w:rPr>
        <w:rFonts w:hint="default"/>
        <w:lang w:val="en-US" w:eastAsia="en-US" w:bidi="ar-SA"/>
      </w:rPr>
    </w:lvl>
    <w:lvl w:ilvl="7">
      <w:start w:val="0"/>
      <w:numFmt w:val="bullet"/>
      <w:lvlText w:val="•"/>
      <w:lvlJc w:val="left"/>
      <w:pPr>
        <w:ind w:left="8552" w:hanging="373"/>
      </w:pPr>
      <w:rPr>
        <w:rFonts w:hint="default"/>
        <w:lang w:val="en-US" w:eastAsia="en-US" w:bidi="ar-SA"/>
      </w:rPr>
    </w:lvl>
    <w:lvl w:ilvl="8">
      <w:start w:val="0"/>
      <w:numFmt w:val="bullet"/>
      <w:lvlText w:val="•"/>
      <w:lvlJc w:val="left"/>
      <w:pPr>
        <w:ind w:left="9468" w:hanging="373"/>
      </w:pPr>
      <w:rPr>
        <w:rFonts w:hint="default"/>
        <w:lang w:val="en-US" w:eastAsia="en-US" w:bidi="ar-SA"/>
      </w:rPr>
    </w:lvl>
  </w:abstractNum>
  <w:abstractNum w:abstractNumId="0">
    <w:multiLevelType w:val="hybridMultilevel"/>
    <w:lvl w:ilvl="0">
      <w:start w:val="0"/>
      <w:numFmt w:val="bullet"/>
      <w:lvlText w:val="☐"/>
      <w:lvlJc w:val="left"/>
      <w:pPr>
        <w:ind w:left="1772" w:hanging="373"/>
      </w:pPr>
      <w:rPr>
        <w:rFonts w:hint="default" w:ascii="Segoe UI Symbol" w:hAnsi="Segoe UI Symbol" w:eastAsia="Segoe UI Symbol" w:cs="Segoe UI Symbol"/>
        <w:b w:val="0"/>
        <w:bCs w:val="0"/>
        <w:i w:val="0"/>
        <w:iCs w:val="0"/>
        <w:w w:val="103"/>
        <w:sz w:val="18"/>
        <w:szCs w:val="18"/>
        <w:lang w:val="en-US" w:eastAsia="en-US" w:bidi="ar-SA"/>
      </w:rPr>
    </w:lvl>
    <w:lvl w:ilvl="1">
      <w:start w:val="0"/>
      <w:numFmt w:val="bullet"/>
      <w:lvlText w:val="•"/>
      <w:lvlJc w:val="left"/>
      <w:pPr>
        <w:ind w:left="2732" w:hanging="373"/>
      </w:pPr>
      <w:rPr>
        <w:rFonts w:hint="default"/>
        <w:lang w:val="en-US" w:eastAsia="en-US" w:bidi="ar-SA"/>
      </w:rPr>
    </w:lvl>
    <w:lvl w:ilvl="2">
      <w:start w:val="0"/>
      <w:numFmt w:val="bullet"/>
      <w:lvlText w:val="•"/>
      <w:lvlJc w:val="left"/>
      <w:pPr>
        <w:ind w:left="3684" w:hanging="373"/>
      </w:pPr>
      <w:rPr>
        <w:rFonts w:hint="default"/>
        <w:lang w:val="en-US" w:eastAsia="en-US" w:bidi="ar-SA"/>
      </w:rPr>
    </w:lvl>
    <w:lvl w:ilvl="3">
      <w:start w:val="0"/>
      <w:numFmt w:val="bullet"/>
      <w:lvlText w:val="•"/>
      <w:lvlJc w:val="left"/>
      <w:pPr>
        <w:ind w:left="4636" w:hanging="373"/>
      </w:pPr>
      <w:rPr>
        <w:rFonts w:hint="default"/>
        <w:lang w:val="en-US" w:eastAsia="en-US" w:bidi="ar-SA"/>
      </w:rPr>
    </w:lvl>
    <w:lvl w:ilvl="4">
      <w:start w:val="0"/>
      <w:numFmt w:val="bullet"/>
      <w:lvlText w:val="•"/>
      <w:lvlJc w:val="left"/>
      <w:pPr>
        <w:ind w:left="5588" w:hanging="373"/>
      </w:pPr>
      <w:rPr>
        <w:rFonts w:hint="default"/>
        <w:lang w:val="en-US" w:eastAsia="en-US" w:bidi="ar-SA"/>
      </w:rPr>
    </w:lvl>
    <w:lvl w:ilvl="5">
      <w:start w:val="0"/>
      <w:numFmt w:val="bullet"/>
      <w:lvlText w:val="•"/>
      <w:lvlJc w:val="left"/>
      <w:pPr>
        <w:ind w:left="6540" w:hanging="373"/>
      </w:pPr>
      <w:rPr>
        <w:rFonts w:hint="default"/>
        <w:lang w:val="en-US" w:eastAsia="en-US" w:bidi="ar-SA"/>
      </w:rPr>
    </w:lvl>
    <w:lvl w:ilvl="6">
      <w:start w:val="0"/>
      <w:numFmt w:val="bullet"/>
      <w:lvlText w:val="•"/>
      <w:lvlJc w:val="left"/>
      <w:pPr>
        <w:ind w:left="7492" w:hanging="373"/>
      </w:pPr>
      <w:rPr>
        <w:rFonts w:hint="default"/>
        <w:lang w:val="en-US" w:eastAsia="en-US" w:bidi="ar-SA"/>
      </w:rPr>
    </w:lvl>
    <w:lvl w:ilvl="7">
      <w:start w:val="0"/>
      <w:numFmt w:val="bullet"/>
      <w:lvlText w:val="•"/>
      <w:lvlJc w:val="left"/>
      <w:pPr>
        <w:ind w:left="8444" w:hanging="373"/>
      </w:pPr>
      <w:rPr>
        <w:rFonts w:hint="default"/>
        <w:lang w:val="en-US" w:eastAsia="en-US" w:bidi="ar-SA"/>
      </w:rPr>
    </w:lvl>
    <w:lvl w:ilvl="8">
      <w:start w:val="0"/>
      <w:numFmt w:val="bullet"/>
      <w:lvlText w:val="•"/>
      <w:lvlJc w:val="left"/>
      <w:pPr>
        <w:ind w:left="9396" w:hanging="373"/>
      </w:pPr>
      <w:rPr>
        <w:rFonts w:hint="default"/>
        <w:lang w:val="en-US" w:eastAsia="en-US" w:bidi="ar-SA"/>
      </w:rPr>
    </w:lvl>
  </w:abstractNum>
  <w:num w:numId="4">
    <w:abstractNumId w:val="3"/>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843"/>
      <w:ind w:right="1408"/>
      <w:jc w:val="right"/>
    </w:pPr>
    <w:rPr>
      <w:rFonts w:ascii="Times New Roman" w:hAnsi="Times New Roman" w:eastAsia="Times New Roman" w:cs="Times New Roman"/>
      <w:b/>
      <w:bCs/>
      <w:sz w:val="15"/>
      <w:szCs w:val="15"/>
      <w:lang w:val="en-US" w:eastAsia="en-US" w:bidi="ar-SA"/>
    </w:rPr>
  </w:style>
  <w:style w:styleId="TOC2" w:type="paragraph">
    <w:name w:val="TOC 2"/>
    <w:basedOn w:val="Normal"/>
    <w:uiPriority w:val="1"/>
    <w:qFormat/>
    <w:pPr>
      <w:spacing w:before="73"/>
      <w:ind w:left="1400"/>
    </w:pPr>
    <w:rPr>
      <w:rFonts w:ascii="Times New Roman" w:hAnsi="Times New Roman" w:eastAsia="Times New Roman" w:cs="Times New Roman"/>
      <w:sz w:val="18"/>
      <w:szCs w:val="18"/>
      <w:u w:val="single" w:color="000000"/>
      <w:lang w:val="en-US" w:eastAsia="en-US" w:bidi="ar-SA"/>
    </w:rPr>
  </w:style>
  <w:style w:styleId="TOC3" w:type="paragraph">
    <w:name w:val="TOC 3"/>
    <w:basedOn w:val="Normal"/>
    <w:uiPriority w:val="1"/>
    <w:qFormat/>
    <w:pPr>
      <w:spacing w:before="73"/>
      <w:ind w:left="1586"/>
    </w:pPr>
    <w:rPr>
      <w:rFonts w:ascii="Times New Roman" w:hAnsi="Times New Roman" w:eastAsia="Times New Roman" w:cs="Times New Roman"/>
      <w:sz w:val="18"/>
      <w:szCs w:val="18"/>
      <w:u w:val="single" w:color="000000"/>
      <w:lang w:val="en-US" w:eastAsia="en-US" w:bidi="ar-SA"/>
    </w:rPr>
  </w:style>
  <w:style w:styleId="TOC4" w:type="paragraph">
    <w:name w:val="TOC 4"/>
    <w:basedOn w:val="Normal"/>
    <w:uiPriority w:val="1"/>
    <w:qFormat/>
    <w:pPr>
      <w:spacing w:before="16"/>
      <w:ind w:left="1772"/>
    </w:pPr>
    <w:rPr>
      <w:rFonts w:ascii="Times New Roman" w:hAnsi="Times New Roman" w:eastAsia="Times New Roman" w:cs="Times New Roman"/>
      <w:sz w:val="18"/>
      <w:szCs w:val="18"/>
      <w:u w:val="single" w:color="000000"/>
      <w:lang w:val="en-US"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en-US" w:eastAsia="en-US" w:bidi="ar-SA"/>
    </w:rPr>
  </w:style>
  <w:style w:styleId="Heading1" w:type="paragraph">
    <w:name w:val="Heading 1"/>
    <w:basedOn w:val="Normal"/>
    <w:uiPriority w:val="1"/>
    <w:qFormat/>
    <w:pPr>
      <w:spacing w:before="98"/>
      <w:ind w:left="4" w:right="1"/>
      <w:jc w:val="center"/>
      <w:outlineLvl w:val="1"/>
    </w:pPr>
    <w:rPr>
      <w:rFonts w:ascii="Times New Roman" w:hAnsi="Times New Roman" w:eastAsia="Times New Roman" w:cs="Times New Roman"/>
      <w:b/>
      <w:bCs/>
      <w:sz w:val="18"/>
      <w:szCs w:val="18"/>
      <w:lang w:val="en-US" w:eastAsia="en-US" w:bidi="ar-SA"/>
    </w:rPr>
  </w:style>
  <w:style w:styleId="Heading2" w:type="paragraph">
    <w:name w:val="Heading 2"/>
    <w:basedOn w:val="Normal"/>
    <w:uiPriority w:val="1"/>
    <w:qFormat/>
    <w:pPr>
      <w:ind w:left="1400"/>
      <w:outlineLvl w:val="2"/>
    </w:pPr>
    <w:rPr>
      <w:rFonts w:ascii="Times New Roman" w:hAnsi="Times New Roman" w:eastAsia="Times New Roman" w:cs="Times New Roman"/>
      <w:b/>
      <w:bCs/>
      <w:sz w:val="18"/>
      <w:szCs w:val="18"/>
      <w:lang w:val="en-US" w:eastAsia="en-US" w:bidi="ar-SA"/>
    </w:rPr>
  </w:style>
  <w:style w:styleId="Title" w:type="paragraph">
    <w:name w:val="Title"/>
    <w:basedOn w:val="Normal"/>
    <w:uiPriority w:val="1"/>
    <w:qFormat/>
    <w:pPr>
      <w:ind w:left="5" w:right="1"/>
      <w:jc w:val="center"/>
    </w:pPr>
    <w:rPr>
      <w:rFonts w:ascii="Times New Roman" w:hAnsi="Times New Roman" w:eastAsia="Times New Roman" w:cs="Times New Roman"/>
      <w:b/>
      <w:bCs/>
      <w:sz w:val="26"/>
      <w:szCs w:val="26"/>
      <w:lang w:val="en-US" w:eastAsia="en-US" w:bidi="ar-SA"/>
    </w:rPr>
  </w:style>
  <w:style w:styleId="ListParagraph" w:type="paragraph">
    <w:name w:val="List Paragraph"/>
    <w:basedOn w:val="Normal"/>
    <w:uiPriority w:val="1"/>
    <w:qFormat/>
    <w:pPr>
      <w:spacing w:before="112"/>
      <w:ind w:left="1959" w:hanging="187"/>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hyperlink" Target="http://www.virtualshareholdermeeting.com/VREX2023" TargetMode="External"/><Relationship Id="rId10" Type="http://schemas.openxmlformats.org/officeDocument/2006/relationships/image" Target="media/image2.jpeg"/><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yperlink" Target="mailto:sendmaterial@proxyvote.com" TargetMode="External"/><Relationship Id="rId14" Type="http://schemas.openxmlformats.org/officeDocument/2006/relationships/image" Target="media/image3.jpeg"/><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header" Target="header4.xml"/><Relationship Id="rId18" Type="http://schemas.openxmlformats.org/officeDocument/2006/relationships/footer" Target="footer5.xml"/><Relationship Id="rId19" Type="http://schemas.openxmlformats.org/officeDocument/2006/relationships/header" Target="header5.xml"/><Relationship Id="rId20" Type="http://schemas.openxmlformats.org/officeDocument/2006/relationships/footer" Target="footer6.xml"/><Relationship Id="rId21" Type="http://schemas.openxmlformats.org/officeDocument/2006/relationships/header" Target="header6.xml"/><Relationship Id="rId22" Type="http://schemas.openxmlformats.org/officeDocument/2006/relationships/footer" Target="footer7.xml"/><Relationship Id="rId23" Type="http://schemas.openxmlformats.org/officeDocument/2006/relationships/header" Target="header7.xml"/><Relationship Id="rId24" Type="http://schemas.openxmlformats.org/officeDocument/2006/relationships/footer" Target="footer8.xml"/><Relationship Id="rId25" Type="http://schemas.openxmlformats.org/officeDocument/2006/relationships/header" Target="header8.xml"/><Relationship Id="rId26" Type="http://schemas.openxmlformats.org/officeDocument/2006/relationships/footer" Target="footer9.xml"/><Relationship Id="rId27" Type="http://schemas.openxmlformats.org/officeDocument/2006/relationships/hyperlink" Target="mailto:investor.relations@vareximaging.com" TargetMode="External"/><Relationship Id="rId28" Type="http://schemas.openxmlformats.org/officeDocument/2006/relationships/hyperlink" Target="http://www.proxyvote.com/" TargetMode="External"/><Relationship Id="rId29" Type="http://schemas.openxmlformats.org/officeDocument/2006/relationships/hyperlink" Target="http://www.computershare.com/investor" TargetMode="External"/><Relationship Id="rId30" Type="http://schemas.openxmlformats.org/officeDocument/2006/relationships/header" Target="header9.xml"/><Relationship Id="rId31" Type="http://schemas.openxmlformats.org/officeDocument/2006/relationships/footer" Target="footer10.xml"/><Relationship Id="rId32" Type="http://schemas.openxmlformats.org/officeDocument/2006/relationships/header" Target="header10.xml"/><Relationship Id="rId33" Type="http://schemas.openxmlformats.org/officeDocument/2006/relationships/footer" Target="footer11.xml"/><Relationship Id="rId34" Type="http://schemas.openxmlformats.org/officeDocument/2006/relationships/hyperlink" Target="mailto:boardofdirectors@vareximaging.com" TargetMode="External"/><Relationship Id="rId35" Type="http://schemas.openxmlformats.org/officeDocument/2006/relationships/hyperlink" Target="http://www.virtualshareholdermeeting.com/VREX2023%3B" TargetMode="External"/><Relationship Id="rId36" Type="http://schemas.openxmlformats.org/officeDocument/2006/relationships/header" Target="header11.xml"/><Relationship Id="rId37" Type="http://schemas.openxmlformats.org/officeDocument/2006/relationships/footer" Target="footer12.xml"/><Relationship Id="rId38" Type="http://schemas.openxmlformats.org/officeDocument/2006/relationships/hyperlink" Target="http://www.vareximaging.com/" TargetMode="External"/><Relationship Id="rId39" Type="http://schemas.openxmlformats.org/officeDocument/2006/relationships/header" Target="header12.xml"/><Relationship Id="rId40" Type="http://schemas.openxmlformats.org/officeDocument/2006/relationships/footer" Target="footer13.xml"/><Relationship Id="rId41" Type="http://schemas.openxmlformats.org/officeDocument/2006/relationships/header" Target="header13.xml"/><Relationship Id="rId42" Type="http://schemas.openxmlformats.org/officeDocument/2006/relationships/footer" Target="footer14.xml"/><Relationship Id="rId43" Type="http://schemas.openxmlformats.org/officeDocument/2006/relationships/header" Target="header14.xml"/><Relationship Id="rId44" Type="http://schemas.openxmlformats.org/officeDocument/2006/relationships/footer" Target="footer15.xml"/><Relationship Id="rId45" Type="http://schemas.openxmlformats.org/officeDocument/2006/relationships/header" Target="header15.xml"/><Relationship Id="rId46" Type="http://schemas.openxmlformats.org/officeDocument/2006/relationships/footer" Target="footer16.xml"/><Relationship Id="rId47" Type="http://schemas.openxmlformats.org/officeDocument/2006/relationships/header" Target="header16.xml"/><Relationship Id="rId48" Type="http://schemas.openxmlformats.org/officeDocument/2006/relationships/footer" Target="footer17.xml"/><Relationship Id="rId49" Type="http://schemas.openxmlformats.org/officeDocument/2006/relationships/header" Target="header17.xml"/><Relationship Id="rId50" Type="http://schemas.openxmlformats.org/officeDocument/2006/relationships/footer" Target="footer18.xml"/><Relationship Id="rId51" Type="http://schemas.openxmlformats.org/officeDocument/2006/relationships/header" Target="header18.xml"/><Relationship Id="rId52" Type="http://schemas.openxmlformats.org/officeDocument/2006/relationships/footer" Target="footer19.xml"/><Relationship Id="rId53" Type="http://schemas.openxmlformats.org/officeDocument/2006/relationships/header" Target="header19.xml"/><Relationship Id="rId54" Type="http://schemas.openxmlformats.org/officeDocument/2006/relationships/footer" Target="footer20.xml"/><Relationship Id="rId55" Type="http://schemas.openxmlformats.org/officeDocument/2006/relationships/header" Target="header20.xml"/><Relationship Id="rId56" Type="http://schemas.openxmlformats.org/officeDocument/2006/relationships/footer" Target="footer21.xml"/><Relationship Id="rId57" Type="http://schemas.openxmlformats.org/officeDocument/2006/relationships/header" Target="header21.xml"/><Relationship Id="rId58" Type="http://schemas.openxmlformats.org/officeDocument/2006/relationships/footer" Target="footer22.xml"/><Relationship Id="rId59" Type="http://schemas.openxmlformats.org/officeDocument/2006/relationships/header" Target="header22.xml"/><Relationship Id="rId60" Type="http://schemas.openxmlformats.org/officeDocument/2006/relationships/footer" Target="footer23.xml"/><Relationship Id="rId61" Type="http://schemas.openxmlformats.org/officeDocument/2006/relationships/header" Target="header23.xml"/><Relationship Id="rId62" Type="http://schemas.openxmlformats.org/officeDocument/2006/relationships/footer" Target="footer24.xml"/><Relationship Id="rId63" Type="http://schemas.openxmlformats.org/officeDocument/2006/relationships/header" Target="header24.xml"/><Relationship Id="rId64" Type="http://schemas.openxmlformats.org/officeDocument/2006/relationships/footer" Target="footer25.xml"/><Relationship Id="rId65" Type="http://schemas.openxmlformats.org/officeDocument/2006/relationships/header" Target="header25.xml"/><Relationship Id="rId66" Type="http://schemas.openxmlformats.org/officeDocument/2006/relationships/footer" Target="footer26.xml"/><Relationship Id="rId67" Type="http://schemas.openxmlformats.org/officeDocument/2006/relationships/header" Target="header26.xml"/><Relationship Id="rId68" Type="http://schemas.openxmlformats.org/officeDocument/2006/relationships/footer" Target="footer27.xml"/><Relationship Id="rId69" Type="http://schemas.openxmlformats.org/officeDocument/2006/relationships/header" Target="header27.xml"/><Relationship Id="rId70" Type="http://schemas.openxmlformats.org/officeDocument/2006/relationships/footer" Target="footer28.xml"/><Relationship Id="rId71" Type="http://schemas.openxmlformats.org/officeDocument/2006/relationships/header" Target="header28.xml"/><Relationship Id="rId72" Type="http://schemas.openxmlformats.org/officeDocument/2006/relationships/footer" Target="footer29.xml"/><Relationship Id="rId73" Type="http://schemas.openxmlformats.org/officeDocument/2006/relationships/header" Target="header29.xml"/><Relationship Id="rId74" Type="http://schemas.openxmlformats.org/officeDocument/2006/relationships/footer" Target="footer30.xml"/><Relationship Id="rId75" Type="http://schemas.openxmlformats.org/officeDocument/2006/relationships/header" Target="header30.xml"/><Relationship Id="rId76" Type="http://schemas.openxmlformats.org/officeDocument/2006/relationships/footer" Target="footer31.xml"/><Relationship Id="rId77" Type="http://schemas.openxmlformats.org/officeDocument/2006/relationships/header" Target="header31.xml"/><Relationship Id="rId78" Type="http://schemas.openxmlformats.org/officeDocument/2006/relationships/footer" Target="footer32.xml"/><Relationship Id="rId79" Type="http://schemas.openxmlformats.org/officeDocument/2006/relationships/header" Target="header32.xml"/><Relationship Id="rId80" Type="http://schemas.openxmlformats.org/officeDocument/2006/relationships/footer" Target="footer33.xml"/><Relationship Id="rId81" Type="http://schemas.openxmlformats.org/officeDocument/2006/relationships/header" Target="header33.xml"/><Relationship Id="rId82" Type="http://schemas.openxmlformats.org/officeDocument/2006/relationships/footer" Target="footer34.xml"/><Relationship Id="rId83" Type="http://schemas.openxmlformats.org/officeDocument/2006/relationships/header" Target="header34.xml"/><Relationship Id="rId84" Type="http://schemas.openxmlformats.org/officeDocument/2006/relationships/footer" Target="footer35.xml"/><Relationship Id="rId85" Type="http://schemas.openxmlformats.org/officeDocument/2006/relationships/header" Target="header35.xml"/><Relationship Id="rId86" Type="http://schemas.openxmlformats.org/officeDocument/2006/relationships/footer" Target="footer36.xml"/><Relationship Id="rId87" Type="http://schemas.openxmlformats.org/officeDocument/2006/relationships/header" Target="header36.xml"/><Relationship Id="rId88" Type="http://schemas.openxmlformats.org/officeDocument/2006/relationships/footer" Target="footer37.xml"/><Relationship Id="rId89" Type="http://schemas.openxmlformats.org/officeDocument/2006/relationships/header" Target="header37.xml"/><Relationship Id="rId90" Type="http://schemas.openxmlformats.org/officeDocument/2006/relationships/footer" Target="footer38.xml"/><Relationship Id="rId91" Type="http://schemas.openxmlformats.org/officeDocument/2006/relationships/header" Target="header38.xml"/><Relationship Id="rId92" Type="http://schemas.openxmlformats.org/officeDocument/2006/relationships/footer" Target="footer39.xml"/><Relationship Id="rId93" Type="http://schemas.openxmlformats.org/officeDocument/2006/relationships/header" Target="header39.xml"/><Relationship Id="rId94" Type="http://schemas.openxmlformats.org/officeDocument/2006/relationships/footer" Target="footer40.xml"/><Relationship Id="rId95" Type="http://schemas.openxmlformats.org/officeDocument/2006/relationships/header" Target="header40.xml"/><Relationship Id="rId96" Type="http://schemas.openxmlformats.org/officeDocument/2006/relationships/footer" Target="footer41.xml"/><Relationship Id="rId97" Type="http://schemas.openxmlformats.org/officeDocument/2006/relationships/header" Target="header41.xml"/><Relationship Id="rId98" Type="http://schemas.openxmlformats.org/officeDocument/2006/relationships/footer" Target="footer42.xml"/><Relationship Id="rId99" Type="http://schemas.openxmlformats.org/officeDocument/2006/relationships/header" Target="header42.xml"/><Relationship Id="rId100" Type="http://schemas.openxmlformats.org/officeDocument/2006/relationships/footer" Target="footer43.xml"/><Relationship Id="rId101" Type="http://schemas.openxmlformats.org/officeDocument/2006/relationships/header" Target="header43.xml"/><Relationship Id="rId102" Type="http://schemas.openxmlformats.org/officeDocument/2006/relationships/footer" Target="footer44.xml"/><Relationship Id="rId103" Type="http://schemas.openxmlformats.org/officeDocument/2006/relationships/header" Target="header44.xml"/><Relationship Id="rId104" Type="http://schemas.openxmlformats.org/officeDocument/2006/relationships/footer" Target="footer45.xml"/><Relationship Id="rId105" Type="http://schemas.openxmlformats.org/officeDocument/2006/relationships/header" Target="header45.xml"/><Relationship Id="rId106" Type="http://schemas.openxmlformats.org/officeDocument/2006/relationships/footer" Target="footer46.xml"/><Relationship Id="rId107" Type="http://schemas.openxmlformats.org/officeDocument/2006/relationships/header" Target="header46.xml"/><Relationship Id="rId108" Type="http://schemas.openxmlformats.org/officeDocument/2006/relationships/footer" Target="footer47.xml"/><Relationship Id="rId109" Type="http://schemas.openxmlformats.org/officeDocument/2006/relationships/header" Target="header47.xml"/><Relationship Id="rId110" Type="http://schemas.openxmlformats.org/officeDocument/2006/relationships/footer" Target="footer48.xml"/><Relationship Id="rId111" Type="http://schemas.openxmlformats.org/officeDocument/2006/relationships/header" Target="header48.xml"/><Relationship Id="rId112" Type="http://schemas.openxmlformats.org/officeDocument/2006/relationships/footer" Target="footer49.xml"/><Relationship Id="rId113" Type="http://schemas.openxmlformats.org/officeDocument/2006/relationships/header" Target="header49.xml"/><Relationship Id="rId114" Type="http://schemas.openxmlformats.org/officeDocument/2006/relationships/footer" Target="footer50.xml"/><Relationship Id="rId115" Type="http://schemas.openxmlformats.org/officeDocument/2006/relationships/header" Target="header50.xml"/><Relationship Id="rId116" Type="http://schemas.openxmlformats.org/officeDocument/2006/relationships/footer" Target="footer51.xml"/><Relationship Id="rId117" Type="http://schemas.openxmlformats.org/officeDocument/2006/relationships/image" Target="media/image4.jpeg"/><Relationship Id="rId118" Type="http://schemas.openxmlformats.org/officeDocument/2006/relationships/header" Target="header51.xml"/><Relationship Id="rId119" Type="http://schemas.openxmlformats.org/officeDocument/2006/relationships/footer" Target="footer52.xml"/><Relationship Id="rId120" Type="http://schemas.openxmlformats.org/officeDocument/2006/relationships/header" Target="header52.xml"/><Relationship Id="rId121" Type="http://schemas.openxmlformats.org/officeDocument/2006/relationships/footer" Target="footer53.xml"/><Relationship Id="rId122" Type="http://schemas.openxmlformats.org/officeDocument/2006/relationships/header" Target="header53.xml"/><Relationship Id="rId123" Type="http://schemas.openxmlformats.org/officeDocument/2006/relationships/footer" Target="footer54.xml"/><Relationship Id="rId124" Type="http://schemas.openxmlformats.org/officeDocument/2006/relationships/header" Target="header54.xml"/><Relationship Id="rId125" Type="http://schemas.openxmlformats.org/officeDocument/2006/relationships/footer" Target="footer55.xml"/><Relationship Id="rId126" Type="http://schemas.openxmlformats.org/officeDocument/2006/relationships/header" Target="header55.xml"/><Relationship Id="rId127" Type="http://schemas.openxmlformats.org/officeDocument/2006/relationships/footer" Target="footer56.xml"/><Relationship Id="rId128" Type="http://schemas.openxmlformats.org/officeDocument/2006/relationships/header" Target="header56.xml"/><Relationship Id="rId129" Type="http://schemas.openxmlformats.org/officeDocument/2006/relationships/footer" Target="footer57.xml"/><Relationship Id="rId130" Type="http://schemas.openxmlformats.org/officeDocument/2006/relationships/image" Target="media/image5.jpeg"/><Relationship Id="rId131" Type="http://schemas.openxmlformats.org/officeDocument/2006/relationships/header" Target="header57.xml"/><Relationship Id="rId132" Type="http://schemas.openxmlformats.org/officeDocument/2006/relationships/footer" Target="footer58.xml"/><Relationship Id="rId133" Type="http://schemas.openxmlformats.org/officeDocument/2006/relationships/header" Target="header58.xml"/><Relationship Id="rId134" Type="http://schemas.openxmlformats.org/officeDocument/2006/relationships/footer" Target="footer59.xml"/><Relationship Id="rId135" Type="http://schemas.openxmlformats.org/officeDocument/2006/relationships/header" Target="header59.xml"/><Relationship Id="rId136" Type="http://schemas.openxmlformats.org/officeDocument/2006/relationships/footer" Target="footer60.xml"/><Relationship Id="rId137" Type="http://schemas.openxmlformats.org/officeDocument/2006/relationships/header" Target="header60.xml"/><Relationship Id="rId138" Type="http://schemas.openxmlformats.org/officeDocument/2006/relationships/footer" Target="footer61.xml"/><Relationship Id="rId139" Type="http://schemas.openxmlformats.org/officeDocument/2006/relationships/header" Target="header61.xml"/><Relationship Id="rId140" Type="http://schemas.openxmlformats.org/officeDocument/2006/relationships/footer" Target="footer62.xml"/><Relationship Id="rId141" Type="http://schemas.openxmlformats.org/officeDocument/2006/relationships/header" Target="header62.xml"/><Relationship Id="rId142" Type="http://schemas.openxmlformats.org/officeDocument/2006/relationships/footer" Target="footer63.xml"/><Relationship Id="rId143" Type="http://schemas.openxmlformats.org/officeDocument/2006/relationships/header" Target="header63.xml"/><Relationship Id="rId144" Type="http://schemas.openxmlformats.org/officeDocument/2006/relationships/footer" Target="footer64.xml"/><Relationship Id="rId145" Type="http://schemas.openxmlformats.org/officeDocument/2006/relationships/header" Target="header64.xml"/><Relationship Id="rId146" Type="http://schemas.openxmlformats.org/officeDocument/2006/relationships/footer" Target="footer65.xml"/><Relationship Id="rId147" Type="http://schemas.openxmlformats.org/officeDocument/2006/relationships/header" Target="header65.xml"/><Relationship Id="rId148" Type="http://schemas.openxmlformats.org/officeDocument/2006/relationships/footer" Target="footer66.xml"/><Relationship Id="rId149" Type="http://schemas.openxmlformats.org/officeDocument/2006/relationships/header" Target="header66.xml"/><Relationship Id="rId150" Type="http://schemas.openxmlformats.org/officeDocument/2006/relationships/footer" Target="footer67.xml"/><Relationship Id="rId151" Type="http://schemas.openxmlformats.org/officeDocument/2006/relationships/header" Target="header67.xml"/><Relationship Id="rId152" Type="http://schemas.openxmlformats.org/officeDocument/2006/relationships/footer" Target="footer68.xml"/><Relationship Id="rId153" Type="http://schemas.openxmlformats.org/officeDocument/2006/relationships/header" Target="header68.xml"/><Relationship Id="rId154" Type="http://schemas.openxmlformats.org/officeDocument/2006/relationships/footer" Target="footer69.xml"/><Relationship Id="rId155" Type="http://schemas.openxmlformats.org/officeDocument/2006/relationships/header" Target="header69.xml"/><Relationship Id="rId156" Type="http://schemas.openxmlformats.org/officeDocument/2006/relationships/footer" Target="footer70.xml"/><Relationship Id="rId157" Type="http://schemas.openxmlformats.org/officeDocument/2006/relationships/header" Target="header70.xml"/><Relationship Id="rId158" Type="http://schemas.openxmlformats.org/officeDocument/2006/relationships/footer" Target="footer71.xml"/><Relationship Id="rId159" Type="http://schemas.openxmlformats.org/officeDocument/2006/relationships/header" Target="header71.xml"/><Relationship Id="rId160" Type="http://schemas.openxmlformats.org/officeDocument/2006/relationships/footer" Target="footer72.xml"/><Relationship Id="rId161" Type="http://schemas.openxmlformats.org/officeDocument/2006/relationships/header" Target="header72.xml"/><Relationship Id="rId162" Type="http://schemas.openxmlformats.org/officeDocument/2006/relationships/footer" Target="footer73.xml"/><Relationship Id="rId163" Type="http://schemas.openxmlformats.org/officeDocument/2006/relationships/header" Target="header73.xml"/><Relationship Id="rId164" Type="http://schemas.openxmlformats.org/officeDocument/2006/relationships/footer" Target="footer74.xml"/><Relationship Id="rId165" Type="http://schemas.openxmlformats.org/officeDocument/2006/relationships/header" Target="header74.xml"/><Relationship Id="rId166" Type="http://schemas.openxmlformats.org/officeDocument/2006/relationships/footer" Target="footer75.xml"/><Relationship Id="rId167" Type="http://schemas.openxmlformats.org/officeDocument/2006/relationships/header" Target="header75.xml"/><Relationship Id="rId168" Type="http://schemas.openxmlformats.org/officeDocument/2006/relationships/footer" Target="footer76.xml"/><Relationship Id="rId169" Type="http://schemas.openxmlformats.org/officeDocument/2006/relationships/image" Target="media/image6.jpeg"/><Relationship Id="rId170" Type="http://schemas.openxmlformats.org/officeDocument/2006/relationships/image" Target="media/image7.jpeg"/><Relationship Id="rId171" Type="http://schemas.openxmlformats.org/officeDocument/2006/relationships/hyperlink" Target="http://www.virtualshareholdermeeting.com/VREX2023.Thisproxy%2Cwhenproperlyexecuted%2Cwillbevotedinthemannerdirectedherein.Ifnosuchdirectionismade%2CthisproxywillbevotedinaccordancewiththeBoardofDirectors%27recommendations.Continuedandtobesignedonreverseside" TargetMode="External"/><Relationship Id="rId1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2023-02-09T21:23:48Z</dcterms:created>
  <dcterms:modified xsi:type="dcterms:W3CDTF">2023-02-09T21:23:48Z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Mozilla/5.0 (Windows NT 10.0; Win64; x64) AppleWebKit/537.36 (KHTML, like Gecko) Chrome/110.0.0.0 Safari/537.36</vt:lpwstr>
  </property>
  <property fmtid="{D5CDD505-2E9C-101B-9397-08002B2CF9AE}" pid="4" name="LastSaved">
    <vt:filetime>2023-02-09T00:00:00Z</vt:filetime>
  </property>
  <property fmtid="{D5CDD505-2E9C-101B-9397-08002B2CF9AE}" pid="5" name="Producer">
    <vt:lpwstr>Skia/PDF m110</vt:lpwstr>
  </property>
</Properties>
</file>